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h7-t_itflvucbfnfxui4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23 июля 2015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</w:t>
      </w:r>
      <w:hyperlink w:history="1" r:id="rIddei56jpn7tukat_ysu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основных принципах бюджетного права в Кыргызской Республике",</w:t>
        </w:r>
      </w:hyperlink>
      <w:r>
        <w:rPr>
          <w:rFonts w:ascii="Arial" w:cs="Arial" w:eastAsia="Arial" w:hAnsi="Arial"/>
          <w:sz w:val="24"/>
          <w:szCs w:val="24"/>
        </w:rPr>
        <w:t xml:space="preserve"> "Об основных положениях Казначейства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c6jhg-ty3oyhsngomff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 доходов государственного бюджета и доходов, поступивших от операций с активами и обязательствами, в системе Казначейства Министерства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b8laxv-rtife-yvir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dalil.kg/document/92525</w:t>
      </w:r>
    </w:hyperlink>
  </w:p>
  <w:p>
    <w:pPr>
      <w:spacing w:after="0" w:before="40"/>
      <w:jc w:val="center"/>
    </w:pPr>
    <w:hyperlink w:history="1" r:id="rId6uevgzwtay3xt_psknd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-t_itflvucbfnfxui4s" Type="http://schemas.openxmlformats.org/officeDocument/2006/relationships/hyperlink" Target="https://dalil.kg/document/97829" TargetMode="External"/><Relationship Id="rIddei56jpn7tukat_ysuknz" Type="http://schemas.openxmlformats.org/officeDocument/2006/relationships/hyperlink" Target="https://dalil.kg/document/86" TargetMode="External"/><Relationship Id="rIdc6jhg-ty3oyhsngomffk4" Type="http://schemas.openxmlformats.org/officeDocument/2006/relationships/hyperlink" Target="https://dalil.kg/document/92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b8laxv-rtife-yvirrf" Type="http://schemas.openxmlformats.org/officeDocument/2006/relationships/hyperlink" Target="https://dalil.kg/document/92525" TargetMode="External"/><Relationship Id="rId6uevgzwtay3xt_psknd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2026-09-27T09:18:58.434Z</dcterms:created>
  <dcterms:modified xsi:type="dcterms:W3CDTF">2026-09-27T09:18:58.434Z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