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17 мая 2011 года № 232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заключении Правительства Кыргызской Республики на проекты законов Кыргызской Республики "О запрете деятельности залов (точек) игровых автоматов на территории Кыргызской Республики" и "О внесении изменений в некоторые законодательные акты Кыргызской Республики"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</w:t>
      </w:r>
      <w:hyperlink w:history="1" r:id="rId5_axhqmv04fviisx3ud7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со статьей 80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Конституции Кыргызской Республики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1. Одобрить прилагаемое заключение Правительства Кыргызской Республики на проекты законов Кыргызской Республики "О запрете деятельности залов (точек) игровых автоматов на территории Кыргызской Республики" и "О внесении изменений в некоторые законодательные акты Кыргызской Республики", разработанные депутатами Жогорку Кенеша Кыргызской Республики Джетигеновым Б.Дж. и Жапаровым А.У.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2. Направить настоящее постановление в Жогорку Кенеш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А.Атамбаев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Одобрено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ЗАКЛЮЧЕНИЕ
 </w:t>
      </w:r>
      <w:r>
        <w:rPr>
          <w:rFonts w:ascii="Arial" w:cs="Arial" w:eastAsia="Arial" w:hAnsi="Arial"/>
          <w:sz w:val="24"/>
          <w:szCs w:val="24"/>
        </w:rPr>
        <w:t xml:space="preserve">Правительства Кыргызской Республики на проекты законов Кыргызской Республики "О запрете деятельности залов (точек) игровых автоматов на территории Кыргызской Республики" и "О внесении изменений в некоторые законодательные акты Кыргызской Республики"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 в соответствии </w:t>
      </w:r>
      <w:hyperlink w:history="1" r:id="rIduyyxejgbpo2m9rhd-p_3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со статьей 80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Конституции Кыргызской Республики, рассмотрев проекты законов Кыргызской Республики "О запрете деятельности залов (точек) игровых автоматов на территории Кыргызской Республики" и "О внесении изменений в некоторые законодательные акты Кыргызской Республики", разработанные депутатами Жогорку Кенеша Кыргызской Республики Джетигеновым Б.Дж. и Жапаровым А.У., дает согласие на их принятие с учетом следующих замечаний и предложений.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Часть 1 статьи 2 проекта Закона "О запрете деятельности залов (точек) игровых автоматов на территории Кыргызской Республики" и часть 1 статьи 3 проекта Закона "О внесении изменений в некоторые законодательные акты Кыргызской Республики" предлагаем изложить в следующей редакции: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"Настоящий Закон вступает в силу с 1 января 2012 года.".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В порядке информации отмечаем, что доходная часть бюджета на 2011 год составлена с учетом поступлений от игровых автоматов за 2010 год (порядка 85,2 млн. сомов) и за счет принятия мер по улучшению налогового администрирования игорной деятельности (порядка 40 млн. сомов). Бюджет на 2011 год сформирован на основании действующего законодательства республики и предположения, что законодательство будет стабильным и вносимые изменения будут иметь нейтральный характер влияния на доходы бюджета.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В связи с чем, запрет на деятельность залов (точек) игровых автоматов может привести к потерям доходов бюджета.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В Кыргызской Республике, по состоянию на 1 марта 2011 года, функционирует более 130 залов и точек игровых автоматов под видом "развлекательных клубов", которые осуществляют деятельность без соответствующих разрешительных документов.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Полный запрет на деятельность залов (точек) игровых автоматов может не привести к решению проблемы, поскольку существует вероятность функционирования данных заведений нелегально. Кроме того, владельцы отдельных залов игровых автоматов, в целях уклонения от налогообложения, переквалифицировали их в развлекательные клубы, фактически продолжив дальнейшее функционирование.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Как показывает практика, на примере Российской Федерации и Республики Казахстан, после закрытия в этих государствах игорных заведений (казино, залов игровых автоматов), они ушли в глубокое подполье. На каналах российского телевидения освещается информация о регулярно проводимых Министерством внутренних дел Российской Федерации рейдах по выявлению нелегальных игорных заведений. Тем не менее, количество нелегальных игорных заведений в России растет изо дня в день, что не снимает проблему посещения людьми игорных заведений.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Также следует отметить, что представленными законопроектами предусматривается исключение понятия "игровой автомат" из Закона Кыргызской Республики "Об игорной деятельности в Кыргызской Республике". При этом, реализация предлагаемого проекта Закона может быть не выполнима, в связи с отсутствием самого понятия "игровой автомат".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Учитывая серьезность и актуальность пагубного влияния игорных заведений, было бы целесообразным на законодательном уровне ввести: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- ограничение деятельности залов (точек) игровых автоматов и введение жесткого контроля за соблюдением технического регламента функционирующих игровых автоматов;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- ужесточение требований к залам игровых автоматов на всей территории Кыргызской Республики, приняв соответствующие изменения и дополнения в действующее законодательство, что является наиболее приемлемой мерой решения проблемы.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Кроме того, в соответствии со </w:t>
      </w:r>
      <w:hyperlink w:history="1" r:id="rIde6zgczfs1idhrw0cszsd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19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нормативных правовых актах Кыргызской Республики":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- проекты нормативных правовых актов, направленные на регулирование предпринимательской деятельности, подлежат анализу регулятивного воздействия;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- проект нормативного правового акта подлежит отклонению в случае непредставления разработчиком обоснования, подготовленного на основе анализа регулятивного воздействия.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Согласно </w:t>
      </w:r>
      <w:hyperlink w:history="1" r:id="rIdj42ow82s44xvpa_b-hgl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22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нормативных правовых актах Кыргызской Республики", проекты нормативных правовых актов, непосредственно затрагивающих интересы граждан и юридических лиц, а также проекты нормативных правовых актов, регулирующих предпринимательскую деятельность, подлежат общественному обсуждению посредством размещения на официальном сайте нормотворческого органа. По решению нормотворческого органа, в случае отсутствия у нормотворческого органа официального сайта, а также в случаях, предусмотренных законом, опубликование нормативных правовых актов производится в средствах массовой информации.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В соответствии </w:t>
      </w:r>
      <w:hyperlink w:history="1" r:id="rId55552irhbfxeno4evrrf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со статьей 25</w:t>
        </w:r>
      </w:hyperlink>
      <w:r>
        <w:rPr>
          <w:rFonts w:ascii="Arial" w:cs="Arial" w:eastAsia="Arial" w:hAnsi="Arial"/>
          <w:sz w:val="24"/>
          <w:szCs w:val="24"/>
        </w:rPr>
        <w:t xml:space="preserve"> вышеназванного Закона справка-обоснование проекта нормативного правового акта должна содержать следующие сведения: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- цели и задачи, которые предположительно будут достигнуты или решены в результате принятия нормативного правового акта;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- прогнозы возможных социальных, экономических, правовых, правозащитных, тендерных, экологических, коррупционных последствий действия принимаемого нормативного правового акта;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- информация о результатах общественного обсуждения в случае, когда оно должно быть проведено.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jflk8zna4prmr_yh3the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dalil.kg/document/92603</w:t>
      </w:r>
    </w:hyperlink>
  </w:p>
  <w:p>
    <w:pPr>
      <w:spacing w:after="0" w:before="40"/>
      <w:jc w:val="center"/>
    </w:pPr>
    <w:hyperlink w:history="1" r:id="rIdwxt0t1tv0b2osgp0hjnd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5_axhqmv04fviisx3ud7c" Type="http://schemas.openxmlformats.org/officeDocument/2006/relationships/hyperlink" Target="https://dalil.kg/document/202913" TargetMode="External"/><Relationship Id="rIduyyxejgbpo2m9rhd-p_3l" Type="http://schemas.openxmlformats.org/officeDocument/2006/relationships/hyperlink" Target="https://dalil.kg/document/202913" TargetMode="External"/><Relationship Id="rIde6zgczfs1idhrw0cszsdz" Type="http://schemas.openxmlformats.org/officeDocument/2006/relationships/hyperlink" Target="https://dalil.kg/document/202591" TargetMode="External"/><Relationship Id="rIdj42ow82s44xvpa_b-hglf" Type="http://schemas.openxmlformats.org/officeDocument/2006/relationships/hyperlink" Target="https://dalil.kg/document/202591" TargetMode="External"/><Relationship Id="rId55552irhbfxeno4evrrf7" Type="http://schemas.openxmlformats.org/officeDocument/2006/relationships/hyperlink" Target="https://dalil.kg/document/202591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jflk8zna4prmr_yh3they" Type="http://schemas.openxmlformats.org/officeDocument/2006/relationships/hyperlink" Target="https://dalil.kg/document/92603" TargetMode="External"/><Relationship Id="rIdwxt0t1tv0b2osgp0hjnda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2026-09-25T12:08:29.019Z</dcterms:created>
  <dcterms:modified xsi:type="dcterms:W3CDTF">2026-09-25T12:08:29.019Z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