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wthdluhy-srfk6eizit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2011 года № 249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управляющих компаниях паевых инвестиционных фондов</w:t>
      </w:r>
    </w:p>
    <w:p>
      <w:pPr>
        <w:spacing w:after="200"/>
        <w:jc w:val="center"/>
      </w:pPr>
      <w:r>
        <w:rPr>
          <w:rFonts w:ascii="Arial" w:cs="Arial" w:eastAsia="Arial" w:hAnsi="Arial"/>
          <w:i/>
          <w:iCs/>
          <w:sz w:val="24"/>
          <w:szCs w:val="24"/>
        </w:rPr>
        <w:t xml:space="preserve"> (В редакции постановлений Правительства КР от </w:t>
      </w:r>
      <w:hyperlink w:history="1" r:id="rIde9ldr2fnfeohzb62dcypf">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ygn-guztegnz9s913966r">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требования к управляющей компании паевых инвестиционных фондов (далее - управляющая компания), условия осуществления деятельности по управлению паевыми инвестиционными фондами (далее - Фонд).</w:t>
      </w:r>
    </w:p>
    <w:p>
      <w:pPr>
        <w:spacing w:after="120"/>
        <w:jc w:val="both"/>
      </w:pPr>
      <w:r>
        <w:rPr>
          <w:rFonts w:ascii="Arial" w:cs="Arial" w:eastAsia="Arial" w:hAnsi="Arial"/>
          <w:sz w:val="24"/>
          <w:szCs w:val="24"/>
        </w:rPr>
        <w:t xml:space="preserve">2. Требования к управляющей компании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юридическое лицо, имеющее соответствующую лицензию на осуществление профессиональной деятельности по ценным бумагам и зарегистрировавшее проспект эмиссии инвестиционных паев и правила Фонда.</w:t>
      </w:r>
    </w:p>
    <w:p>
      <w:pPr>
        <w:spacing w:after="120"/>
        <w:jc w:val="both"/>
      </w:pPr>
      <w:r>
        <w:rPr>
          <w:rFonts w:ascii="Arial" w:cs="Arial" w:eastAsia="Arial" w:hAnsi="Arial"/>
          <w:sz w:val="24"/>
          <w:szCs w:val="24"/>
        </w:rPr>
        <w:t xml:space="preserve">Банки не вправе осуществлять функции управляющей компании инвестиционного фонда.</w:t>
      </w:r>
    </w:p>
    <w:p>
      <w:pPr>
        <w:spacing w:after="120"/>
        <w:jc w:val="both"/>
      </w:pPr>
      <w:r>
        <w:rPr>
          <w:rFonts w:ascii="Arial" w:cs="Arial" w:eastAsia="Arial" w:hAnsi="Arial"/>
          <w:sz w:val="24"/>
          <w:szCs w:val="24"/>
        </w:rPr>
        <w:t xml:space="preserve">3. Управляющая компания вправе осуществлять управление несколькими инвестиционными фондами, как паевыми, так и акционерными, при условии, что инвестиционные декларации соответствующих фондов имеют различные инвестиционные стратегии.</w:t>
      </w:r>
    </w:p>
    <w:p>
      <w:pPr>
        <w:spacing w:after="120"/>
        <w:jc w:val="both"/>
      </w:pPr>
      <w:r>
        <w:rPr>
          <w:rFonts w:ascii="Arial" w:cs="Arial" w:eastAsia="Arial" w:hAnsi="Arial"/>
          <w:sz w:val="24"/>
          <w:szCs w:val="24"/>
        </w:rPr>
        <w:t xml:space="preserve">4. Квалификация должностных лиц управляющей компании должна соответствовать квалификационным требованиям, предъявляемым к лицам, осуществляющим профессиональную деятельность на рынке ценных бумаг, определенным Правительством Кыргызской Республики.</w:t>
      </w:r>
    </w:p>
    <w:p>
      <w:pPr>
        <w:spacing w:after="120"/>
        <w:jc w:val="both"/>
      </w:pPr>
      <w:r>
        <w:rPr>
          <w:rFonts w:ascii="Arial" w:cs="Arial" w:eastAsia="Arial" w:hAnsi="Arial"/>
          <w:sz w:val="24"/>
          <w:szCs w:val="24"/>
        </w:rPr>
        <w:t xml:space="preserve">5. Исполнительным органом управляющей компании не может быть юридическое лицо.</w:t>
      </w:r>
    </w:p>
    <w:p>
      <w:pPr>
        <w:spacing w:after="120"/>
        <w:jc w:val="both"/>
      </w:pPr>
      <w:r>
        <w:rPr>
          <w:rFonts w:ascii="Arial" w:cs="Arial" w:eastAsia="Arial" w:hAnsi="Arial"/>
          <w:sz w:val="24"/>
          <w:szCs w:val="24"/>
        </w:rPr>
        <w:t xml:space="preserve">6. Управляющая компания не является собственником активов Фонда. Имущество управляющей компании должно быть обособлено от имущества Фонда. На активы Фонда не может быть наложен арест и обращено взыскание по обязательствам управляющей компании.</w:t>
      </w:r>
    </w:p>
    <w:p>
      <w:pPr>
        <w:spacing w:after="120"/>
        <w:jc w:val="both"/>
      </w:pPr>
      <w:r>
        <w:rPr>
          <w:rFonts w:ascii="Arial" w:cs="Arial" w:eastAsia="Arial" w:hAnsi="Arial"/>
          <w:sz w:val="24"/>
          <w:szCs w:val="24"/>
        </w:rPr>
        <w:t xml:space="preserve">7. Минимальный собственный капитал управляющей компании должен соответствовать требованиям,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3. Условия осуществления деятельности по управлению Фондом</w:t>
      </w:r>
    </w:p>
    <w:p>
      <w:pPr>
        <w:spacing w:after="120"/>
        <w:jc w:val="both"/>
      </w:pPr>
      <w:r>
        <w:rPr>
          <w:rFonts w:ascii="Arial" w:cs="Arial" w:eastAsia="Arial" w:hAnsi="Arial"/>
          <w:sz w:val="24"/>
          <w:szCs w:val="24"/>
        </w:rPr>
        <w:t xml:space="preserve">8. Управляющая компания осуществляет свои функции в соответствии с инвестиционной декларацией Фонда, правилами этого Фонда, настоящим Положением и иными нормативными правовыми актами.</w:t>
      </w:r>
    </w:p>
    <w:p>
      <w:pPr>
        <w:spacing w:after="120"/>
        <w:jc w:val="both"/>
      </w:pPr>
      <w:r>
        <w:rPr>
          <w:rFonts w:ascii="Arial" w:cs="Arial" w:eastAsia="Arial" w:hAnsi="Arial"/>
          <w:sz w:val="24"/>
          <w:szCs w:val="24"/>
        </w:rPr>
        <w:t xml:space="preserve">9. Управляющая компания при осуществлении управления Фондом действует от своего имени. При этом она обязана указывать, что выступает в качестве управляющей компании Фонда, со ссылкой на наименование Фонда.</w:t>
      </w:r>
    </w:p>
    <w:p>
      <w:pPr>
        <w:spacing w:after="120"/>
        <w:jc w:val="both"/>
      </w:pPr>
      <w:r>
        <w:rPr>
          <w:rFonts w:ascii="Arial" w:cs="Arial" w:eastAsia="Arial" w:hAnsi="Arial"/>
          <w:sz w:val="24"/>
          <w:szCs w:val="24"/>
        </w:rPr>
        <w:t xml:space="preserve">Управляющая компания вправе без специальной доверенности участвовать в управлении акционерными обществами, акции которых составляют Фонд.</w:t>
      </w:r>
    </w:p>
    <w:p>
      <w:pPr>
        <w:spacing w:after="120"/>
        <w:jc w:val="both"/>
      </w:pPr>
      <w:r>
        <w:rPr>
          <w:rFonts w:ascii="Arial" w:cs="Arial" w:eastAsia="Arial" w:hAnsi="Arial"/>
          <w:sz w:val="24"/>
          <w:szCs w:val="24"/>
        </w:rPr>
        <w:t xml:space="preserve">10. Управляющая компания обязана осуществлять управление Фондом в интересах владельцев инвестиционных паев этого Фонда. В соответствии с </w:t>
      </w:r>
      <w:hyperlink w:history="1" r:id="rIdjikyrqfnuxix9alkuin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управляющей компанией заключается договор о передаче имущества инвесторов в доверительное управление на основании заявки на приобретение инвестиционных паев, который прекращается на основании заявки на выкуп инвестиционных паев.</w:t>
      </w:r>
    </w:p>
    <w:p>
      <w:pPr>
        <w:spacing w:after="120"/>
        <w:jc w:val="both"/>
      </w:pPr>
      <w:r>
        <w:rPr>
          <w:rFonts w:ascii="Arial" w:cs="Arial" w:eastAsia="Arial" w:hAnsi="Arial"/>
          <w:sz w:val="24"/>
          <w:szCs w:val="24"/>
        </w:rPr>
        <w:t xml:space="preserve">При первичном размещении инвестиционных паев управляющей компанией устанавливается стоимость инвестиционного пая, которая должна быть неизменной в течение всего срока первичного размещения инвестиционных паев.</w:t>
      </w:r>
    </w:p>
    <w:p>
      <w:pPr>
        <w:spacing w:after="120"/>
        <w:jc w:val="both"/>
      </w:pPr>
      <w:r>
        <w:rPr>
          <w:rFonts w:ascii="Arial" w:cs="Arial" w:eastAsia="Arial" w:hAnsi="Arial"/>
          <w:sz w:val="24"/>
          <w:szCs w:val="24"/>
        </w:rPr>
        <w:t xml:space="preserve">Доход, полученный управляющей компанией в ходе управления имуществом Фонда, не является собственностью управляющей компании, а относится на прирост имущества, составляющего Фонд.</w:t>
      </w:r>
    </w:p>
    <w:p>
      <w:pPr>
        <w:spacing w:after="60"/>
        <w:ind w:firstLine="567"/>
        <w:jc w:val="both"/>
      </w:pPr>
      <w:r>
        <w:rPr>
          <w:rFonts w:ascii="Arial" w:cs="Arial" w:eastAsia="Arial" w:hAnsi="Arial"/>
          <w:sz w:val="24"/>
          <w:szCs w:val="24"/>
        </w:rPr>
        <w:t xml:space="preserve">11. Управляющая компания, при осуществлении управления Фондом, за счет имущества, составляющего Фонд, не вправе:</w:t>
      </w:r>
    </w:p>
    <w:p>
      <w:pPr>
        <w:spacing w:after="60"/>
        <w:ind w:firstLine="567"/>
        <w:jc w:val="both"/>
      </w:pPr>
      <w:r>
        <w:rPr>
          <w:rFonts w:ascii="Arial" w:cs="Arial" w:eastAsia="Arial" w:hAnsi="Arial"/>
          <w:sz w:val="24"/>
          <w:szCs w:val="24"/>
        </w:rPr>
        <w:t xml:space="preserve">- осуществлять инвестирование в активы, не указанные в инвестиционной декларации;</w:t>
      </w:r>
    </w:p>
    <w:p>
      <w:pPr>
        <w:spacing w:after="60"/>
        <w:ind w:firstLine="567"/>
        <w:jc w:val="both"/>
      </w:pPr>
      <w:r>
        <w:rPr>
          <w:rFonts w:ascii="Arial" w:cs="Arial" w:eastAsia="Arial" w:hAnsi="Arial"/>
          <w:sz w:val="24"/>
          <w:szCs w:val="24"/>
        </w:rPr>
        <w:t xml:space="preserve">- совершать сделки, в результате которых будут нарушены требования нормативных правовых актов, регулирующих рынок ценных бумаг, включая требования к структуре активов соответствующих типов паевых инвестиционных фондов;</w:t>
      </w:r>
    </w:p>
    <w:p>
      <w:pPr>
        <w:spacing w:after="60"/>
        <w:ind w:firstLine="567"/>
        <w:jc w:val="both"/>
      </w:pPr>
      <w:r>
        <w:rPr>
          <w:rFonts w:ascii="Arial" w:cs="Arial" w:eastAsia="Arial" w:hAnsi="Arial"/>
          <w:sz w:val="24"/>
          <w:szCs w:val="24"/>
        </w:rPr>
        <w:t xml:space="preserve">- безвозмездно отчуждать имущество, составляющее Фонд;</w:t>
      </w:r>
    </w:p>
    <w:p>
      <w:pPr>
        <w:spacing w:after="60"/>
        <w:ind w:firstLine="567"/>
        <w:jc w:val="both"/>
      </w:pPr>
      <w:r>
        <w:rPr>
          <w:rFonts w:ascii="Arial" w:cs="Arial" w:eastAsia="Arial" w:hAnsi="Arial"/>
          <w:sz w:val="24"/>
          <w:szCs w:val="24"/>
        </w:rPr>
        <w:t xml:space="preserve">- принимать на себя обязанности по передаче имущества, которое в момент принятия такой обязанности не составляет Фонд;</w:t>
      </w:r>
    </w:p>
    <w:p>
      <w:pPr>
        <w:spacing w:after="60"/>
        <w:ind w:firstLine="567"/>
        <w:jc w:val="both"/>
      </w:pPr>
      <w:r>
        <w:rPr>
          <w:rFonts w:ascii="Arial" w:cs="Arial" w:eastAsia="Arial" w:hAnsi="Arial"/>
          <w:sz w:val="24"/>
          <w:szCs w:val="24"/>
        </w:rPr>
        <w:t xml:space="preserve">- привлекать заемные средства, подлежащие возврату за счет имущества, составляющего Фонд, не иначе как с целью использования этих средств для выкупа инвестиционных паев Фонда у их владельцев и только при недостаточности для этого денежных средств, составляющих Фонд. При этом, совокупный объем задолженности, подлежащей погашению за счет имущества, составляющего Фонд, по всем договорам займа и кредитным договорам не должен превышать 10 процентов стоимости чистых активов Фонда на дату заключения договора. Срок привлечения заемных средств по каждому из договоров займа и кредитных договоров не может превышать шести месяцев без права продления;</w:t>
      </w:r>
    </w:p>
    <w:p>
      <w:pPr>
        <w:spacing w:after="60"/>
        <w:ind w:firstLine="567"/>
        <w:jc w:val="both"/>
      </w:pPr>
      <w:r>
        <w:rPr>
          <w:rFonts w:ascii="Arial" w:cs="Arial" w:eastAsia="Arial" w:hAnsi="Arial"/>
          <w:sz w:val="24"/>
          <w:szCs w:val="24"/>
        </w:rPr>
        <w:t xml:space="preserve">- предоставлять займы и кредиты денежными средствами или иным имуществом;</w:t>
      </w:r>
    </w:p>
    <w:p>
      <w:pPr>
        <w:spacing w:after="60"/>
        <w:ind w:firstLine="567"/>
        <w:jc w:val="both"/>
      </w:pPr>
      <w:r>
        <w:rPr>
          <w:rFonts w:ascii="Arial" w:cs="Arial" w:eastAsia="Arial" w:hAnsi="Arial"/>
          <w:sz w:val="24"/>
          <w:szCs w:val="24"/>
        </w:rPr>
        <w:t xml:space="preserve">- использовать имущество, составляющее Фонд, для обеспечения исполнения собственных обязательств, не связанных с управлением этого Фонда, или исполнения обязательств третьих лиц;</w:t>
      </w:r>
    </w:p>
    <w:p>
      <w:pPr>
        <w:spacing w:after="60"/>
        <w:ind w:firstLine="567"/>
        <w:jc w:val="both"/>
      </w:pPr>
      <w:r>
        <w:rPr>
          <w:rFonts w:ascii="Arial" w:cs="Arial" w:eastAsia="Arial" w:hAnsi="Arial"/>
          <w:sz w:val="24"/>
          <w:szCs w:val="24"/>
        </w:rPr>
        <w:t xml:space="preserve">- выступать гарантом и поручителем исполнения обязательств третьими лицами;</w:t>
      </w:r>
    </w:p>
    <w:p>
      <w:pPr>
        <w:spacing w:after="60"/>
        <w:ind w:firstLine="567"/>
        <w:jc w:val="both"/>
      </w:pPr>
      <w:r>
        <w:rPr>
          <w:rFonts w:ascii="Arial" w:cs="Arial" w:eastAsia="Arial" w:hAnsi="Arial"/>
          <w:sz w:val="24"/>
          <w:szCs w:val="24"/>
        </w:rPr>
        <w:t xml:space="preserve">- совершать фьючерсные и форвардные сделки;</w:t>
      </w:r>
    </w:p>
    <w:p>
      <w:pPr>
        <w:spacing w:after="60"/>
        <w:ind w:firstLine="567"/>
        <w:jc w:val="both"/>
      </w:pPr>
      <w:r>
        <w:rPr>
          <w:rFonts w:ascii="Arial" w:cs="Arial" w:eastAsia="Arial" w:hAnsi="Arial"/>
          <w:sz w:val="24"/>
          <w:szCs w:val="24"/>
        </w:rPr>
        <w:t xml:space="preserve">- приобретать производные ценные бумаги;</w:t>
      </w:r>
    </w:p>
    <w:p>
      <w:pPr>
        <w:spacing w:after="60"/>
        <w:ind w:firstLine="567"/>
        <w:jc w:val="both"/>
      </w:pPr>
      <w:r>
        <w:rPr>
          <w:rFonts w:ascii="Arial" w:cs="Arial" w:eastAsia="Arial" w:hAnsi="Arial"/>
          <w:sz w:val="24"/>
          <w:szCs w:val="24"/>
        </w:rPr>
        <w:t xml:space="preserve">- выпускать ценные бумаги, иные, чем инвестиционные паи, кроме случая, когда управляющая компания является акционерным обществом;</w:t>
      </w:r>
    </w:p>
    <w:p>
      <w:pPr>
        <w:spacing w:after="60"/>
        <w:ind w:firstLine="567"/>
        <w:jc w:val="both"/>
      </w:pPr>
      <w:r>
        <w:rPr>
          <w:rFonts w:ascii="Arial" w:cs="Arial" w:eastAsia="Arial" w:hAnsi="Arial"/>
          <w:sz w:val="24"/>
          <w:szCs w:val="24"/>
        </w:rPr>
        <w:t xml:space="preserve">- приобретать объекты инвестирования у своих аффилированных и связанных лиц либо отчуждать им такие объекты;</w:t>
      </w:r>
    </w:p>
    <w:p>
      <w:pPr>
        <w:spacing w:after="60"/>
        <w:ind w:firstLine="567"/>
        <w:jc w:val="both"/>
      </w:pPr>
      <w:r>
        <w:rPr>
          <w:rFonts w:ascii="Arial" w:cs="Arial" w:eastAsia="Arial" w:hAnsi="Arial"/>
          <w:sz w:val="24"/>
          <w:szCs w:val="24"/>
        </w:rPr>
        <w:t xml:space="preserve">- приобретать ценные бумаги, выпущенные другими инвестиционными фондами, за исключением инвестиционных фондов для квалифицированных инвесторов;</w:t>
      </w:r>
    </w:p>
    <w:p>
      <w:pPr>
        <w:spacing w:after="60"/>
        <w:ind w:firstLine="567"/>
        <w:jc w:val="both"/>
      </w:pPr>
      <w:r>
        <w:rPr>
          <w:rFonts w:ascii="Arial" w:cs="Arial" w:eastAsia="Arial" w:hAnsi="Arial"/>
          <w:sz w:val="24"/>
          <w:szCs w:val="24"/>
        </w:rPr>
        <w:t xml:space="preserve">- инвестировать средства в ценные бумаги, выпущенные аффилированными и связанными лицами Фонда, управляющей компанией, ее аффилированными и связанными лицами, депозитарием, независимым аудитором, независимым оценщиком, а также их аффилированными и связанными лицами;</w:t>
      </w:r>
    </w:p>
    <w:p>
      <w:pPr>
        <w:spacing w:after="60"/>
        <w:ind w:firstLine="567"/>
        <w:jc w:val="both"/>
      </w:pPr>
      <w:r>
        <w:rPr>
          <w:rFonts w:ascii="Arial" w:cs="Arial" w:eastAsia="Arial" w:hAnsi="Arial"/>
          <w:sz w:val="24"/>
          <w:szCs w:val="24"/>
        </w:rPr>
        <w:t xml:space="preserve">- приобретать в собственность имущество, составляющее Фонд, за исключением случаев получения вознаграждения и возмещения расходов в соответствии с правилами Фонда, а также возмещения суммы заемных средств, использованных управляющей компанией для выкупа инвестиционных паев этого Фонда;</w:t>
      </w:r>
    </w:p>
    <w:p>
      <w:pPr>
        <w:spacing w:after="60"/>
        <w:ind w:firstLine="567"/>
        <w:jc w:val="both"/>
      </w:pPr>
      <w:r>
        <w:rPr>
          <w:rFonts w:ascii="Arial" w:cs="Arial" w:eastAsia="Arial" w:hAnsi="Arial"/>
          <w:sz w:val="24"/>
          <w:szCs w:val="24"/>
        </w:rPr>
        <w:t xml:space="preserve">- совершать сделки с аффилированными и связанными лицами данного Фонда;</w:t>
      </w:r>
    </w:p>
    <w:p>
      <w:pPr>
        <w:spacing w:after="60"/>
        <w:ind w:firstLine="567"/>
        <w:jc w:val="both"/>
      </w:pPr>
      <w:r>
        <w:rPr>
          <w:rFonts w:ascii="Arial" w:cs="Arial" w:eastAsia="Arial" w:hAnsi="Arial"/>
          <w:sz w:val="24"/>
          <w:szCs w:val="24"/>
        </w:rPr>
        <w:t xml:space="preserve">- принимать на себя обязательства, условия и порядок принятия которых противоречат правилам Фонда и законодательству Кыргызской Республики;</w:t>
      </w:r>
    </w:p>
    <w:p>
      <w:pPr>
        <w:spacing w:after="60"/>
        <w:ind w:firstLine="567"/>
        <w:jc w:val="both"/>
      </w:pPr>
      <w:r>
        <w:rPr>
          <w:rFonts w:ascii="Arial" w:cs="Arial" w:eastAsia="Arial" w:hAnsi="Arial"/>
          <w:sz w:val="24"/>
          <w:szCs w:val="24"/>
        </w:rPr>
        <w:t xml:space="preserve">- проводить инвестиции более 20 (двадцать) процентов всех чистых активов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60"/>
        <w:ind w:firstLine="567"/>
        <w:jc w:val="both"/>
      </w:pPr>
      <w:r>
        <w:rPr>
          <w:rFonts w:ascii="Arial" w:cs="Arial" w:eastAsia="Arial" w:hAnsi="Arial"/>
          <w:sz w:val="24"/>
          <w:szCs w:val="24"/>
        </w:rPr>
        <w:t xml:space="preserve">- владеть более 25 процентами ценных бумаг одного эмитента;</w:t>
      </w:r>
    </w:p>
    <w:p>
      <w:pPr>
        <w:spacing w:after="60"/>
        <w:ind w:firstLine="567"/>
        <w:jc w:val="both"/>
      </w:pPr>
      <w:r>
        <w:rPr>
          <w:rFonts w:ascii="Arial" w:cs="Arial" w:eastAsia="Arial" w:hAnsi="Arial"/>
          <w:sz w:val="24"/>
          <w:szCs w:val="24"/>
        </w:rPr>
        <w:t xml:space="preserve">- давать гарантии любого рода или совершать залоговые сделки, за исключением операций репо с инвестиционными активами;</w:t>
      </w:r>
    </w:p>
    <w:p>
      <w:pPr>
        <w:spacing w:after="60"/>
        <w:ind w:firstLine="567"/>
        <w:jc w:val="both"/>
      </w:pPr>
      <w:r>
        <w:rPr>
          <w:rFonts w:ascii="Arial" w:cs="Arial" w:eastAsia="Arial" w:hAnsi="Arial"/>
          <w:sz w:val="24"/>
          <w:szCs w:val="24"/>
        </w:rPr>
        <w:t xml:space="preserve">- создавать дочерние предприятия Фонда, за исключением инвестиционных фондов для квалифицированных инвесторов;</w:t>
      </w:r>
    </w:p>
    <w:p>
      <w:pPr>
        <w:spacing w:after="60"/>
        <w:ind w:firstLine="567"/>
        <w:jc w:val="both"/>
      </w:pPr>
      <w:r>
        <w:rPr>
          <w:rFonts w:ascii="Arial" w:cs="Arial" w:eastAsia="Arial" w:hAnsi="Arial"/>
          <w:sz w:val="24"/>
          <w:szCs w:val="24"/>
        </w:rPr>
        <w:t xml:space="preserve">- гарантировать или обещать конкретный уровень прибыли (дохода), а также увеличения стоимости инвестиционных паев Фонда;</w:t>
      </w:r>
    </w:p>
    <w:p>
      <w:pPr>
        <w:spacing w:after="60"/>
        <w:ind w:firstLine="567"/>
        <w:jc w:val="both"/>
      </w:pPr>
      <w:r>
        <w:rPr>
          <w:rFonts w:ascii="Arial" w:cs="Arial" w:eastAsia="Arial" w:hAnsi="Arial"/>
          <w:sz w:val="24"/>
          <w:szCs w:val="24"/>
        </w:rPr>
        <w:t xml:space="preserve">- совершать залоговые сделки, за исключением инвестиционных фондов для квалифицированных инвесторов.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larsmhqpuyrrffijfqgx">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jlevlquoqjqnf7fzrpud8">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Управляющая компания обязана:</w:t>
      </w:r>
    </w:p>
    <w:p>
      <w:pPr>
        <w:spacing w:after="120"/>
        <w:jc w:val="both"/>
      </w:pPr>
      <w:r>
        <w:rPr>
          <w:rFonts w:ascii="Arial" w:cs="Arial" w:eastAsia="Arial" w:hAnsi="Arial"/>
          <w:sz w:val="24"/>
          <w:szCs w:val="24"/>
        </w:rPr>
        <w:t xml:space="preserve">- в соответствии с правилами этого Фонда, требованиями настоящего Положения и иных нормативных правовых актов Кыргызской Республики, регулирующих рынок ценных бумаг, размещать и выкупать инвестиционные паи Фонда, независимо от того, осуществляется ли прием заявок на приобретение и выкуп инвестиционных паев непосредственно управляющей компанией или агентами по размещению и выкупу инвестиционных паев;</w:t>
      </w:r>
    </w:p>
    <w:p>
      <w:pPr>
        <w:spacing w:after="120"/>
        <w:jc w:val="both"/>
      </w:pPr>
      <w:r>
        <w:rPr>
          <w:rFonts w:ascii="Arial" w:cs="Arial" w:eastAsia="Arial" w:hAnsi="Arial"/>
          <w:sz w:val="24"/>
          <w:szCs w:val="24"/>
        </w:rPr>
        <w:t xml:space="preserve">- в соответствии с правилами этого Фонда обеспечить прием заявок на выкуп инвестиционных паев в месте нахождения агента по размещению и выкупу инвестиционных паев Фонда, в случае ликвидации агента по размещению и выкупу инвестиционных паев, приостановления действия и аннулирования у него соответствующего разрешения государственного органа по регулированию рынка ценных бумаг, а также отзыва у него доверенности или расторжения договора на осуществление размещения и выкупа инвестиционных паев Фонда в течение месяца с этого момента;</w:t>
      </w:r>
    </w:p>
    <w:p>
      <w:pPr>
        <w:spacing w:after="120"/>
        <w:jc w:val="both"/>
      </w:pPr>
      <w:r>
        <w:rPr>
          <w:rFonts w:ascii="Arial" w:cs="Arial" w:eastAsia="Arial" w:hAnsi="Arial"/>
          <w:sz w:val="24"/>
          <w:szCs w:val="24"/>
        </w:rPr>
        <w:t xml:space="preserve">- не позднее 5 календарных дней после окончания срока первичного размещения инвестиционных паев представить в государственный орган по регулированию рынка ценных бумаг на утверждение отчет об итогах первичного размещения инвестиционных паев и опубликовать его в средствах массовой информации;</w:t>
      </w:r>
    </w:p>
    <w:p>
      <w:pPr>
        <w:spacing w:after="120"/>
        <w:jc w:val="both"/>
      </w:pPr>
      <w:r>
        <w:rPr>
          <w:rFonts w:ascii="Arial" w:cs="Arial" w:eastAsia="Arial" w:hAnsi="Arial"/>
          <w:sz w:val="24"/>
          <w:szCs w:val="24"/>
        </w:rPr>
        <w:t xml:space="preserve">- в случае если по окончании срока первичного размещения инвестиционных паев стоимость чистых активов Фонда составила менее суммы, установленной государственным органом по регулированию рынка ценных бумаг, прекратить прием заявок на приобретение инвестиционных паев, после чего Фонд подлежит ликвидации. Средства, полученные в результате первичного размещения, подлежат возврату владельцам инвестиционных паев.</w:t>
      </w:r>
    </w:p>
    <w:p>
      <w:pPr>
        <w:spacing w:after="120"/>
        <w:jc w:val="both"/>
      </w:pPr>
      <w:r>
        <w:rPr>
          <w:rFonts w:ascii="Arial" w:cs="Arial" w:eastAsia="Arial" w:hAnsi="Arial"/>
          <w:sz w:val="24"/>
          <w:szCs w:val="24"/>
        </w:rPr>
        <w:t xml:space="preserve">13. Управляющая компания обязана хранить денежные средства, составляющие Фонд, на отдельном банковском счете, открытом у депозитария этого Фонда, если последний является банком. Если депозитарий не является банком, управляющая компания должна хранить денежные средства, составляющие Фонд, на отдельном банковском счете, открытом в банке. Иностранная валюта, составляющая активы Фонда, может находиться на отдельном счете, открытом в банке.</w:t>
      </w:r>
    </w:p>
    <w:p>
      <w:pPr>
        <w:spacing w:after="120"/>
        <w:jc w:val="both"/>
      </w:pPr>
      <w:r>
        <w:rPr>
          <w:rFonts w:ascii="Arial" w:cs="Arial" w:eastAsia="Arial" w:hAnsi="Arial"/>
          <w:sz w:val="24"/>
          <w:szCs w:val="24"/>
        </w:rPr>
        <w:t xml:space="preserve">Управляющая компания имеет право размещать полученные денежные средства в период первичного размещения инвестиционных паев только на депозитах в коммерческих банках, в денежных средствах и в государственных ценных бумагах.</w:t>
      </w:r>
    </w:p>
    <w:p>
      <w:pPr>
        <w:spacing w:after="120"/>
        <w:jc w:val="both"/>
      </w:pPr>
      <w:r>
        <w:rPr>
          <w:rFonts w:ascii="Arial" w:cs="Arial" w:eastAsia="Arial" w:hAnsi="Arial"/>
          <w:sz w:val="24"/>
          <w:szCs w:val="24"/>
        </w:rPr>
        <w:t xml:space="preserve">Управляющая компания вправе дробить инвестиционные паи Фонда в соответствии с требованиями, установленными Правительством Кыргызской Республики.</w:t>
      </w:r>
    </w:p>
    <w:p>
      <w:pPr>
        <w:spacing w:after="120"/>
        <w:jc w:val="both"/>
      </w:pPr>
      <w:r>
        <w:rPr>
          <w:rFonts w:ascii="Arial" w:cs="Arial" w:eastAsia="Arial" w:hAnsi="Arial"/>
          <w:sz w:val="24"/>
          <w:szCs w:val="24"/>
        </w:rPr>
        <w:t xml:space="preserve">14. Управляющая компания обязана передавать в депозитарий Фонда ценные бумаги и иные документы, необходимые для учета прав на ценные бумаги, составляющие имущество Фонда.</w:t>
      </w:r>
    </w:p>
    <w:p>
      <w:pPr>
        <w:spacing w:after="120"/>
        <w:jc w:val="both"/>
      </w:pPr>
      <w:r>
        <w:rPr>
          <w:rFonts w:ascii="Arial" w:cs="Arial" w:eastAsia="Arial" w:hAnsi="Arial"/>
          <w:sz w:val="24"/>
          <w:szCs w:val="24"/>
        </w:rPr>
        <w:t xml:space="preserve">15. Управляющая компания должна передавать копии всех первичных документов в отношении имущества, составляющего Фонд, на хранение депозитарию в течение трех рабочих дней после их получения и (или) составления.</w:t>
      </w:r>
    </w:p>
    <w:p>
      <w:pPr>
        <w:spacing w:after="120"/>
        <w:jc w:val="both"/>
      </w:pPr>
      <w:r>
        <w:rPr>
          <w:rFonts w:ascii="Arial" w:cs="Arial" w:eastAsia="Arial" w:hAnsi="Arial"/>
          <w:sz w:val="24"/>
          <w:szCs w:val="24"/>
        </w:rPr>
        <w:t xml:space="preserve">16. Управляющая компания обязана представлять в государственный орган по регулированию рынка ценных бумаг отчетность в объеме и сроки, установленные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srmupyyuzmdvk659jjm">
      <w:r>
        <w:rPr>
          <w:rFonts w:ascii="Arial" w:cs="Arial" w:eastAsia="Arial" w:hAnsi="Arial"/>
          <w:color w:val="132D3F"/>
          <w:sz w:val="16"/>
          <w:szCs w:val="16"/>
          <w:u w:val="single"/>
        </w:rPr>
        <w:t xml:space="preserve">dalil.kg/document/92705</w:t>
      </w:r>
    </w:hyperlink>
  </w:p>
  <w:p>
    <w:pPr>
      <w:spacing w:after="0" w:before="40"/>
      <w:jc w:val="center"/>
    </w:pPr>
    <w:hyperlink w:history="1" r:id="rIdcbbujthzduz5odwwqye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hdluhy-srfk6eizitnp" Type="http://schemas.openxmlformats.org/officeDocument/2006/relationships/hyperlink" Target="https://dalil.kg/document/92620" TargetMode="External"/><Relationship Id="rIde9ldr2fnfeohzb62dcypf" Type="http://schemas.openxmlformats.org/officeDocument/2006/relationships/hyperlink" Target="https://dalil.kg/document/100101" TargetMode="External"/><Relationship Id="rIdygn-guztegnz9s913966r" Type="http://schemas.openxmlformats.org/officeDocument/2006/relationships/hyperlink" Target="https://dalil.kg/document/157225" TargetMode="External"/><Relationship Id="rIdjikyrqfnuxix9alkuinip" Type="http://schemas.openxmlformats.org/officeDocument/2006/relationships/hyperlink" Target="https://dalil.kg/document/255" TargetMode="External"/><Relationship Id="rId8larsmhqpuyrrffijfqgx" Type="http://schemas.openxmlformats.org/officeDocument/2006/relationships/hyperlink" Target="https://dalil.kg/document/100101" TargetMode="External"/><Relationship Id="rIdjlevlquoqjqnf7fzrpud8" Type="http://schemas.openxmlformats.org/officeDocument/2006/relationships/hyperlink" Target="https://dalil.kg/document/15722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srmupyyuzmdvk659jjm" Type="http://schemas.openxmlformats.org/officeDocument/2006/relationships/hyperlink" Target="https://dalil.kg/document/92705" TargetMode="External"/><Relationship Id="rIdcbbujthzduz5odwwqye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2026-09-25T10:32:24.749Z</dcterms:created>
  <dcterms:modified xsi:type="dcterms:W3CDTF">2026-09-25T10:32:24.749Z</dcterms:modified>
</cp:coreProperties>
</file>

<file path=docProps/custom.xml><?xml version="1.0" encoding="utf-8"?>
<Properties xmlns="http://schemas.openxmlformats.org/officeDocument/2006/custom-properties" xmlns:vt="http://schemas.openxmlformats.org/officeDocument/2006/docPropsVTypes"/>
</file>