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об управляющих компаниях акционерных инвестиционных фондов</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0kgmrh75a0g1bqiq68grq">
        <w:r>
          <w:rPr>
            <w:rFonts w:ascii="Arial" w:cs="Arial" w:eastAsia="Arial" w:hAnsi="Arial"/>
            <w:color w:val="1D4ED8"/>
            <w:sz w:val="24"/>
            <w:szCs w:val="24"/>
            <w:u w:val="single"/>
          </w:rPr>
          <w:t xml:space="preserve">29 октября 2019 года № 580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1. Настоящее Положение определяет требования к управляющей компании акционерного инвестиционного фонда (далее - управляющая компания), условия осуществления деятельности по управлению акционерным инвестиционным фондом (далее - инвестиционный фонд).</w:t>
      </w:r>
    </w:p>
    <w:p>
      <w:pPr>
        <w:spacing w:after="120"/>
        <w:jc w:val="both"/>
      </w:pPr>
      <w:r>
        <w:rPr>
          <w:rFonts w:ascii="Arial" w:cs="Arial" w:eastAsia="Arial" w:hAnsi="Arial"/>
          <w:sz w:val="24"/>
          <w:szCs w:val="24"/>
        </w:rPr>
        <w:t xml:space="preserve">2. Требования к управляющей компании</w:t>
      </w:r>
    </w:p>
    <w:p>
      <w:pPr>
        <w:spacing w:after="120"/>
        <w:jc w:val="both"/>
      </w:pPr>
      <w:r>
        <w:rPr>
          <w:rFonts w:ascii="Arial" w:cs="Arial" w:eastAsia="Arial" w:hAnsi="Arial"/>
          <w:sz w:val="24"/>
          <w:szCs w:val="24"/>
        </w:rPr>
        <w:t xml:space="preserve">2. Управляющая компания обязана осуществлять управление инвестиционным фондом в интересах акционеров фонда.</w:t>
      </w:r>
    </w:p>
    <w:p>
      <w:pPr>
        <w:spacing w:after="120"/>
        <w:jc w:val="both"/>
      </w:pPr>
      <w:r>
        <w:rPr>
          <w:rFonts w:ascii="Arial" w:cs="Arial" w:eastAsia="Arial" w:hAnsi="Arial"/>
          <w:sz w:val="24"/>
          <w:szCs w:val="24"/>
        </w:rPr>
        <w:t xml:space="preserve">3. Управляющая компания не является собственником активов инвестиционного фонда.</w:t>
      </w:r>
    </w:p>
    <w:p>
      <w:pPr>
        <w:spacing w:after="120"/>
        <w:jc w:val="both"/>
      </w:pPr>
      <w:r>
        <w:rPr>
          <w:rFonts w:ascii="Arial" w:cs="Arial" w:eastAsia="Arial" w:hAnsi="Arial"/>
          <w:sz w:val="24"/>
          <w:szCs w:val="24"/>
        </w:rPr>
        <w:t xml:space="preserve">4. Банки не вправе осуществлять функции управляющей компании.</w:t>
      </w:r>
    </w:p>
    <w:p>
      <w:pPr>
        <w:spacing w:after="120"/>
        <w:jc w:val="both"/>
      </w:pPr>
      <w:r>
        <w:rPr>
          <w:rFonts w:ascii="Arial" w:cs="Arial" w:eastAsia="Arial" w:hAnsi="Arial"/>
          <w:sz w:val="24"/>
          <w:szCs w:val="24"/>
        </w:rPr>
        <w:t xml:space="preserve">5. Требования к минимальному размеру собственного капитала управляющей компании определяются Правительством Кыргызской Республики.</w:t>
      </w:r>
    </w:p>
    <w:p>
      <w:pPr>
        <w:spacing w:after="120"/>
        <w:jc w:val="both"/>
      </w:pPr>
      <w:r>
        <w:rPr>
          <w:rFonts w:ascii="Arial" w:cs="Arial" w:eastAsia="Arial" w:hAnsi="Arial"/>
          <w:sz w:val="24"/>
          <w:szCs w:val="24"/>
        </w:rPr>
        <w:t xml:space="preserve">6. Квалификационные требования к должностным лицам управляющей компании определяются Правительством Кыргызской Республики.</w:t>
      </w:r>
    </w:p>
    <w:p>
      <w:pPr>
        <w:spacing w:after="120"/>
        <w:jc w:val="both"/>
      </w:pPr>
      <w:r>
        <w:rPr>
          <w:rFonts w:ascii="Arial" w:cs="Arial" w:eastAsia="Arial" w:hAnsi="Arial"/>
          <w:sz w:val="24"/>
          <w:szCs w:val="24"/>
        </w:rPr>
        <w:t xml:space="preserve">3. Функции управляющей компании</w:t>
      </w:r>
    </w:p>
    <w:p>
      <w:pPr>
        <w:spacing w:after="120"/>
        <w:jc w:val="both"/>
      </w:pPr>
      <w:r>
        <w:rPr>
          <w:rFonts w:ascii="Arial" w:cs="Arial" w:eastAsia="Arial" w:hAnsi="Arial"/>
          <w:sz w:val="24"/>
          <w:szCs w:val="24"/>
        </w:rPr>
        <w:t xml:space="preserve">7. Управляющая компания осуществляет свои функции в соответствии с инвестиционной декларацией инвестиционного фонда, уставом и договором, заключенным между управляющей компанией и советом директоров инвестиционного фонда.</w:t>
      </w:r>
    </w:p>
    <w:p>
      <w:pPr>
        <w:spacing w:after="120"/>
        <w:jc w:val="both"/>
      </w:pPr>
      <w:r>
        <w:rPr>
          <w:rFonts w:ascii="Arial" w:cs="Arial" w:eastAsia="Arial" w:hAnsi="Arial"/>
          <w:sz w:val="24"/>
          <w:szCs w:val="24"/>
        </w:rPr>
        <w:t xml:space="preserve">8. Управляющая компания осуществляет следующие функции:</w:t>
      </w:r>
    </w:p>
    <w:p>
      <w:pPr>
        <w:spacing w:after="120"/>
        <w:jc w:val="both"/>
      </w:pPr>
      <w:r>
        <w:rPr>
          <w:rFonts w:ascii="Arial" w:cs="Arial" w:eastAsia="Arial" w:hAnsi="Arial"/>
          <w:sz w:val="24"/>
          <w:szCs w:val="24"/>
        </w:rPr>
        <w:t xml:space="preserve">- осуществляет взаимодействие с депозитарием инвестиционного фонда и другими профессиональными участниками рынка ценных бумаг в процессе размещения ценных бумаг фонда и реализации инвестиционных решений;</w:t>
      </w:r>
    </w:p>
    <w:p>
      <w:pPr>
        <w:spacing w:after="120"/>
        <w:jc w:val="both"/>
      </w:pPr>
      <w:r>
        <w:rPr>
          <w:rFonts w:ascii="Arial" w:cs="Arial" w:eastAsia="Arial" w:hAnsi="Arial"/>
          <w:sz w:val="24"/>
          <w:szCs w:val="24"/>
        </w:rPr>
        <w:t xml:space="preserve">- принимает решения об инвестировании денежных средств инвестиционного фонда в инвестиционные активы и совершает различные гражданско-правовые сделки с этими активами;</w:t>
      </w:r>
    </w:p>
    <w:p>
      <w:pPr>
        <w:spacing w:after="120"/>
        <w:jc w:val="both"/>
      </w:pPr>
      <w:r>
        <w:rPr>
          <w:rFonts w:ascii="Arial" w:cs="Arial" w:eastAsia="Arial" w:hAnsi="Arial"/>
          <w:sz w:val="24"/>
          <w:szCs w:val="24"/>
        </w:rPr>
        <w:t xml:space="preserve">- другие функции, предусмотренные законодательством Кыргызской Республики.</w:t>
      </w:r>
    </w:p>
    <w:p>
      <w:pPr>
        <w:spacing w:after="120"/>
        <w:jc w:val="both"/>
      </w:pPr>
      <w:r>
        <w:rPr>
          <w:rFonts w:ascii="Arial" w:cs="Arial" w:eastAsia="Arial" w:hAnsi="Arial"/>
          <w:sz w:val="24"/>
          <w:szCs w:val="24"/>
        </w:rPr>
        <w:t xml:space="preserve">4. Права и обязанности управляющей компании</w:t>
      </w:r>
    </w:p>
    <w:p>
      <w:pPr>
        <w:spacing w:after="120"/>
        <w:jc w:val="both"/>
      </w:pPr>
      <w:r>
        <w:rPr>
          <w:rFonts w:ascii="Arial" w:cs="Arial" w:eastAsia="Arial" w:hAnsi="Arial"/>
          <w:sz w:val="24"/>
          <w:szCs w:val="24"/>
        </w:rPr>
        <w:t xml:space="preserve">9. Управляющая компания вправе:</w:t>
      </w:r>
    </w:p>
    <w:p>
      <w:pPr>
        <w:spacing w:after="120"/>
        <w:jc w:val="both"/>
      </w:pPr>
      <w:r>
        <w:rPr>
          <w:rFonts w:ascii="Arial" w:cs="Arial" w:eastAsia="Arial" w:hAnsi="Arial"/>
          <w:sz w:val="24"/>
          <w:szCs w:val="24"/>
        </w:rPr>
        <w:t xml:space="preserve">- принимать решения об инвестировании денежных средств инвестиционного фонда в инвестиционные активы;</w:t>
      </w:r>
    </w:p>
    <w:p>
      <w:pPr>
        <w:spacing w:after="120"/>
        <w:jc w:val="both"/>
      </w:pPr>
      <w:r>
        <w:rPr>
          <w:rFonts w:ascii="Arial" w:cs="Arial" w:eastAsia="Arial" w:hAnsi="Arial"/>
          <w:sz w:val="24"/>
          <w:szCs w:val="24"/>
        </w:rPr>
        <w:t xml:space="preserve">- осуществлять управление несколькими инвестиционными фондами при условии, что инвестиционные декларации соответствующих фондов имеют различное содержание их инвестиционных целей;</w:t>
      </w:r>
    </w:p>
    <w:p>
      <w:pPr>
        <w:spacing w:after="120"/>
        <w:jc w:val="both"/>
      </w:pPr>
      <w:r>
        <w:rPr>
          <w:rFonts w:ascii="Arial" w:cs="Arial" w:eastAsia="Arial" w:hAnsi="Arial"/>
          <w:sz w:val="24"/>
          <w:szCs w:val="24"/>
        </w:rPr>
        <w:t xml:space="preserve">- обеспечивать эффективное управление инвестициями и портфелем ценных бумаг, а также другим имуществом инвестиционного фонда с наибольшей выгодой, в интересах всех его акционеров;</w:t>
      </w:r>
    </w:p>
    <w:p>
      <w:pPr>
        <w:spacing w:after="120"/>
        <w:jc w:val="both"/>
      </w:pPr>
      <w:r>
        <w:rPr>
          <w:rFonts w:ascii="Arial" w:cs="Arial" w:eastAsia="Arial" w:hAnsi="Arial"/>
          <w:sz w:val="24"/>
          <w:szCs w:val="24"/>
        </w:rPr>
        <w:t xml:space="preserve">- обеспечивать конфиденциальность информации об инвестициях инвестиционного фонда, а также принимать соответствующие меры для соблюдения конфиденциальности информации относительно инвестиций инвестиционного фонда;</w:t>
      </w:r>
    </w:p>
    <w:p>
      <w:pPr>
        <w:spacing w:after="120"/>
        <w:jc w:val="both"/>
      </w:pPr>
      <w:r>
        <w:rPr>
          <w:rFonts w:ascii="Arial" w:cs="Arial" w:eastAsia="Arial" w:hAnsi="Arial"/>
          <w:sz w:val="24"/>
          <w:szCs w:val="24"/>
        </w:rPr>
        <w:t xml:space="preserve">- регулярно консультировать совет директоров инвестиционного фонда по вопросам инвестиционной политики инвестиционного фонда.</w:t>
      </w:r>
    </w:p>
    <w:p>
      <w:pPr>
        <w:spacing w:after="120"/>
        <w:jc w:val="both"/>
      </w:pPr>
      <w:r>
        <w:rPr>
          <w:rFonts w:ascii="Arial" w:cs="Arial" w:eastAsia="Arial" w:hAnsi="Arial"/>
          <w:sz w:val="24"/>
          <w:szCs w:val="24"/>
        </w:rPr>
        <w:t xml:space="preserve">10. К обязанностям управляющей компании относятся:</w:t>
      </w:r>
    </w:p>
    <w:p>
      <w:pPr>
        <w:spacing w:after="120"/>
        <w:jc w:val="both"/>
      </w:pPr>
      <w:r>
        <w:rPr>
          <w:rFonts w:ascii="Arial" w:cs="Arial" w:eastAsia="Arial" w:hAnsi="Arial"/>
          <w:sz w:val="24"/>
          <w:szCs w:val="24"/>
        </w:rPr>
        <w:t xml:space="preserve">- осуществление инвестиционной политики инвестиционного фонда на основании его инвестиционной декларации, включающей в себя принятие решений о заключении и осуществлении различных сделок с инвестиционными активами;</w:t>
      </w:r>
    </w:p>
    <w:p>
      <w:pPr>
        <w:spacing w:after="120"/>
        <w:jc w:val="both"/>
      </w:pPr>
      <w:r>
        <w:rPr>
          <w:rFonts w:ascii="Arial" w:cs="Arial" w:eastAsia="Arial" w:hAnsi="Arial"/>
          <w:sz w:val="24"/>
          <w:szCs w:val="24"/>
        </w:rPr>
        <w:t xml:space="preserve">- осуществление регулярной отчетности о результатах своей деятельности перед советом директоров акционерного инвестиционного фонда и уполномоченным государственным органом по рынку ценных бумаг;</w:t>
      </w:r>
    </w:p>
    <w:p>
      <w:pPr>
        <w:spacing w:after="120"/>
        <w:jc w:val="both"/>
      </w:pPr>
      <w:r>
        <w:rPr>
          <w:rFonts w:ascii="Arial" w:cs="Arial" w:eastAsia="Arial" w:hAnsi="Arial"/>
          <w:sz w:val="24"/>
          <w:szCs w:val="24"/>
        </w:rPr>
        <w:t xml:space="preserve">- представление интересов инвестиционного фонда в отношениях с третьими лицами и принятие всех возможных действий для защиты интересов инвестиционного фонда;</w:t>
      </w:r>
    </w:p>
    <w:p>
      <w:pPr>
        <w:spacing w:after="120"/>
        <w:jc w:val="both"/>
      </w:pPr>
      <w:r>
        <w:rPr>
          <w:rFonts w:ascii="Arial" w:cs="Arial" w:eastAsia="Arial" w:hAnsi="Arial"/>
          <w:sz w:val="24"/>
          <w:szCs w:val="24"/>
        </w:rPr>
        <w:t xml:space="preserve">- другие обязанности, установленные соответствующим договором об управлении акционерным инвестиционным фондом, правилами паевого инвестиционного фонда и нормативными правовыми актами Кыргызской Республики.</w:t>
      </w:r>
    </w:p>
    <w:p>
      <w:pPr>
        <w:spacing w:after="120"/>
        <w:jc w:val="both"/>
      </w:pPr>
      <w:r>
        <w:rPr>
          <w:rFonts w:ascii="Arial" w:cs="Arial" w:eastAsia="Arial" w:hAnsi="Arial"/>
          <w:sz w:val="24"/>
          <w:szCs w:val="24"/>
        </w:rPr>
        <w:t xml:space="preserve">5. Вознаграждение и расходы управляющей компании</w:t>
      </w:r>
    </w:p>
    <w:p>
      <w:pPr>
        <w:spacing w:after="120"/>
        <w:jc w:val="both"/>
      </w:pPr>
      <w:r>
        <w:rPr>
          <w:rFonts w:ascii="Arial" w:cs="Arial" w:eastAsia="Arial" w:hAnsi="Arial"/>
          <w:sz w:val="24"/>
          <w:szCs w:val="24"/>
        </w:rPr>
        <w:t xml:space="preserve">11. Вознаграждение управляющей компании, связанное с управлением инвестиционным фондом, определяется как разность предельных суммарных годовых расходов инвестиционного фонда, установленных в договоре на управление инвестиционным фондом, и фактических затрат на рекламу, услуги аудитора, независимого оценщика, вознаграждение совета директоров, депозитария и других организаций, осуществляющих профессиональную деятельность по ценным бумагам, связанную с деятельностью инвестиционного фонда.</w:t>
      </w:r>
    </w:p>
    <w:p>
      <w:pPr>
        <w:spacing w:after="120"/>
        <w:jc w:val="both"/>
      </w:pPr>
      <w:r>
        <w:rPr>
          <w:rFonts w:ascii="Arial" w:cs="Arial" w:eastAsia="Arial" w:hAnsi="Arial"/>
          <w:sz w:val="24"/>
          <w:szCs w:val="24"/>
        </w:rPr>
        <w:t xml:space="preserve">12. Выплата вознаграждения управляющей компании может производиться в течение календарного года в размере не более 5 процентов от среднегодовой стоимости чистых активов инвестиционного фонда, деленной на количество выплат за календарный год.</w:t>
      </w:r>
    </w:p>
    <w:p>
      <w:pPr>
        <w:spacing w:after="120"/>
        <w:jc w:val="both"/>
      </w:pPr>
      <w:r>
        <w:rPr>
          <w:rFonts w:ascii="Arial" w:cs="Arial" w:eastAsia="Arial" w:hAnsi="Arial"/>
          <w:sz w:val="24"/>
          <w:szCs w:val="24"/>
        </w:rPr>
        <w:t xml:space="preserve">Максимальное годовое вознаграждение управляющей компании не должно превышать разницы между предельными суммарными годовыми расходами инвестиционного фонда и его фактическими затратами.</w:t>
      </w:r>
    </w:p>
    <w:p>
      <w:pPr>
        <w:spacing w:after="120"/>
        <w:jc w:val="both"/>
      </w:pPr>
      <w:r>
        <w:rPr>
          <w:rFonts w:ascii="Arial" w:cs="Arial" w:eastAsia="Arial" w:hAnsi="Arial"/>
          <w:sz w:val="24"/>
          <w:szCs w:val="24"/>
        </w:rPr>
        <w:t xml:space="preserve">Если по итогам финансового года вознаграждение, выплаченное управляющей компании за год, будет меньше разности предельных суммарных годовых расходов фактических затрат инвестиционного фонда (за исключением затрат на вознаграждение управляющей компании), то разница между выплаченным вознаграждением и суммой, оставшейся после вычета от суммы предельных годовых расходов инвестиционного фонда фактических затрат, может быть выплачена Управляющей компании.</w:t>
      </w:r>
    </w:p>
    <w:p>
      <w:pPr>
        <w:spacing w:after="120"/>
        <w:jc w:val="both"/>
      </w:pPr>
      <w:r>
        <w:rPr>
          <w:rFonts w:ascii="Arial" w:cs="Arial" w:eastAsia="Arial" w:hAnsi="Arial"/>
          <w:sz w:val="24"/>
          <w:szCs w:val="24"/>
        </w:rPr>
        <w:t xml:space="preserve">Если по итогам финансового года вознаграждение, выплаченное управляющей компании за год, будет больше разности предельных суммарных годовых расходов и фактических затрат инвестиционного фонда (за исключением затрат на вознаграждение управляющей компании), то разница между выплаченным вознаграждением и суммой, оставшейся после вычета от суммы предельных годовых расходов инвестиционного фонда фактических затрат, должна быть восстановлена управляющей компанией.</w:t>
      </w:r>
    </w:p>
    <w:p>
      <w:pPr>
        <w:spacing w:after="120"/>
        <w:jc w:val="both"/>
      </w:pPr>
      <w:r>
        <w:rPr>
          <w:rFonts w:ascii="Arial" w:cs="Arial" w:eastAsia="Arial" w:hAnsi="Arial"/>
          <w:sz w:val="24"/>
          <w:szCs w:val="24"/>
        </w:rPr>
        <w:t xml:space="preserve">13. Договором об управлении инвестиционным фондом может быть предусмотрено ограничение предельных суммарных годовых расходов инвестиционного фонда менее 8 процентов.</w:t>
      </w:r>
    </w:p>
    <w:p>
      <w:pPr>
        <w:spacing w:after="120"/>
        <w:jc w:val="both"/>
      </w:pPr>
      <w:r>
        <w:rPr>
          <w:rFonts w:ascii="Arial" w:cs="Arial" w:eastAsia="Arial" w:hAnsi="Arial"/>
          <w:sz w:val="24"/>
          <w:szCs w:val="24"/>
        </w:rPr>
        <w:t xml:space="preserve">14. Стоимость чистых активов и расходов инвестиционного фонда, определенных ежемесячно и указанных в пояснительной записке, должны быть представлены фондом в уполномоченный государственный орган по регулированию рынка ценных бумаг, с ежеквартальной отчетностью согласно Положению об активах инвестиционных фондов, утвержденному Правительством Кыргызской Республики.</w:t>
      </w:r>
    </w:p>
    <w:p>
      <w:pPr>
        <w:spacing w:after="120"/>
        <w:jc w:val="both"/>
      </w:pPr>
      <w:r>
        <w:rPr>
          <w:rFonts w:ascii="Arial" w:cs="Arial" w:eastAsia="Arial" w:hAnsi="Arial"/>
          <w:sz w:val="24"/>
          <w:szCs w:val="24"/>
        </w:rPr>
        <w:t xml:space="preserve">14-1. Нормы, установленные настоящим разделом, не распространяются на деятельность инвестиционных фондов для квалифицированных инвесторов.</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xeqomveu0cegq_uuak5rz">
        <w:r>
          <w:rPr>
            <w:rFonts w:ascii="Arial" w:cs="Arial" w:eastAsia="Arial" w:hAnsi="Arial"/>
            <w:color w:val="1D4ED8"/>
            <w:sz w:val="24"/>
            <w:szCs w:val="24"/>
            <w:u w:val="single"/>
          </w:rPr>
          <w:t xml:space="preserve">29 октября 2019 года № 580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Ограничение деятельности управляющей компании</w:t>
      </w:r>
    </w:p>
    <w:p>
      <w:pPr>
        <w:spacing w:after="120"/>
        <w:jc w:val="both"/>
      </w:pPr>
      <w:r>
        <w:rPr>
          <w:rFonts w:ascii="Arial" w:cs="Arial" w:eastAsia="Arial" w:hAnsi="Arial"/>
          <w:sz w:val="24"/>
          <w:szCs w:val="24"/>
        </w:rPr>
        <w:t xml:space="preserve">15. Управляющая компания не вправе без согласия совета директоров:</w:t>
      </w:r>
    </w:p>
    <w:p>
      <w:pPr>
        <w:spacing w:after="120"/>
        <w:jc w:val="both"/>
      </w:pPr>
      <w:r>
        <w:rPr>
          <w:rFonts w:ascii="Arial" w:cs="Arial" w:eastAsia="Arial" w:hAnsi="Arial"/>
          <w:sz w:val="24"/>
          <w:szCs w:val="24"/>
        </w:rPr>
        <w:t xml:space="preserve">- принимать решения и совершать действия, в результате которых инвестиционный фонд делает инвестиции в организации, с которыми управляющая компания имеет или приобретает в результате сделки гражданско-правовые отношения либо права собственника или кредитора;</w:t>
      </w:r>
    </w:p>
    <w:p>
      <w:pPr>
        <w:spacing w:after="120"/>
        <w:jc w:val="both"/>
      </w:pPr>
      <w:r>
        <w:rPr>
          <w:rFonts w:ascii="Arial" w:cs="Arial" w:eastAsia="Arial" w:hAnsi="Arial"/>
          <w:sz w:val="24"/>
          <w:szCs w:val="24"/>
        </w:rPr>
        <w:t xml:space="preserve">- давать консультации третьим лицам в отношении сделок, одной из сторон в которых является организация, 5 или более процентами акций которой владеет инвестиционный фонд.</w:t>
      </w:r>
    </w:p>
    <w:p>
      <w:pPr>
        <w:spacing w:after="120"/>
        <w:jc w:val="both"/>
      </w:pPr>
      <w:r>
        <w:rPr>
          <w:rFonts w:ascii="Arial" w:cs="Arial" w:eastAsia="Arial" w:hAnsi="Arial"/>
          <w:sz w:val="24"/>
          <w:szCs w:val="24"/>
        </w:rPr>
        <w:t xml:space="preserve">16. Информация обо всех сделках с ценными бумагами, в которых участвовали управляющая компания и ее должностные лица, должна быть доведена в качестве отчета до сведения совета директоров инвестиционного фонда в месячный срок после заключения сделки. Настоящие требования распространяются на сделки с ценными бумагами только тех эмитентов, ценные бумаги которых имеются в активах инвестиционного фонда.</w:t>
      </w:r>
    </w:p>
    <w:p>
      <w:pPr>
        <w:spacing w:after="120"/>
        <w:jc w:val="both"/>
      </w:pPr>
      <w:r>
        <w:rPr>
          <w:rFonts w:ascii="Arial" w:cs="Arial" w:eastAsia="Arial" w:hAnsi="Arial"/>
          <w:sz w:val="24"/>
          <w:szCs w:val="24"/>
        </w:rPr>
        <w:t xml:space="preserve">17. Управляющая компания не вправе своими действиями или через действия инвестиционного фонда:</w:t>
      </w:r>
    </w:p>
    <w:p>
      <w:pPr>
        <w:spacing w:after="120"/>
        <w:jc w:val="both"/>
      </w:pPr>
      <w:r>
        <w:rPr>
          <w:rFonts w:ascii="Arial" w:cs="Arial" w:eastAsia="Arial" w:hAnsi="Arial"/>
          <w:sz w:val="24"/>
          <w:szCs w:val="24"/>
        </w:rPr>
        <w:t xml:space="preserve">- совершать действия, запрещенные законодательством Кыргызской Республики, положениями Устава инвестиционного фонда, инвестиционной декларации и ограничивающие деятельность инвестиционного фонда, в соответствии с </w:t>
      </w:r>
      <w:hyperlink w:history="1" r:id="rId7am4ndw_sx9f_lezrktz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инвестиционных фондах";</w:t>
      </w:r>
    </w:p>
    <w:p>
      <w:pPr>
        <w:spacing w:after="120"/>
        <w:jc w:val="both"/>
      </w:pPr>
      <w:r>
        <w:rPr>
          <w:rFonts w:ascii="Arial" w:cs="Arial" w:eastAsia="Arial" w:hAnsi="Arial"/>
          <w:sz w:val="24"/>
          <w:szCs w:val="24"/>
        </w:rPr>
        <w:t xml:space="preserve">- использовать или раскрывать конфиденциальную информацию материального характера, полученную от инвестиционного фонда, использовать возможность покупки или продажи ценных бумаг, представившуюся инвестиционному фонду, в своих интересах или в интересах любого другого, чем инвестиционный фонд, лица;</w:t>
      </w:r>
    </w:p>
    <w:p>
      <w:pPr>
        <w:spacing w:after="120"/>
        <w:jc w:val="both"/>
      </w:pPr>
      <w:r>
        <w:rPr>
          <w:rFonts w:ascii="Arial" w:cs="Arial" w:eastAsia="Arial" w:hAnsi="Arial"/>
          <w:sz w:val="24"/>
          <w:szCs w:val="24"/>
        </w:rPr>
        <w:t xml:space="preserve">- приобретать за счет находящихся в его управлении денежных средств ценные бумаги, находящиеся в его собственности, собственности его учредителя;</w:t>
      </w:r>
    </w:p>
    <w:p>
      <w:pPr>
        <w:spacing w:after="120"/>
        <w:jc w:val="both"/>
      </w:pPr>
      <w:r>
        <w:rPr>
          <w:rFonts w:ascii="Arial" w:cs="Arial" w:eastAsia="Arial" w:hAnsi="Arial"/>
          <w:sz w:val="24"/>
          <w:szCs w:val="24"/>
        </w:rPr>
        <w:t xml:space="preserve">- отчуждать находящиеся в его управлении ценные бумаги в свою собственность, в собственность своих учредителей;</w:t>
      </w:r>
    </w:p>
    <w:p>
      <w:pPr>
        <w:spacing w:after="120"/>
        <w:jc w:val="both"/>
      </w:pPr>
      <w:r>
        <w:rPr>
          <w:rFonts w:ascii="Arial" w:cs="Arial" w:eastAsia="Arial" w:hAnsi="Arial"/>
          <w:sz w:val="24"/>
          <w:szCs w:val="24"/>
        </w:rPr>
        <w:t xml:space="preserve">- осуществлять сделки, в которых управляющая компания одновременно выступает в качестве брокера (комиссионера, поверенного) на стороне другого лица;</w:t>
      </w:r>
    </w:p>
    <w:p>
      <w:pPr>
        <w:spacing w:after="120"/>
        <w:jc w:val="both"/>
      </w:pPr>
      <w:r>
        <w:rPr>
          <w:rFonts w:ascii="Arial" w:cs="Arial" w:eastAsia="Arial" w:hAnsi="Arial"/>
          <w:sz w:val="24"/>
          <w:szCs w:val="24"/>
        </w:rPr>
        <w:t xml:space="preserve">- приобретать за счет находящихся в его управлении денежных средств ценные бумаги организаций, находящихся в процессе ликвидации, в том числе в соответствии с нормами законодательства Кыргызской Республики о банкротстве, если информация об этом была раскрыта в соответствии с порядком и процедурами раскрытия информации, устанавливаемыми Правительством Кыргызской Республики.</w:t>
      </w:r>
    </w:p>
    <w:p>
      <w:pPr>
        <w:spacing w:after="120"/>
        <w:jc w:val="both"/>
      </w:pPr>
      <w:r>
        <w:rPr>
          <w:rFonts w:ascii="Arial" w:cs="Arial" w:eastAsia="Arial" w:hAnsi="Arial"/>
          <w:sz w:val="24"/>
          <w:szCs w:val="24"/>
        </w:rPr>
        <w:t xml:space="preserve">18. Члены совета директоров инвестиционного фонда не могут быть должностными лицами управляющей компании.</w:t>
      </w:r>
    </w:p>
    <w:p>
      <w:pPr>
        <w:spacing w:after="120"/>
        <w:jc w:val="both"/>
      </w:pPr>
      <w:r>
        <w:rPr>
          <w:rFonts w:ascii="Arial" w:cs="Arial" w:eastAsia="Arial" w:hAnsi="Arial"/>
          <w:sz w:val="24"/>
          <w:szCs w:val="24"/>
        </w:rPr>
        <w:t xml:space="preserve">7. Дополнительные условия и ответственность управляющей компании</w:t>
      </w:r>
    </w:p>
    <w:p>
      <w:pPr>
        <w:spacing w:after="120"/>
        <w:jc w:val="both"/>
      </w:pPr>
      <w:r>
        <w:rPr>
          <w:rFonts w:ascii="Arial" w:cs="Arial" w:eastAsia="Arial" w:hAnsi="Arial"/>
          <w:sz w:val="24"/>
          <w:szCs w:val="24"/>
        </w:rPr>
        <w:t xml:space="preserve">19. Уполномоченный государственный орган по регулированию рынка ценных бумаг проводит проверки соответствия деятельности управляющей компании полученной ею лицензии, уставу и инвестиционной декларации инвестиционного фонда.</w:t>
      </w:r>
    </w:p>
    <w:p>
      <w:pPr>
        <w:spacing w:after="120"/>
        <w:jc w:val="both"/>
      </w:pPr>
      <w:r>
        <w:rPr>
          <w:rFonts w:ascii="Arial" w:cs="Arial" w:eastAsia="Arial" w:hAnsi="Arial"/>
          <w:sz w:val="24"/>
          <w:szCs w:val="24"/>
        </w:rPr>
        <w:t xml:space="preserve">20. Управляющая компания обязана предоставить в уполномоченный государственный орган по регулированию рынка ценных бумаг отчетность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21. Должностные лица управляющей компании в соответствии с законодательством Кыргызской Республики несут имущественную, дисциплинарную, административную и уголовную ответственность за свои неправомерные действия, в том числе за ущерб, причиненный инвестиционному фонду.</w:t>
      </w:r>
    </w:p>
    <w:p>
      <w:pPr>
        <w:spacing w:after="120"/>
        <w:jc w:val="both"/>
      </w:pPr>
      <w:r>
        <w:rPr>
          <w:rFonts w:ascii="Arial" w:cs="Arial" w:eastAsia="Arial" w:hAnsi="Arial"/>
          <w:sz w:val="24"/>
          <w:szCs w:val="24"/>
        </w:rPr>
        <w:t xml:space="preserve">22. Неустранение выявленных нарушений в деятельности управляющей компании в срок, указанный в предписании уполномоченного государственного органа по регулированию рынка ценных бумаг, влечет приостановление или отзыв лицензии управляющей компании.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kzahrc9j9op3ykmdofgc">
      <w:r>
        <w:rPr>
          <w:rFonts w:ascii="Arial" w:cs="Arial" w:eastAsia="Arial" w:hAnsi="Arial"/>
          <w:color w:val="132D3F"/>
          <w:sz w:val="16"/>
          <w:szCs w:val="16"/>
          <w:u w:val="single"/>
        </w:rPr>
        <w:t xml:space="preserve">dalil.kg/document/92710</w:t>
      </w:r>
    </w:hyperlink>
  </w:p>
  <w:p>
    <w:pPr>
      <w:spacing w:after="0" w:before="40"/>
      <w:jc w:val="center"/>
    </w:pPr>
    <w:hyperlink w:history="1" r:id="rIdnsvh0cmra0m0ygezx8tg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kgmrh75a0g1bqiq68grq" Type="http://schemas.openxmlformats.org/officeDocument/2006/relationships/hyperlink" Target="https://dalil.kg/document/157225" TargetMode="External"/><Relationship Id="rIdxeqomveu0cegq_uuak5rz" Type="http://schemas.openxmlformats.org/officeDocument/2006/relationships/hyperlink" Target="https://dalil.kg/document/157225" TargetMode="External"/><Relationship Id="rId7am4ndw_sx9f_lezrktz9" Type="http://schemas.openxmlformats.org/officeDocument/2006/relationships/hyperlink" Target="https://dalil.kg/document/25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kzahrc9j9op3ykmdofgc" Type="http://schemas.openxmlformats.org/officeDocument/2006/relationships/hyperlink" Target="https://dalil.kg/document/92710" TargetMode="External"/><Relationship Id="rIdnsvh0cmra0m0ygezx8tg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2026-09-24T06:25:17.498Z</dcterms:created>
  <dcterms:modified xsi:type="dcterms:W3CDTF">2026-09-24T06:25:17.498Z</dcterms:modified>
</cp:coreProperties>
</file>

<file path=docProps/custom.xml><?xml version="1.0" encoding="utf-8"?>
<Properties xmlns="http://schemas.openxmlformats.org/officeDocument/2006/custom-properties" xmlns:vt="http://schemas.openxmlformats.org/officeDocument/2006/docPropsVTypes"/>
</file>