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8 августа 2011 года № 454 </w:t>
      </w:r>
    </w:p>
    <w:p>
      <w:pPr>
        <w:spacing w:after="480" w:before="200"/>
        <w:jc w:val="center"/>
      </w:pPr>
      <w:r>
        <w:rPr>
          <w:rFonts w:ascii="Arial" w:cs="Arial" w:eastAsia="Arial" w:hAnsi="Arial"/>
          <w:b/>
          <w:bCs/>
          <w:sz w:val="28"/>
          <w:szCs w:val="28"/>
        </w:rPr>
        <w:t xml:space="preserve">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 установленными для проезда по автомобильным дорогам общего пользования Кыргызской Республики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w:t>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pbvslgmz9olcocy00ytb">
        <w:r>
          <w:rPr>
            <w:rFonts w:ascii="Arial" w:cs="Arial" w:eastAsia="Arial" w:hAnsi="Arial"/>
            <w:i/>
            <w:iCs/>
            <w:color w:val="1D4ED8"/>
            <w:sz w:val="24"/>
            <w:szCs w:val="24"/>
            <w:u w:val="single"/>
          </w:rPr>
          <w:t xml:space="preserve">10 ноября 2011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707</w:t>
        </w:r>
      </w:hyperlink>
      <w:r>
        <w:rPr>
          <w:rFonts w:ascii="Arial" w:cs="Arial" w:eastAsia="Arial" w:hAnsi="Arial"/>
          <w:i/>
          <w:iCs/>
          <w:sz w:val="24"/>
          <w:szCs w:val="24"/>
        </w:rPr>
        <w:t xml:space="preserve">, </w:t>
      </w:r>
      <w:hyperlink w:history="1" r:id="rId4z4d_9-2kib-tgohbykln">
        <w:r>
          <w:rPr>
            <w:rFonts w:ascii="Arial" w:cs="Arial" w:eastAsia="Arial" w:hAnsi="Arial"/>
            <w:i/>
            <w:iCs/>
            <w:color w:val="1D4ED8"/>
            <w:sz w:val="24"/>
            <w:szCs w:val="24"/>
            <w:u w:val="single"/>
          </w:rPr>
          <w:t xml:space="preserve">26 июля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419</w:t>
        </w:r>
      </w:hyperlink>
      <w:r>
        <w:rPr>
          <w:rFonts w:ascii="Arial" w:cs="Arial" w:eastAsia="Arial" w:hAnsi="Arial"/>
          <w:i/>
          <w:iCs/>
          <w:sz w:val="24"/>
          <w:szCs w:val="24"/>
        </w:rPr>
        <w:t xml:space="preserve">, </w:t>
      </w:r>
      <w:hyperlink w:history="1" r:id="rIdif9ztxsmlaz8dkpbmyjop">
        <w:r>
          <w:rPr>
            <w:rFonts w:ascii="Arial" w:cs="Arial" w:eastAsia="Arial" w:hAnsi="Arial"/>
            <w:i/>
            <w:iCs/>
            <w:color w:val="1D4ED8"/>
            <w:sz w:val="24"/>
            <w:szCs w:val="24"/>
            <w:u w:val="single"/>
          </w:rPr>
          <w:t xml:space="preserve">13 июля 2015 года № 481</w:t>
        </w:r>
      </w:hyperlink>
      <w:r>
        <w:rPr>
          <w:rFonts w:ascii="Arial" w:cs="Arial" w:eastAsia="Arial" w:hAnsi="Arial"/>
          <w:i/>
          <w:iCs/>
          <w:sz w:val="24"/>
          <w:szCs w:val="24"/>
        </w:rPr>
        <w:t xml:space="preserve">, </w:t>
      </w:r>
      <w:hyperlink w:history="1" r:id="rIdhnisu2zgx7gsfg8im1kwa">
        <w:r>
          <w:rPr>
            <w:rFonts w:ascii="Arial" w:cs="Arial" w:eastAsia="Arial" w:hAnsi="Arial"/>
            <w:i/>
            <w:iCs/>
            <w:color w:val="1D4ED8"/>
            <w:sz w:val="24"/>
            <w:szCs w:val="24"/>
            <w:u w:val="single"/>
          </w:rPr>
          <w:t xml:space="preserve">3 февраля 2017 года № 68</w:t>
        </w:r>
      </w:hyperlink>
      <w:r>
        <w:rPr>
          <w:rFonts w:ascii="Arial" w:cs="Arial" w:eastAsia="Arial" w:hAnsi="Arial"/>
          <w:i/>
          <w:iCs/>
          <w:sz w:val="24"/>
          <w:szCs w:val="24"/>
        </w:rPr>
        <w:t xml:space="preserve">, </w:t>
      </w:r>
      <w:hyperlink w:history="1" r:id="rId7pc4g10zlsprk0yztkmvs">
        <w:r>
          <w:rPr>
            <w:rFonts w:ascii="Arial" w:cs="Arial" w:eastAsia="Arial" w:hAnsi="Arial"/>
            <w:i/>
            <w:iCs/>
            <w:color w:val="1D4ED8"/>
            <w:sz w:val="24"/>
            <w:szCs w:val="24"/>
            <w:u w:val="single"/>
          </w:rPr>
          <w:t xml:space="preserve">24 августа 2017 года № 525</w:t>
        </w:r>
      </w:hyperlink>
      <w:r>
        <w:rPr>
          <w:rFonts w:ascii="Arial" w:cs="Arial" w:eastAsia="Arial" w:hAnsi="Arial"/>
          <w:i/>
          <w:iCs/>
          <w:sz w:val="24"/>
          <w:szCs w:val="24"/>
        </w:rPr>
        <w:t xml:space="preserve">, </w:t>
      </w:r>
      <w:hyperlink w:history="1" r:id="rIdg3a_vcf5tlv_s61frqcoz">
        <w:r>
          <w:rPr>
            <w:rFonts w:ascii="Arial" w:cs="Arial" w:eastAsia="Arial" w:hAnsi="Arial"/>
            <w:i/>
            <w:iCs/>
            <w:color w:val="1D4ED8"/>
            <w:sz w:val="24"/>
            <w:szCs w:val="24"/>
            <w:u w:val="single"/>
          </w:rPr>
          <w:t xml:space="preserve">24 января 2020 года № 29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xsomcocygxrdsntdr0sb">
        <w:r>
          <w:rPr>
            <w:rFonts w:ascii="Arial" w:cs="Arial" w:eastAsia="Arial" w:hAnsi="Arial"/>
            <w:i/>
            <w:iCs/>
            <w:color w:val="1D4ED8"/>
            <w:sz w:val="24"/>
            <w:szCs w:val="24"/>
            <w:u w:val="single"/>
          </w:rPr>
          <w:t xml:space="preserve">14 января 2022 года № 12</w:t>
        </w:r>
      </w:hyperlink>
      <w:r>
        <w:rPr>
          <w:rFonts w:ascii="Arial" w:cs="Arial" w:eastAsia="Arial" w:hAnsi="Arial"/>
          <w:i/>
          <w:iCs/>
          <w:sz w:val="24"/>
          <w:szCs w:val="24"/>
        </w:rPr>
        <w:t xml:space="preserve">, </w:t>
      </w:r>
      <w:hyperlink w:history="1" r:id="rIdvjwj0bficpebzamqv6-fn">
        <w:r>
          <w:rPr>
            <w:rFonts w:ascii="Arial" w:cs="Arial" w:eastAsia="Arial" w:hAnsi="Arial"/>
            <w:i/>
            <w:iCs/>
            <w:color w:val="1D4ED8"/>
            <w:sz w:val="24"/>
            <w:szCs w:val="24"/>
            <w:u w:val="single"/>
          </w:rPr>
          <w:t xml:space="preserve">17 января 2024 года № 11</w:t>
        </w:r>
      </w:hyperlink>
      <w:r>
        <w:rPr>
          <w:rFonts w:ascii="Arial" w:cs="Arial" w:eastAsia="Arial" w:hAnsi="Arial"/>
          <w:sz w:val="24"/>
          <w:szCs w:val="24"/>
        </w:rPr>
        <w:t xml:space="preserve">, </w:t>
      </w:r>
      <w:hyperlink w:history="1" r:id="rIdpxyqe2r9syyer2nn4ohjq">
        <w:r>
          <w:rPr>
            <w:rFonts w:ascii="Arial" w:cs="Arial" w:eastAsia="Arial" w:hAnsi="Arial"/>
            <w:i/>
            <w:iCs/>
            <w:color w:val="1D4ED8"/>
            <w:sz w:val="24"/>
            <w:szCs w:val="24"/>
            <w:u w:val="single"/>
          </w:rPr>
          <w:t xml:space="preserve">22 октября 2024 года № 638, </w:t>
        </w:r>
      </w:hyperlink>
      <w:hyperlink w:history="1" r:id="rId3lxpyzvavgqkebpstgl2e">
        <w:r>
          <w:rPr>
            <w:rFonts w:ascii="Arial" w:cs="Arial" w:eastAsia="Arial" w:hAnsi="Arial"/>
            <w:i/>
            <w:iCs/>
            <w:color w:val="1D4ED8"/>
            <w:sz w:val="24"/>
            <w:szCs w:val="24"/>
            <w:u w:val="single"/>
          </w:rPr>
          <w:t xml:space="preserve">9 июня 2025 года № 324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w:t>
      </w:r>
      <w:hyperlink w:history="1" r:id="rId9vchj6mlu_e9it9nh9na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автомобильных дорогах», в целях обеспечения сохранности автомобильных дорог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Утвердить прилагаемые:</w:t>
      </w:r>
    </w:p>
    <w:p>
      <w:pPr>
        <w:spacing w:after="120"/>
        <w:ind w:firstLine="397"/>
        <w:jc w:val="both"/>
      </w:pPr>
      <w:r>
        <w:rPr>
          <w:rFonts w:ascii="Arial" w:cs="Arial" w:eastAsia="Arial" w:hAnsi="Arial"/>
          <w:sz w:val="24"/>
          <w:szCs w:val="24"/>
        </w:rPr>
        <w:t xml:space="preserve">- </w:t>
      </w:r>
      <w:hyperlink w:history="1" r:id="rIdjhqlpocfm7femdszyiqap">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 установленными для проезда по автомобильным дорогам общего пользования Кыргызской Республики;</w:t>
      </w:r>
    </w:p>
    <w:p>
      <w:pPr>
        <w:spacing w:after="120"/>
        <w:ind w:firstLine="397"/>
        <w:jc w:val="both"/>
      </w:pPr>
      <w:r>
        <w:rPr>
          <w:rFonts w:ascii="Arial" w:cs="Arial" w:eastAsia="Arial" w:hAnsi="Arial"/>
          <w:sz w:val="24"/>
          <w:szCs w:val="24"/>
        </w:rPr>
        <w:t xml:space="preserve">- </w:t>
      </w:r>
      <w:hyperlink w:history="1" r:id="rIdg4k0czg5xjxsxbdpp_muy">
        <w:r>
          <w:rPr>
            <w:rFonts w:ascii="Arial" w:cs="Arial" w:eastAsia="Arial" w:hAnsi="Arial"/>
            <w:color w:val="1D4ED8"/>
            <w:sz w:val="24"/>
            <w:szCs w:val="24"/>
            <w:u w:val="single"/>
          </w:rPr>
          <w:t xml:space="preserve">Максимальные допустимые весогабаритные параметры</w:t>
        </w:r>
      </w:hyperlink>
      <w:r>
        <w:rPr>
          <w:rFonts w:ascii="Arial" w:cs="Arial" w:eastAsia="Arial" w:hAnsi="Arial"/>
          <w:sz w:val="24"/>
          <w:szCs w:val="24"/>
        </w:rPr>
        <w:t xml:space="preserve"> транспортных средств, установленные для передвижения по автомобильным дорогам общего пользования Кыргызской Республики;</w:t>
      </w:r>
    </w:p>
    <w:p>
      <w:pPr>
        <w:spacing w:after="120"/>
        <w:ind w:firstLine="397"/>
        <w:jc w:val="both"/>
      </w:pPr>
      <w:r>
        <w:rPr>
          <w:rFonts w:ascii="Arial" w:cs="Arial" w:eastAsia="Arial" w:hAnsi="Arial"/>
          <w:sz w:val="24"/>
          <w:szCs w:val="24"/>
        </w:rPr>
        <w:t xml:space="preserve">- </w:t>
      </w:r>
      <w:hyperlink w:history="1" r:id="rIdlviwmfxag99btvbklm--e">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пропуска и взимания сборов за проезд транспортных средств с неделимым грузом, специальных транспортных средств по автомобильным дорогам общего пользования Кыргызской Республики;</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w:t>
      </w:r>
      <w:r>
        <w:rPr>
          <w:rFonts w:ascii="Arial" w:cs="Arial" w:eastAsia="Arial" w:hAnsi="Arial"/>
          <w:i/>
          <w:iCs/>
          <w:sz w:val="24"/>
          <w:szCs w:val="24"/>
        </w:rPr>
        <w:t xml:space="preserve">Абзац пятый у</w:t>
      </w:r>
      <w:r>
        <w:rPr>
          <w:rFonts w:ascii="Arial" w:cs="Arial" w:eastAsia="Arial" w:hAnsi="Arial"/>
          <w:i/>
          <w:iCs/>
          <w:sz w:val="24"/>
          <w:szCs w:val="24"/>
        </w:rPr>
        <w:t xml:space="preserve">тратил силу в соответствии с </w:t>
      </w:r>
      <w:hyperlink w:history="1" r:id="rIdigrtvun3p2_nqoce6mxq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13 июля 2015 года № 481)</w:t>
      </w:r>
    </w:p>
    <w:p>
      <w:pPr>
        <w:spacing w:after="120"/>
        <w:ind w:firstLine="397"/>
        <w:jc w:val="both"/>
      </w:pPr>
      <w:r>
        <w:rPr>
          <w:rFonts w:ascii="Arial" w:cs="Arial" w:eastAsia="Arial" w:hAnsi="Arial"/>
          <w:sz w:val="24"/>
          <w:szCs w:val="24"/>
        </w:rPr>
        <w:t xml:space="preserve">- </w:t>
      </w:r>
      <w:hyperlink w:history="1" r:id="rIdjqn130ykhqva4a_led-f8">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установления и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 специальными транспортными средствами;</w:t>
      </w:r>
    </w:p>
    <w:p>
      <w:pPr>
        <w:spacing w:after="120"/>
        <w:ind w:firstLine="397"/>
        <w:jc w:val="both"/>
      </w:pPr>
      <w:r>
        <w:rPr>
          <w:rFonts w:ascii="Arial" w:cs="Arial" w:eastAsia="Arial" w:hAnsi="Arial"/>
          <w:sz w:val="24"/>
          <w:szCs w:val="24"/>
        </w:rPr>
        <w:t xml:space="preserve">- </w:t>
      </w:r>
      <w:hyperlink w:history="1" r:id="rId22h4uzrvg5m-yadabcfhg">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пунктов транспортного контроля (ПТК) на автомобильных дорогах общего пользования по периметру государственной границы Кыргызской Республики;</w:t>
      </w:r>
    </w:p>
    <w:p>
      <w:pPr>
        <w:spacing w:after="120"/>
        <w:ind w:firstLine="397"/>
        <w:jc w:val="both"/>
      </w:pPr>
      <w:r>
        <w:rPr>
          <w:rFonts w:ascii="Arial" w:cs="Arial" w:eastAsia="Arial" w:hAnsi="Arial"/>
          <w:sz w:val="24"/>
          <w:szCs w:val="24"/>
        </w:rPr>
        <w:t xml:space="preserve">- </w:t>
      </w:r>
      <w:hyperlink w:history="1" r:id="rIdk2sws1rg5ndrizfrbnftc">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пунктов весогабаритного контроля (ПВК) на автомобильных дорогах общего пользования, расположенных внутри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v12-6rajxfs6dvujjxcy">
        <w:r>
          <w:rPr>
            <w:rFonts w:ascii="Arial" w:cs="Arial" w:eastAsia="Arial" w:hAnsi="Arial"/>
            <w:i/>
            <w:iCs/>
            <w:color w:val="1D4ED8"/>
            <w:sz w:val="24"/>
            <w:szCs w:val="24"/>
            <w:u w:val="single"/>
          </w:rPr>
          <w:t xml:space="preserve">13 июля 2015 года № 481</w:t>
        </w:r>
      </w:hyperlink>
      <w:r>
        <w:rPr>
          <w:rFonts w:ascii="Arial" w:cs="Arial" w:eastAsia="Arial" w:hAnsi="Arial"/>
          <w:i/>
          <w:iCs/>
          <w:sz w:val="24"/>
          <w:szCs w:val="24"/>
        </w:rPr>
        <w:t xml:space="preserve">, </w:t>
      </w:r>
      <w:hyperlink w:history="1" r:id="rIduq3w23gcl4oycpkkiy9zi">
        <w:r>
          <w:rPr>
            <w:rFonts w:ascii="Arial" w:cs="Arial" w:eastAsia="Arial" w:hAnsi="Arial"/>
            <w:i/>
            <w:iCs/>
            <w:color w:val="1D4ED8"/>
            <w:sz w:val="24"/>
            <w:szCs w:val="24"/>
            <w:u w:val="single"/>
          </w:rPr>
          <w:t xml:space="preserve">3 февраля 2017 года № 68</w:t>
        </w:r>
      </w:hyperlink>
      <w:r>
        <w:rPr>
          <w:rFonts w:ascii="Arial" w:cs="Arial" w:eastAsia="Arial" w:hAnsi="Arial"/>
          <w:i/>
          <w:iCs/>
          <w:sz w:val="24"/>
          <w:szCs w:val="24"/>
        </w:rPr>
        <w:t xml:space="preserve">, </w:t>
      </w:r>
      <w:hyperlink w:history="1" r:id="rIdxxu9619igdn0pje0zmlum">
        <w:r>
          <w:rPr>
            <w:rFonts w:ascii="Arial" w:cs="Arial" w:eastAsia="Arial" w:hAnsi="Arial"/>
            <w:i/>
            <w:iCs/>
            <w:color w:val="1D4ED8"/>
            <w:sz w:val="24"/>
            <w:szCs w:val="24"/>
            <w:u w:val="single"/>
          </w:rPr>
          <w:t xml:space="preserve">24 января 2020 года № 29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_rzurjjhki8ia5pfgkyhr">
        <w:r>
          <w:rPr>
            <w:rFonts w:ascii="Arial" w:cs="Arial" w:eastAsia="Arial" w:hAnsi="Arial"/>
            <w:i/>
            <w:iCs/>
            <w:color w:val="1D4ED8"/>
            <w:sz w:val="24"/>
            <w:szCs w:val="24"/>
            <w:u w:val="single"/>
          </w:rPr>
          <w:t xml:space="preserve">14 января 2022 года № 12</w:t>
        </w:r>
      </w:hyperlink>
      <w:r>
        <w:rPr>
          <w:rFonts w:ascii="Arial" w:cs="Arial" w:eastAsia="Arial" w:hAnsi="Arial"/>
          <w:i/>
          <w:iCs/>
          <w:sz w:val="24"/>
          <w:szCs w:val="24"/>
        </w:rPr>
        <w:t xml:space="preserve">, </w:t>
      </w:r>
      <w:hyperlink w:history="1" r:id="rIdnuwm-gsiw8lv2wpprr68c">
        <w:r>
          <w:rPr>
            <w:rFonts w:ascii="Arial" w:cs="Arial" w:eastAsia="Arial" w:hAnsi="Arial"/>
            <w:i/>
            <w:iCs/>
            <w:color w:val="1D4ED8"/>
            <w:sz w:val="24"/>
            <w:szCs w:val="24"/>
            <w:u w:val="single"/>
          </w:rPr>
          <w:t xml:space="preserve">17 января 2024 года № 11</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Примечание: Изменения внесенные </w:t>
      </w:r>
      <w:hyperlink w:history="1" r:id="rId-2htxvqdp58ythh38e3tc">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февраля 2017 года № 68 </w:t>
      </w:r>
      <w:r>
        <w:rPr>
          <w:rFonts w:ascii="Arial" w:cs="Arial" w:eastAsia="Arial" w:hAnsi="Arial"/>
          <w:i/>
          <w:iCs/>
          <w:sz w:val="24"/>
          <w:szCs w:val="24"/>
        </w:rPr>
        <w:t xml:space="preserve">“</w:t>
      </w:r>
      <w:r>
        <w:rPr>
          <w:rFonts w:ascii="Arial" w:cs="Arial" w:eastAsia="Arial" w:hAnsi="Arial"/>
          <w:i/>
          <w:iCs/>
          <w:sz w:val="24"/>
          <w:szCs w:val="24"/>
        </w:rPr>
        <w:t xml:space="preserve">в абзацах шестом и седьмом пункта 1</w:t>
      </w:r>
      <w:r>
        <w:rPr>
          <w:rFonts w:ascii="Arial" w:cs="Arial" w:eastAsia="Arial" w:hAnsi="Arial"/>
          <w:i/>
          <w:iCs/>
          <w:sz w:val="24"/>
          <w:szCs w:val="24"/>
        </w:rPr>
        <w:t xml:space="preserve">”, не соответствуют нумерации абзацев в тексте</w:t>
      </w:r>
    </w:p>
    <w:p>
      <w:pPr>
        <w:spacing w:after="120"/>
        <w:ind w:firstLine="397"/>
        <w:jc w:val="both"/>
      </w:pPr>
      <w:r>
        <w:rPr>
          <w:rFonts w:ascii="Arial" w:cs="Arial" w:eastAsia="Arial" w:hAnsi="Arial"/>
          <w:sz w:val="24"/>
          <w:szCs w:val="24"/>
        </w:rPr>
        <w:t xml:space="preserve">2. Признать утратившими силу:</w:t>
      </w:r>
    </w:p>
    <w:p>
      <w:pPr>
        <w:spacing w:after="120"/>
        <w:ind w:firstLine="397"/>
        <w:jc w:val="both"/>
      </w:pPr>
      <w:r>
        <w:rPr>
          <w:rFonts w:ascii="Arial" w:cs="Arial" w:eastAsia="Arial" w:hAnsi="Arial"/>
          <w:sz w:val="24"/>
          <w:szCs w:val="24"/>
        </w:rPr>
        <w:t xml:space="preserve">- </w:t>
      </w:r>
      <w:hyperlink w:history="1" r:id="rIduauppe8dvk_amhifxc6_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постановления Законодательного собрания Жогорку Кенеша Кыргызской Республики от 23 июня 2004 года 3 № 1658-II «Об утверждении Порядка пропуска тяжеловесных и крупногабаритных транспортных средств по автомобильным дорогам общего пользования» от 1 ноября 2004 года № 799;</w:t>
      </w:r>
    </w:p>
    <w:p>
      <w:pPr>
        <w:spacing w:after="120"/>
        <w:ind w:firstLine="397"/>
        <w:jc w:val="both"/>
      </w:pPr>
      <w:r>
        <w:rPr>
          <w:rFonts w:ascii="Arial" w:cs="Arial" w:eastAsia="Arial" w:hAnsi="Arial"/>
          <w:sz w:val="24"/>
          <w:szCs w:val="24"/>
        </w:rPr>
        <w:t xml:space="preserve">- </w:t>
      </w:r>
      <w:hyperlink w:history="1" r:id="rIdtlpn8_af3jed-qukc9dd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взимании сборов за пропуск тяжеловесных и крупногабаритных транспортных средств по автомобильным дорогам общего пользования» от 21 апреля 2006 года № 283.</w:t>
      </w:r>
    </w:p>
    <w:p>
      <w:pPr>
        <w:spacing w:after="120"/>
        <w:ind w:firstLine="397"/>
        <w:jc w:val="both"/>
      </w:pPr>
      <w:r>
        <w:rPr>
          <w:rFonts w:ascii="Arial" w:cs="Arial" w:eastAsia="Arial" w:hAnsi="Arial"/>
          <w:sz w:val="24"/>
          <w:szCs w:val="24"/>
        </w:rPr>
        <w:t xml:space="preserve">3. Настоящее постановление вступает в силу с 1 января 2012 года.</w:t>
      </w:r>
    </w:p>
    <w:p>
      <w:pPr>
        <w:spacing w:after="120"/>
        <w:ind w:firstLine="397"/>
        <w:jc w:val="both"/>
      </w:pPr>
      <w:r>
        <w:rPr>
          <w:rFonts w:ascii="Arial" w:cs="Arial" w:eastAsia="Arial" w:hAnsi="Arial"/>
          <w:i/>
          <w:iCs/>
          <w:sz w:val="24"/>
          <w:szCs w:val="24"/>
        </w:rPr>
        <w:t xml:space="preserve">(В редакции </w:t>
      </w:r>
      <w:hyperlink w:history="1" r:id="rIdajk_vxzsi_8tx6ftai6m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10 ноября 2011 года </w:t>
      </w:r>
      <w:r>
        <w:rPr>
          <w:rFonts w:ascii="Arial" w:cs="Arial" w:eastAsia="Arial" w:hAnsi="Arial"/>
          <w:i/>
          <w:iCs/>
          <w:sz w:val="24"/>
          <w:szCs w:val="24"/>
        </w:rPr>
        <w:t xml:space="preserve">№</w:t>
      </w:r>
      <w:r>
        <w:rPr>
          <w:rFonts w:ascii="Arial" w:cs="Arial" w:eastAsia="Arial" w:hAnsi="Arial"/>
          <w:i/>
          <w:iCs/>
          <w:sz w:val="24"/>
          <w:szCs w:val="24"/>
        </w:rPr>
        <w:t xml:space="preserve"> 707)</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Максимальные допустимые весогабаритные параметры транспортных средств, установленные </w:t>
      </w:r>
    </w:p>
    <w:p>
      <w:pPr>
        <w:spacing w:after="240" w:before="200"/>
        <w:jc w:val="center"/>
      </w:pPr>
      <w:r>
        <w:rPr>
          <w:rFonts w:ascii="Arial" w:cs="Arial" w:eastAsia="Arial" w:hAnsi="Arial"/>
          <w:b/>
          <w:bCs/>
          <w:sz w:val="32"/>
          <w:szCs w:val="32"/>
        </w:rPr>
        <w:t xml:space="preserve">для передвижения по автомобильным дорогам общего пользования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e3wqwej05jpaxsfgb_e3">
        <w:r>
          <w:rPr>
            <w:rFonts w:ascii="Arial" w:cs="Arial" w:eastAsia="Arial" w:hAnsi="Arial"/>
            <w:i/>
            <w:iCs/>
            <w:color w:val="1D4ED8"/>
            <w:sz w:val="24"/>
            <w:szCs w:val="24"/>
            <w:u w:val="single"/>
          </w:rPr>
          <w:t xml:space="preserve">13 июля 2015 года № 481</w:t>
        </w:r>
      </w:hyperlink>
      <w:r>
        <w:rPr>
          <w:rFonts w:ascii="Arial" w:cs="Arial" w:eastAsia="Arial" w:hAnsi="Arial"/>
          <w:i/>
          <w:iCs/>
          <w:sz w:val="24"/>
          <w:szCs w:val="24"/>
        </w:rPr>
        <w:t xml:space="preserve">, </w:t>
      </w:r>
      <w:hyperlink w:history="1" r:id="rIdsguptrkd_ef-5ups74bcg">
        <w:r>
          <w:rPr>
            <w:rFonts w:ascii="Arial" w:cs="Arial" w:eastAsia="Arial" w:hAnsi="Arial"/>
            <w:i/>
            <w:iCs/>
            <w:color w:val="1D4ED8"/>
            <w:sz w:val="24"/>
            <w:szCs w:val="24"/>
            <w:u w:val="single"/>
          </w:rPr>
          <w:t xml:space="preserve">24 августа 2017 года № 525</w:t>
        </w:r>
      </w:hyperlink>
      <w:r>
        <w:rPr>
          <w:rFonts w:ascii="Arial" w:cs="Arial" w:eastAsia="Arial" w:hAnsi="Arial"/>
          <w:i/>
          <w:iCs/>
          <w:sz w:val="24"/>
          <w:szCs w:val="24"/>
        </w:rPr>
        <w:t xml:space="preserve">, </w:t>
      </w:r>
      <w:hyperlink w:history="1" r:id="rIdvn2-xlhedunvmftwlwawa">
        <w:r>
          <w:rPr>
            <w:rFonts w:ascii="Arial" w:cs="Arial" w:eastAsia="Arial" w:hAnsi="Arial"/>
            <w:i/>
            <w:iCs/>
            <w:color w:val="1D4ED8"/>
            <w:sz w:val="24"/>
            <w:szCs w:val="24"/>
            <w:u w:val="single"/>
          </w:rPr>
          <w:t xml:space="preserve">24 января 2020 года № 29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wvtqhjgjd4wksuz9ac6cu">
        <w:r>
          <w:rPr>
            <w:rFonts w:ascii="Arial" w:cs="Arial" w:eastAsia="Arial" w:hAnsi="Arial"/>
            <w:i/>
            <w:iCs/>
            <w:color w:val="1D4ED8"/>
            <w:sz w:val="24"/>
            <w:szCs w:val="24"/>
            <w:u w:val="single"/>
          </w:rPr>
          <w:t xml:space="preserve">14 января 2022 года № 12</w:t>
        </w:r>
      </w:hyperlink>
      <w:r>
        <w:rPr>
          <w:rFonts w:ascii="Arial" w:cs="Arial" w:eastAsia="Arial" w:hAnsi="Arial"/>
          <w:i/>
          <w:iCs/>
          <w:sz w:val="24"/>
          <w:szCs w:val="24"/>
        </w:rPr>
        <w:t xml:space="preserve">, </w:t>
      </w:r>
      <w:hyperlink w:history="1" r:id="rIdxyufajncy5zijmycxgket">
        <w:r>
          <w:rPr>
            <w:rFonts w:ascii="Arial" w:cs="Arial" w:eastAsia="Arial" w:hAnsi="Arial"/>
            <w:i/>
            <w:iCs/>
            <w:color w:val="1D4ED8"/>
            <w:sz w:val="24"/>
            <w:szCs w:val="24"/>
            <w:u w:val="single"/>
          </w:rPr>
          <w:t xml:space="preserve">17 января 2024 года № 11</w:t>
        </w:r>
      </w:hyperlink>
      <w:r>
        <w:rPr>
          <w:rFonts w:ascii="Arial" w:cs="Arial" w:eastAsia="Arial" w:hAnsi="Arial"/>
          <w:sz w:val="24"/>
          <w:szCs w:val="24"/>
        </w:rPr>
        <w:t xml:space="preserve">, </w:t>
      </w:r>
      <w:hyperlink w:history="1" r:id="rIdh-v_2h2cckmvtnbwiew72">
        <w:r>
          <w:rPr>
            <w:rFonts w:ascii="Arial" w:cs="Arial" w:eastAsia="Arial" w:hAnsi="Arial"/>
            <w:i/>
            <w:iCs/>
            <w:color w:val="1D4ED8"/>
            <w:sz w:val="24"/>
            <w:szCs w:val="24"/>
            <w:u w:val="single"/>
          </w:rPr>
          <w:t xml:space="preserve">22 октября 2024 года № 638</w:t>
        </w:r>
      </w:hyperlink>
      <w:r>
        <w:rPr>
          <w:rFonts w:ascii="Arial" w:cs="Arial" w:eastAsia="Arial" w:hAnsi="Arial"/>
          <w:i/>
          <w:iCs/>
          <w:sz w:val="24"/>
          <w:szCs w:val="24"/>
        </w:rPr>
        <w:t xml:space="preserve">, </w:t>
      </w:r>
      <w:hyperlink w:history="1" r:id="rIdjw9lisxezj8girv3qsyaj">
        <w:r>
          <w:rPr>
            <w:rFonts w:ascii="Arial" w:cs="Arial" w:eastAsia="Arial" w:hAnsi="Arial"/>
            <w:i/>
            <w:iCs/>
            <w:color w:val="1D4ED8"/>
            <w:sz w:val="24"/>
            <w:szCs w:val="24"/>
            <w:u w:val="single"/>
          </w:rPr>
          <w:t xml:space="preserve">9 июня 2025 года № 324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Максимальная общая масса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Максимальная общая масса транспортных средств должна соответствовать следующим значениям:</w:t>
      </w:r>
    </w:p>
    <w:p>
      <w:pPr>
        <w:spacing w:after="120"/>
        <w:ind w:firstLine="397"/>
        <w:jc w:val="both"/>
      </w:pPr>
      <w:r>
        <w:rPr>
          <w:rFonts w:ascii="Arial" w:cs="Arial" w:eastAsia="Arial" w:hAnsi="Arial"/>
          <w:sz w:val="24"/>
          <w:szCs w:val="24"/>
        </w:rPr>
        <w:t xml:space="preserve">Примечание. Максимальная общая масса может быть увеличена на 2 тонны в случае, если транспортное средство или комбинированное транспортное средство имеет ведущую ось с двускатными колесами и воздушную или эквивалентную ей подвеску.</w:t>
      </w:r>
    </w:p>
    <w:p>
      <w:pPr>
        <w:spacing w:after="120"/>
        <w:ind w:firstLine="397"/>
        <w:jc w:val="both"/>
      </w:pPr>
      <w:r>
        <w:rPr>
          <w:rFonts w:ascii="Arial" w:cs="Arial" w:eastAsia="Arial" w:hAnsi="Arial"/>
          <w:sz w:val="24"/>
          <w:szCs w:val="24"/>
        </w:rPr>
        <w:t xml:space="preserve">1.1. Грузовые автомобили:</w:t>
      </w:r>
    </w:p>
    <w:p>
      <w:pPr>
        <w:spacing w:after="120"/>
        <w:ind w:firstLine="397"/>
        <w:jc w:val="both"/>
      </w:pPr>
      <w:r>
        <w:rPr>
          <w:rFonts w:ascii="Arial" w:cs="Arial" w:eastAsia="Arial" w:hAnsi="Arial"/>
          <w:sz w:val="24"/>
          <w:szCs w:val="24"/>
        </w:rPr>
        <w:t xml:space="preserve">- двухосный автомобиль - 18 т;</w:t>
      </w:r>
    </w:p>
    <w:p>
      <w:pPr>
        <w:spacing w:after="120"/>
        <w:ind w:firstLine="397"/>
        <w:jc w:val="both"/>
      </w:pPr>
      <w:r>
        <w:rPr>
          <w:rFonts w:ascii="Arial" w:cs="Arial" w:eastAsia="Arial" w:hAnsi="Arial"/>
          <w:sz w:val="24"/>
          <w:szCs w:val="24"/>
        </w:rPr>
        <w:t xml:space="preserve">- трехосный автомобиль - 25 т;</w:t>
      </w:r>
    </w:p>
    <w:p>
      <w:pPr>
        <w:spacing w:after="120"/>
        <w:ind w:firstLine="397"/>
        <w:jc w:val="both"/>
      </w:pPr>
      <w:r>
        <w:rPr>
          <w:rFonts w:ascii="Arial" w:cs="Arial" w:eastAsia="Arial" w:hAnsi="Arial"/>
          <w:sz w:val="24"/>
          <w:szCs w:val="24"/>
        </w:rPr>
        <w:t xml:space="preserve">- четырехосный автомобиль с двумя ведущими осями, каждая из которых состоит из двух пар колес и имеет воздушную или эквивалентную ей подвеску - 32 т.</w:t>
      </w:r>
    </w:p>
    <w:p>
      <w:pPr>
        <w:spacing w:after="120"/>
        <w:ind w:firstLine="397"/>
        <w:jc w:val="both"/>
      </w:pPr>
      <w:r>
        <w:rPr>
          <w:rFonts w:ascii="Arial" w:cs="Arial" w:eastAsia="Arial" w:hAnsi="Arial"/>
          <w:sz w:val="24"/>
          <w:szCs w:val="24"/>
        </w:rPr>
        <w:t xml:space="preserve">- пятиосный автомобиль - 38 т;</w:t>
      </w:r>
    </w:p>
    <w:p>
      <w:pPr>
        <w:spacing w:after="120"/>
        <w:ind w:firstLine="397"/>
        <w:jc w:val="both"/>
      </w:pPr>
      <w:r>
        <w:rPr>
          <w:rFonts w:ascii="Arial" w:cs="Arial" w:eastAsia="Arial" w:hAnsi="Arial"/>
          <w:sz w:val="24"/>
          <w:szCs w:val="24"/>
        </w:rPr>
        <w:t xml:space="preserve">- автомобиль с шестью и более осями - 44 т.</w:t>
      </w:r>
    </w:p>
    <w:p>
      <w:pPr>
        <w:spacing w:after="120"/>
        <w:ind w:firstLine="397"/>
        <w:jc w:val="both"/>
      </w:pPr>
      <w:r>
        <w:rPr>
          <w:rFonts w:ascii="Arial" w:cs="Arial" w:eastAsia="Arial" w:hAnsi="Arial"/>
          <w:i/>
          <w:iCs/>
          <w:sz w:val="24"/>
          <w:szCs w:val="24"/>
        </w:rPr>
        <w:t xml:space="preserve">(В редакции </w:t>
      </w:r>
      <w:hyperlink w:history="1" r:id="rIdy7h-xs9detkxqxma3mwby">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24 января 2020 года № 29)</w:t>
      </w:r>
    </w:p>
    <w:p>
      <w:pPr>
        <w:spacing w:after="120"/>
        <w:ind w:firstLine="397"/>
        <w:jc w:val="both"/>
      </w:pPr>
      <w:r>
        <w:rPr>
          <w:rFonts w:ascii="Arial" w:cs="Arial" w:eastAsia="Arial" w:hAnsi="Arial"/>
          <w:sz w:val="24"/>
          <w:szCs w:val="24"/>
        </w:rPr>
        <w:t xml:space="preserve">1.2. Транспортные средства, образующие часть комбинированного транспортного средства:</w:t>
      </w:r>
    </w:p>
    <w:p>
      <w:pPr>
        <w:spacing w:after="120"/>
        <w:ind w:firstLine="397"/>
        <w:jc w:val="both"/>
      </w:pPr>
      <w:r>
        <w:rPr>
          <w:rFonts w:ascii="Arial" w:cs="Arial" w:eastAsia="Arial" w:hAnsi="Arial"/>
          <w:sz w:val="24"/>
          <w:szCs w:val="24"/>
        </w:rPr>
        <w:t xml:space="preserve">- двухосный прицеп - 18 т;</w:t>
      </w:r>
    </w:p>
    <w:p>
      <w:pPr>
        <w:spacing w:after="120"/>
        <w:ind w:firstLine="397"/>
        <w:jc w:val="both"/>
      </w:pPr>
      <w:r>
        <w:rPr>
          <w:rFonts w:ascii="Arial" w:cs="Arial" w:eastAsia="Arial" w:hAnsi="Arial"/>
          <w:sz w:val="24"/>
          <w:szCs w:val="24"/>
        </w:rPr>
        <w:t xml:space="preserve">- трехосный прицеп - 25 т.</w:t>
      </w:r>
    </w:p>
    <w:p>
      <w:pPr>
        <w:spacing w:after="120"/>
        <w:ind w:firstLine="397"/>
        <w:jc w:val="both"/>
      </w:pPr>
      <w:r>
        <w:rPr>
          <w:rFonts w:ascii="Arial" w:cs="Arial" w:eastAsia="Arial" w:hAnsi="Arial"/>
          <w:sz w:val="24"/>
          <w:szCs w:val="24"/>
        </w:rPr>
        <w:t xml:space="preserve">- четырехосный прицеп - 32 т;</w:t>
      </w:r>
    </w:p>
    <w:p>
      <w:pPr>
        <w:spacing w:after="120"/>
        <w:ind w:firstLine="397"/>
        <w:jc w:val="both"/>
      </w:pPr>
      <w:r>
        <w:rPr>
          <w:rFonts w:ascii="Arial" w:cs="Arial" w:eastAsia="Arial" w:hAnsi="Arial"/>
          <w:sz w:val="24"/>
          <w:szCs w:val="24"/>
        </w:rPr>
        <w:t xml:space="preserve">- пятиосный прицеп - 38 т;</w:t>
      </w:r>
    </w:p>
    <w:p>
      <w:pPr>
        <w:spacing w:after="120"/>
        <w:ind w:firstLine="397"/>
        <w:jc w:val="both"/>
      </w:pPr>
      <w:r>
        <w:rPr>
          <w:rFonts w:ascii="Arial" w:cs="Arial" w:eastAsia="Arial" w:hAnsi="Arial"/>
          <w:sz w:val="24"/>
          <w:szCs w:val="24"/>
        </w:rPr>
        <w:t xml:space="preserve">- прицеп с шестью и более осями - 44 т.</w:t>
      </w:r>
    </w:p>
    <w:p>
      <w:pPr>
        <w:spacing w:after="120"/>
        <w:ind w:firstLine="397"/>
        <w:jc w:val="both"/>
      </w:pPr>
      <w:r>
        <w:rPr>
          <w:rFonts w:ascii="Arial" w:cs="Arial" w:eastAsia="Arial" w:hAnsi="Arial"/>
          <w:i/>
          <w:iCs/>
          <w:sz w:val="24"/>
          <w:szCs w:val="24"/>
        </w:rPr>
        <w:t xml:space="preserve">(В редакции </w:t>
      </w:r>
      <w:hyperlink w:history="1" r:id="rIdsugdohpzwtnu4dzhdxufz">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24 января 2020 года № 29)</w:t>
      </w:r>
    </w:p>
    <w:p>
      <w:pPr>
        <w:spacing w:after="120"/>
        <w:ind w:firstLine="397"/>
        <w:jc w:val="both"/>
      </w:pPr>
      <w:r>
        <w:rPr>
          <w:rFonts w:ascii="Arial" w:cs="Arial" w:eastAsia="Arial" w:hAnsi="Arial"/>
          <w:sz w:val="24"/>
          <w:szCs w:val="24"/>
        </w:rPr>
        <w:t xml:space="preserve">1.3. Комбинированные транспортные средства:</w:t>
      </w:r>
    </w:p>
    <w:p>
      <w:pPr>
        <w:spacing w:after="120"/>
        <w:ind w:firstLine="397"/>
        <w:jc w:val="both"/>
      </w:pPr>
      <w:r>
        <w:rPr>
          <w:rFonts w:ascii="Arial" w:cs="Arial" w:eastAsia="Arial" w:hAnsi="Arial"/>
          <w:sz w:val="24"/>
          <w:szCs w:val="24"/>
        </w:rPr>
        <w:t xml:space="preserve">1.3.1. Седельные автопоезда:</w:t>
      </w:r>
    </w:p>
    <w:p>
      <w:pPr>
        <w:spacing w:after="120"/>
        <w:ind w:firstLine="397"/>
        <w:jc w:val="both"/>
      </w:pPr>
      <w:r>
        <w:rPr>
          <w:rFonts w:ascii="Arial" w:cs="Arial" w:eastAsia="Arial" w:hAnsi="Arial"/>
          <w:sz w:val="24"/>
          <w:szCs w:val="24"/>
        </w:rPr>
        <w:t xml:space="preserve">- двухосный тягач с одноосным полуприцепом - 28 т;</w:t>
      </w:r>
    </w:p>
    <w:p>
      <w:pPr>
        <w:spacing w:after="120"/>
        <w:ind w:firstLine="397"/>
        <w:jc w:val="both"/>
      </w:pPr>
      <w:r>
        <w:rPr>
          <w:rFonts w:ascii="Arial" w:cs="Arial" w:eastAsia="Arial" w:hAnsi="Arial"/>
          <w:sz w:val="24"/>
          <w:szCs w:val="24"/>
        </w:rPr>
        <w:t xml:space="preserve">- двухосный тягач с двухосным полуприцепом, при расстоянии между осями полуприцепа 1,3 и более метра, но не более 1,8 метра - 36 т;</w:t>
      </w:r>
    </w:p>
    <w:p>
      <w:pPr>
        <w:spacing w:after="120"/>
        <w:ind w:firstLine="397"/>
        <w:jc w:val="both"/>
      </w:pPr>
      <w:r>
        <w:rPr>
          <w:rFonts w:ascii="Arial" w:cs="Arial" w:eastAsia="Arial" w:hAnsi="Arial"/>
          <w:sz w:val="24"/>
          <w:szCs w:val="24"/>
        </w:rPr>
        <w:t xml:space="preserve">- двухосный тягач с двухосным полуприцепом, при расстоянии между осями полуприцепа, превышающем 1,8 метра, - 38 т;</w:t>
      </w:r>
    </w:p>
    <w:p>
      <w:pPr>
        <w:spacing w:after="120"/>
        <w:ind w:firstLine="397"/>
        <w:jc w:val="both"/>
      </w:pPr>
      <w:r>
        <w:rPr>
          <w:rFonts w:ascii="Arial" w:cs="Arial" w:eastAsia="Arial" w:hAnsi="Arial"/>
          <w:sz w:val="24"/>
          <w:szCs w:val="24"/>
        </w:rPr>
        <w:t xml:space="preserve">- двухосный тягач с трехосным полуприцепом - 40 т;</w:t>
      </w:r>
    </w:p>
    <w:p>
      <w:pPr>
        <w:spacing w:after="120"/>
        <w:ind w:firstLine="397"/>
        <w:jc w:val="both"/>
      </w:pPr>
      <w:r>
        <w:rPr>
          <w:rFonts w:ascii="Arial" w:cs="Arial" w:eastAsia="Arial" w:hAnsi="Arial"/>
          <w:sz w:val="24"/>
          <w:szCs w:val="24"/>
        </w:rPr>
        <w:t xml:space="preserve">- трехосный тягач с двухосным полуприцепом - 40 т;</w:t>
      </w:r>
    </w:p>
    <w:p>
      <w:pPr>
        <w:spacing w:after="120"/>
        <w:ind w:firstLine="397"/>
        <w:jc w:val="both"/>
      </w:pPr>
      <w:r>
        <w:rPr>
          <w:rFonts w:ascii="Arial" w:cs="Arial" w:eastAsia="Arial" w:hAnsi="Arial"/>
          <w:sz w:val="24"/>
          <w:szCs w:val="24"/>
        </w:rPr>
        <w:t xml:space="preserve">- трехосный тягач с трехосным полуприцепом - 44 т;</w:t>
      </w:r>
    </w:p>
    <w:p>
      <w:pPr>
        <w:spacing w:after="120"/>
        <w:ind w:firstLine="397"/>
        <w:jc w:val="both"/>
      </w:pPr>
      <w:r>
        <w:rPr>
          <w:rFonts w:ascii="Arial" w:cs="Arial" w:eastAsia="Arial" w:hAnsi="Arial"/>
          <w:sz w:val="24"/>
          <w:szCs w:val="24"/>
        </w:rPr>
        <w:t xml:space="preserve">- четырехосный (и более) тягач с двухосным (и более) полуприцепом - 44 т</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автопоезд, по конструкции и назначению специально предназначенный для перевозки крупногабаритных и (или) тяжеловесных грузов, не должен превышать сумму допустимых масс автотранспортных средств, входящих в состав автопоезда.</w:t>
      </w:r>
    </w:p>
    <w:p>
      <w:pPr>
        <w:spacing w:after="120"/>
        <w:ind w:firstLine="397"/>
        <w:jc w:val="both"/>
      </w:pPr>
      <w:r>
        <w:rPr>
          <w:rFonts w:ascii="Arial" w:cs="Arial" w:eastAsia="Arial" w:hAnsi="Arial"/>
          <w:sz w:val="24"/>
          <w:szCs w:val="24"/>
        </w:rPr>
        <w:t xml:space="preserve">Примечание: На участке автомобильной дороги общего пользования с асфальтобетонным покрытием, рассчитанным на осевую нагрузку до 13 тонн, допускается превышение от установленной максимальной общей массы и осевых нагрузок:</w:t>
      </w:r>
    </w:p>
    <w:p>
      <w:pPr>
        <w:spacing w:after="120"/>
        <w:ind w:firstLine="397"/>
        <w:jc w:val="both"/>
      </w:pPr>
      <w:r>
        <w:rPr>
          <w:rFonts w:ascii="Arial" w:cs="Arial" w:eastAsia="Arial" w:hAnsi="Arial"/>
          <w:sz w:val="24"/>
          <w:szCs w:val="24"/>
        </w:rPr>
        <w:t xml:space="preserve">- трехосный автомобиль (прицеп) - 5 т (осевая нагрузка для групп сдвоенных осей - 21 т);</w:t>
      </w:r>
    </w:p>
    <w:p>
      <w:pPr>
        <w:spacing w:after="120"/>
        <w:ind w:firstLine="397"/>
        <w:jc w:val="both"/>
      </w:pPr>
      <w:r>
        <w:rPr>
          <w:rFonts w:ascii="Arial" w:cs="Arial" w:eastAsia="Arial" w:hAnsi="Arial"/>
          <w:sz w:val="24"/>
          <w:szCs w:val="24"/>
        </w:rPr>
        <w:t xml:space="preserve">- двухосный тягач с трехосным полуприцепом - 5 т (осевая нагрузка для групп строенных осей - 28 т);</w:t>
      </w:r>
    </w:p>
    <w:p>
      <w:pPr>
        <w:spacing w:after="120"/>
        <w:ind w:firstLine="397"/>
        <w:jc w:val="both"/>
      </w:pPr>
      <w:r>
        <w:rPr>
          <w:rFonts w:ascii="Arial" w:cs="Arial" w:eastAsia="Arial" w:hAnsi="Arial"/>
          <w:sz w:val="24"/>
          <w:szCs w:val="24"/>
        </w:rPr>
        <w:t xml:space="preserve">- трехосный тягач с трехосным полуприцепом - 10 т (осевая нагрузка для групп сдвоенных осей - 21 т, для групп строенных осей - 28 т).</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q4pbpkn0peofjye_zwu5f">
        <w:r>
          <w:rPr>
            <w:rFonts w:ascii="Arial" w:cs="Arial" w:eastAsia="Arial" w:hAnsi="Arial"/>
            <w:i/>
            <w:iCs/>
            <w:color w:val="1D4ED8"/>
            <w:sz w:val="24"/>
            <w:szCs w:val="24"/>
            <w:u w:val="single"/>
          </w:rPr>
          <w:t xml:space="preserve">24 января 2020 года № 29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gamvpb5xi0yxm9yj7gy8">
        <w:r>
          <w:rPr>
            <w:rFonts w:ascii="Arial" w:cs="Arial" w:eastAsia="Arial" w:hAnsi="Arial"/>
            <w:i/>
            <w:iCs/>
            <w:color w:val="1D4ED8"/>
            <w:sz w:val="24"/>
            <w:szCs w:val="24"/>
            <w:u w:val="single"/>
          </w:rPr>
          <w:t xml:space="preserve">14 января 2022 года № 12</w:t>
        </w:r>
      </w:hyperlink>
      <w:r>
        <w:rPr>
          <w:rFonts w:ascii="Arial" w:cs="Arial" w:eastAsia="Arial" w:hAnsi="Arial"/>
          <w:i/>
          <w:iCs/>
          <w:sz w:val="24"/>
          <w:szCs w:val="24"/>
        </w:rPr>
        <w:t xml:space="preserve">, </w:t>
      </w:r>
      <w:hyperlink w:history="1" r:id="rIdxvtl3b0cfulxoftmbmd5v">
        <w:r>
          <w:rPr>
            <w:rFonts w:ascii="Arial" w:cs="Arial" w:eastAsia="Arial" w:hAnsi="Arial"/>
            <w:i/>
            <w:iCs/>
            <w:color w:val="1D4ED8"/>
            <w:sz w:val="24"/>
            <w:szCs w:val="24"/>
            <w:u w:val="single"/>
          </w:rPr>
          <w:t xml:space="preserve">17 января 2024 года № 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1.3.2. Прицепные автопоезда:</w:t>
      </w:r>
    </w:p>
    <w:p>
      <w:pPr>
        <w:spacing w:after="120"/>
        <w:ind w:firstLine="397"/>
        <w:jc w:val="both"/>
      </w:pPr>
      <w:r>
        <w:rPr>
          <w:rFonts w:ascii="Arial" w:cs="Arial" w:eastAsia="Arial" w:hAnsi="Arial"/>
          <w:sz w:val="24"/>
          <w:szCs w:val="24"/>
        </w:rPr>
        <w:t xml:space="preserve">- двухосный грузовой автомобиль с двухосным прицепом - 36 т;</w:t>
      </w:r>
    </w:p>
    <w:p>
      <w:pPr>
        <w:spacing w:after="120"/>
        <w:ind w:firstLine="397"/>
        <w:jc w:val="both"/>
      </w:pPr>
      <w:r>
        <w:rPr>
          <w:rFonts w:ascii="Arial" w:cs="Arial" w:eastAsia="Arial" w:hAnsi="Arial"/>
          <w:sz w:val="24"/>
          <w:szCs w:val="24"/>
        </w:rPr>
        <w:t xml:space="preserve">- двухосный грузовой автомобиль с трехосным прицепом - 42 т;</w:t>
      </w:r>
    </w:p>
    <w:p>
      <w:pPr>
        <w:spacing w:after="120"/>
        <w:ind w:firstLine="397"/>
        <w:jc w:val="both"/>
      </w:pPr>
      <w:r>
        <w:rPr>
          <w:rFonts w:ascii="Arial" w:cs="Arial" w:eastAsia="Arial" w:hAnsi="Arial"/>
          <w:sz w:val="24"/>
          <w:szCs w:val="24"/>
        </w:rPr>
        <w:t xml:space="preserve">- трехосный грузовой автомобиль с двухосным прицепом - 42 т;</w:t>
      </w:r>
    </w:p>
    <w:p>
      <w:pPr>
        <w:spacing w:after="120"/>
        <w:ind w:firstLine="397"/>
        <w:jc w:val="both"/>
      </w:pPr>
      <w:r>
        <w:rPr>
          <w:rFonts w:ascii="Arial" w:cs="Arial" w:eastAsia="Arial" w:hAnsi="Arial"/>
          <w:sz w:val="24"/>
          <w:szCs w:val="24"/>
        </w:rPr>
        <w:t xml:space="preserve">- трехосный грузовой автомобиль с трехосным прицепом - 44 т;</w:t>
      </w:r>
    </w:p>
    <w:p>
      <w:pPr>
        <w:spacing w:after="120"/>
        <w:ind w:firstLine="397"/>
        <w:jc w:val="both"/>
      </w:pPr>
      <w:r>
        <w:rPr>
          <w:rFonts w:ascii="Arial" w:cs="Arial" w:eastAsia="Arial" w:hAnsi="Arial"/>
          <w:sz w:val="24"/>
          <w:szCs w:val="24"/>
        </w:rPr>
        <w:t xml:space="preserve">- трехосный грузовой автомобиль с четырехосным прицепом - 44 т</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четырехосный (и более) грузовой автомобиль с двухосным (и более) прицепом - 44 т.</w:t>
      </w:r>
    </w:p>
    <w:p>
      <w:pPr>
        <w:spacing w:after="120"/>
        <w:ind w:firstLine="397"/>
        <w:jc w:val="both"/>
      </w:pPr>
      <w:r>
        <w:rPr>
          <w:rFonts w:ascii="Arial" w:cs="Arial" w:eastAsia="Arial" w:hAnsi="Arial"/>
          <w:i/>
          <w:iCs/>
          <w:sz w:val="24"/>
          <w:szCs w:val="24"/>
        </w:rPr>
        <w:t xml:space="preserve">(В редакции </w:t>
      </w:r>
      <w:hyperlink w:history="1" r:id="rIdr7yleu60iwp0jtqt4igns">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января 2020 года № 29)</w:t>
      </w:r>
    </w:p>
    <w:p>
      <w:pPr>
        <w:spacing w:after="120"/>
        <w:ind w:firstLine="397"/>
        <w:jc w:val="both"/>
      </w:pPr>
      <w:r>
        <w:rPr>
          <w:rFonts w:ascii="Arial" w:cs="Arial" w:eastAsia="Arial" w:hAnsi="Arial"/>
          <w:sz w:val="24"/>
          <w:szCs w:val="24"/>
        </w:rPr>
        <w:t xml:space="preserve">1.4. Автобусы:</w:t>
      </w:r>
    </w:p>
    <w:p>
      <w:pPr>
        <w:spacing w:after="120"/>
        <w:ind w:firstLine="397"/>
        <w:jc w:val="both"/>
      </w:pPr>
      <w:r>
        <w:rPr>
          <w:rFonts w:ascii="Arial" w:cs="Arial" w:eastAsia="Arial" w:hAnsi="Arial"/>
          <w:sz w:val="24"/>
          <w:szCs w:val="24"/>
        </w:rPr>
        <w:t xml:space="preserve">- двухосный - 18 т;</w:t>
      </w:r>
    </w:p>
    <w:p>
      <w:pPr>
        <w:spacing w:after="120"/>
        <w:ind w:firstLine="397"/>
        <w:jc w:val="both"/>
      </w:pPr>
      <w:r>
        <w:rPr>
          <w:rFonts w:ascii="Arial" w:cs="Arial" w:eastAsia="Arial" w:hAnsi="Arial"/>
          <w:sz w:val="24"/>
          <w:szCs w:val="24"/>
        </w:rPr>
        <w:t xml:space="preserve">- трехосный - 24 т;</w:t>
      </w:r>
    </w:p>
    <w:p>
      <w:pPr>
        <w:spacing w:after="120"/>
        <w:ind w:firstLine="397"/>
        <w:jc w:val="both"/>
      </w:pPr>
      <w:r>
        <w:rPr>
          <w:rFonts w:ascii="Arial" w:cs="Arial" w:eastAsia="Arial" w:hAnsi="Arial"/>
          <w:sz w:val="24"/>
          <w:szCs w:val="24"/>
        </w:rPr>
        <w:t xml:space="preserve">- трехосный шарнирно-сочлененный - 28 т;</w:t>
      </w:r>
    </w:p>
    <w:p>
      <w:pPr>
        <w:spacing w:after="120"/>
        <w:ind w:firstLine="397"/>
        <w:jc w:val="both"/>
      </w:pPr>
      <w:r>
        <w:rPr>
          <w:rFonts w:ascii="Arial" w:cs="Arial" w:eastAsia="Arial" w:hAnsi="Arial"/>
          <w:sz w:val="24"/>
          <w:szCs w:val="24"/>
        </w:rPr>
        <w:t xml:space="preserve">- четырехосный шарнирно сочлененный - 28 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Максимальная осевая масса транспортных средств </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Глава в</w:t>
      </w:r>
      <w:r>
        <w:rPr>
          <w:rFonts w:ascii="Arial" w:cs="Arial" w:eastAsia="Arial" w:hAnsi="Arial"/>
          <w:i/>
          <w:iCs/>
          <w:sz w:val="24"/>
          <w:szCs w:val="24"/>
        </w:rPr>
        <w:t xml:space="preserve"> редакции </w:t>
      </w:r>
      <w:hyperlink w:history="1" r:id="rIdcs73j4jzo1acctqlozaww">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января 2022 года № 12)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Максимальная осевая масса транспортных средств должна соответствовать следующим параметрам: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90"/>
        <w:gridCol w:w="2756"/>
        <w:gridCol w:w="2516"/>
        <w:gridCol w:w="2516"/>
      </w:tblGrid>
      <w:tr>
        <w:tc>
          <w:tcPr>
            <w:tcW w:type="dxa" w:w="239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w:t>
            </w:r>
          </w:p>
          <w:p>
            <w:pPr>
              <w:jc w:val="left"/>
            </w:pPr>
            <w:r>
              <w:rPr>
                <w:rFonts w:ascii="Arial" w:cs="Arial" w:eastAsia="Arial" w:hAnsi="Arial"/>
                <w:sz w:val="24"/>
                <w:szCs w:val="24"/>
              </w:rPr>
              <w:t xml:space="preserve">между </w:t>
            </w:r>
          </w:p>
          <w:p>
            <w:pPr>
              <w:jc w:val="left"/>
            </w:pPr>
            <w:r>
              <w:rPr>
                <w:rFonts w:ascii="Arial" w:cs="Arial" w:eastAsia="Arial" w:hAnsi="Arial"/>
                <w:sz w:val="24"/>
                <w:szCs w:val="24"/>
              </w:rPr>
              <w:t xml:space="preserve">сближенными </w:t>
            </w:r>
          </w:p>
          <w:p>
            <w:pPr>
              <w:jc w:val="left"/>
            </w:pPr>
            <w:r>
              <w:rPr>
                <w:rFonts w:ascii="Arial" w:cs="Arial" w:eastAsia="Arial" w:hAnsi="Arial"/>
                <w:sz w:val="24"/>
                <w:szCs w:val="24"/>
              </w:rPr>
              <w:t xml:space="preserve">осями (метров)</w:t>
            </w:r>
          </w:p>
        </w:tc>
        <w:tc>
          <w:tcPr>
            <w:tcW w:type="dxa" w:w="50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Допустимые осевые нагрузки колесных </w:t>
            </w:r>
          </w:p>
          <w:p>
            <w:pPr>
              <w:jc w:val="left"/>
            </w:pPr>
            <w:r>
              <w:rPr>
                <w:rFonts w:ascii="Arial" w:cs="Arial" w:eastAsia="Arial" w:hAnsi="Arial"/>
                <w:sz w:val="24"/>
                <w:szCs w:val="24"/>
              </w:rPr>
              <w:t xml:space="preserve">транспортных средств в зависимости от </w:t>
            </w:r>
          </w:p>
          <w:p>
            <w:pPr>
              <w:jc w:val="left"/>
            </w:pPr>
            <w:r>
              <w:rPr>
                <w:rFonts w:ascii="Arial" w:cs="Arial" w:eastAsia="Arial" w:hAnsi="Arial"/>
                <w:sz w:val="24"/>
                <w:szCs w:val="24"/>
              </w:rPr>
              <w:t xml:space="preserve">нормативной (расчетной) осевой </w:t>
            </w:r>
          </w:p>
          <w:p>
            <w:pPr>
              <w:jc w:val="left"/>
            </w:pPr>
            <w:r>
              <w:rPr>
                <w:rFonts w:ascii="Arial" w:cs="Arial" w:eastAsia="Arial" w:hAnsi="Arial"/>
                <w:sz w:val="24"/>
                <w:szCs w:val="24"/>
              </w:rPr>
              <w:t xml:space="preserve">нагрузки (тонн) и числа колес на оси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автомобильных </w:t>
            </w:r>
          </w:p>
          <w:p>
            <w:pPr>
              <w:jc w:val="left"/>
            </w:pPr>
            <w:r>
              <w:rPr>
                <w:rFonts w:ascii="Arial" w:cs="Arial" w:eastAsia="Arial" w:hAnsi="Arial"/>
                <w:sz w:val="24"/>
                <w:szCs w:val="24"/>
              </w:rPr>
              <w:t xml:space="preserve">дорог, рассчитанных </w:t>
            </w:r>
          </w:p>
          <w:p>
            <w:pPr>
              <w:jc w:val="left"/>
            </w:pPr>
            <w:r>
              <w:rPr>
                <w:rFonts w:ascii="Arial" w:cs="Arial" w:eastAsia="Arial" w:hAnsi="Arial"/>
                <w:sz w:val="24"/>
                <w:szCs w:val="24"/>
              </w:rPr>
              <w:t xml:space="preserve">на осевую нагрузку </w:t>
            </w:r>
          </w:p>
          <w:p>
            <w:pPr>
              <w:jc w:val="left"/>
            </w:pPr>
            <w:r>
              <w:rPr>
                <w:rFonts w:ascii="Arial" w:cs="Arial" w:eastAsia="Arial" w:hAnsi="Arial"/>
                <w:sz w:val="24"/>
                <w:szCs w:val="24"/>
              </w:rPr>
              <w:t xml:space="preserve">10 тонн/ось</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w:t>
            </w:r>
          </w:p>
          <w:p>
            <w:pPr>
              <w:jc w:val="left"/>
            </w:pPr>
            <w:r>
              <w:rPr>
                <w:rFonts w:ascii="Arial" w:cs="Arial" w:eastAsia="Arial" w:hAnsi="Arial"/>
                <w:sz w:val="24"/>
                <w:szCs w:val="24"/>
              </w:rPr>
              <w:t xml:space="preserve">автомобильных </w:t>
            </w:r>
          </w:p>
          <w:p>
            <w:pPr>
              <w:jc w:val="left"/>
            </w:pPr>
            <w:r>
              <w:rPr>
                <w:rFonts w:ascii="Arial" w:cs="Arial" w:eastAsia="Arial" w:hAnsi="Arial"/>
                <w:sz w:val="24"/>
                <w:szCs w:val="24"/>
              </w:rPr>
              <w:t xml:space="preserve">дорог, </w:t>
            </w:r>
          </w:p>
          <w:p>
            <w:pPr>
              <w:jc w:val="left"/>
            </w:pPr>
            <w:r>
              <w:rPr>
                <w:rFonts w:ascii="Arial" w:cs="Arial" w:eastAsia="Arial" w:hAnsi="Arial"/>
                <w:sz w:val="24"/>
                <w:szCs w:val="24"/>
              </w:rPr>
              <w:t xml:space="preserve">рассчитанных на </w:t>
            </w:r>
          </w:p>
          <w:p>
            <w:pPr>
              <w:jc w:val="left"/>
            </w:pPr>
            <w:r>
              <w:rPr>
                <w:rFonts w:ascii="Arial" w:cs="Arial" w:eastAsia="Arial" w:hAnsi="Arial"/>
                <w:sz w:val="24"/>
                <w:szCs w:val="24"/>
              </w:rPr>
              <w:t xml:space="preserve">осевую нагрузку </w:t>
            </w:r>
          </w:p>
          <w:p>
            <w:pPr>
              <w:jc w:val="left"/>
            </w:pPr>
            <w:r>
              <w:rPr>
                <w:rFonts w:ascii="Arial" w:cs="Arial" w:eastAsia="Arial" w:hAnsi="Arial"/>
                <w:sz w:val="24"/>
                <w:szCs w:val="24"/>
              </w:rPr>
              <w:t xml:space="preserve">11,5 тонн/ось</w:t>
            </w:r>
          </w:p>
        </w:tc>
      </w:tr>
      <w:tr>
        <w:tc>
          <w:tcPr>
            <w:tcW w:type="dxa" w:w="2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Одиночные оси</w:t>
            </w: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r>
      <w:tr>
        <w:tc>
          <w:tcPr>
            <w:tcW w:type="dxa" w:w="239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Сдвоенные оси прицепов, полуприцепов, грузовых автомобилей, автомобилей-тягачей, седельных тягачей при расстоянии между осями (нагрузка на тележку, сумма осевых масс)</w:t>
            </w:r>
          </w:p>
        </w:tc>
        <w:tc>
          <w:tcPr>
            <w:tcW w:type="dxa" w:w="27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1 (включительно)</w:t>
            </w:r>
          </w:p>
        </w:tc>
        <w:tc>
          <w:tcPr>
            <w:tcW w:type="dxa" w:w="25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w:t>
            </w:r>
          </w:p>
        </w:tc>
        <w:tc>
          <w:tcPr>
            <w:tcW w:type="dxa" w:w="25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12,5</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1,3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39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Строенные оси прицепов, полуприцепов, грузовых автомобилей, автомобилей-тягачей, седельных тягачей при расстоянии между осями (нагрузка на тележку, сумма осевых масс)</w:t>
            </w: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1,3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239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Сближенные оси грузовых автомобилей, автомобилей-тягачей, седельных тягачей, прицепов и полуприцепов с количеством осей более трех при расстоянии между осями (нагрузка на одну ось)</w:t>
            </w: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1,3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39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Сближенные оси транспортных средств, имеющих на каждой оси по восемь и более колес (нагрузка на одну ось)</w:t>
            </w: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1,3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Для сдвоенных и строенных осей, конструктивно объединенных в общую тележку, допускается неравномерное распределение нагрузки по осям, если суммарная нагрузка на тележку не превышает допустимую, и нагрузка на наиболее нагруженную ось не превышает допустимую осевую нагрузку соответствующей (односкатной или двускатной) одиночной оси.</w:t>
      </w:r>
    </w:p>
    <w:p>
      <w:pPr>
        <w:spacing w:after="120"/>
        <w:ind w:firstLine="397"/>
        <w:jc w:val="both"/>
      </w:pPr>
      <w:r>
        <w:rPr>
          <w:rFonts w:ascii="Arial" w:cs="Arial" w:eastAsia="Arial" w:hAnsi="Arial"/>
          <w:i/>
          <w:iCs/>
          <w:sz w:val="24"/>
          <w:szCs w:val="24"/>
        </w:rPr>
        <w:t xml:space="preserve">Одиночной осью автотранспортного средства считается ось, расположенная на расстоянии более 2,0 метров до ближайшей оси этого автотранспортного средства.</w:t>
      </w:r>
    </w:p>
    <w:p>
      <w:pPr>
        <w:spacing w:after="120"/>
        <w:ind w:firstLine="397"/>
        <w:jc w:val="both"/>
      </w:pPr>
      <w:r>
        <w:rPr>
          <w:rFonts w:ascii="Arial" w:cs="Arial" w:eastAsia="Arial" w:hAnsi="Arial"/>
          <w:i/>
          <w:iCs/>
          <w:sz w:val="24"/>
          <w:szCs w:val="24"/>
        </w:rPr>
        <w:t xml:space="preserve">Для автотранспортных средств допускается превышение нагрузки на 1 тонну в случае когда ведущие или ведомые оси оснащены двускатными колесами. Группы сближенных осей, имеющие в своем составе оси с односкатными и двускатными колесами, следует рассматривать как группы сближенных осей, имеющие в своем составе оси с односкатными колесами.</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qc7otmcefxzomdzuo-nc">
        <w:r>
          <w:rPr>
            <w:rFonts w:ascii="Arial" w:cs="Arial" w:eastAsia="Arial" w:hAnsi="Arial"/>
            <w:i/>
            <w:iCs/>
            <w:color w:val="1D4ED8"/>
            <w:sz w:val="24"/>
            <w:szCs w:val="24"/>
            <w:u w:val="single"/>
          </w:rPr>
          <w:t xml:space="preserve">24 августа 2017 года № 525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jz4ccth8td7pxykudnea">
        <w:r>
          <w:rPr>
            <w:rFonts w:ascii="Arial" w:cs="Arial" w:eastAsia="Arial" w:hAnsi="Arial"/>
            <w:i/>
            <w:iCs/>
            <w:color w:val="1D4ED8"/>
            <w:sz w:val="24"/>
            <w:szCs w:val="24"/>
            <w:u w:val="single"/>
          </w:rPr>
          <w:t xml:space="preserve">14 января 2022 года № 12</w:t>
        </w:r>
      </w:hyperlink>
      <w:r>
        <w:rPr>
          <w:rFonts w:ascii="Arial" w:cs="Arial" w:eastAsia="Arial" w:hAnsi="Arial"/>
          <w:i/>
          <w:iCs/>
          <w:sz w:val="24"/>
          <w:szCs w:val="24"/>
        </w:rPr>
        <w:t xml:space="preserve">, </w:t>
      </w:r>
      <w:hyperlink w:history="1" r:id="rIdakgx6b0zey4z7dfr-9h4h">
        <w:r>
          <w:rPr>
            <w:rFonts w:ascii="Arial" w:cs="Arial" w:eastAsia="Arial" w:hAnsi="Arial"/>
            <w:i/>
            <w:iCs/>
            <w:color w:val="1D4ED8"/>
            <w:sz w:val="24"/>
            <w:szCs w:val="24"/>
            <w:u w:val="single"/>
          </w:rPr>
          <w:t xml:space="preserve">22 октября 2024 года № 638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Максимальные размеры и другие линейные параметры </w:t>
      </w:r>
    </w:p>
    <w:p>
      <w:pPr>
        <w:spacing w:after="240" w:before="200"/>
        <w:jc w:val="center"/>
      </w:pPr>
      <w:r>
        <w:rPr>
          <w:rFonts w:ascii="Arial" w:cs="Arial" w:eastAsia="Arial" w:hAnsi="Arial"/>
          <w:b/>
          <w:bCs/>
          <w:sz w:val="32"/>
          <w:szCs w:val="32"/>
        </w:rPr>
        <w:t xml:space="preserve">транспортных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Максимальные размеры и другие линейные параметры для автотранспортных средств должны соответствовать следующим данным:</w:t>
      </w:r>
    </w:p>
    <w:p>
      <w:pPr>
        <w:spacing w:after="120"/>
        <w:ind w:firstLine="397"/>
        <w:jc w:val="both"/>
      </w:pPr>
      <w:r>
        <w:rPr>
          <w:rFonts w:ascii="Arial" w:cs="Arial" w:eastAsia="Arial" w:hAnsi="Arial"/>
          <w:sz w:val="24"/>
          <w:szCs w:val="24"/>
        </w:rPr>
        <w:t xml:space="preserve">3.1. Максимальная длина:</w:t>
      </w:r>
    </w:p>
    <w:p>
      <w:pPr>
        <w:spacing w:after="120"/>
        <w:ind w:firstLine="397"/>
        <w:jc w:val="both"/>
      </w:pPr>
      <w:r>
        <w:rPr>
          <w:rFonts w:ascii="Arial" w:cs="Arial" w:eastAsia="Arial" w:hAnsi="Arial"/>
          <w:sz w:val="24"/>
          <w:szCs w:val="24"/>
        </w:rPr>
        <w:t xml:space="preserve">- грузового автомобиля - 12,00 м;</w:t>
      </w:r>
    </w:p>
    <w:p>
      <w:pPr>
        <w:spacing w:after="120"/>
        <w:ind w:firstLine="397"/>
        <w:jc w:val="both"/>
      </w:pPr>
      <w:r>
        <w:rPr>
          <w:rFonts w:ascii="Arial" w:cs="Arial" w:eastAsia="Arial" w:hAnsi="Arial"/>
          <w:sz w:val="24"/>
          <w:szCs w:val="24"/>
        </w:rPr>
        <w:t xml:space="preserve">- автобуса - 12,0 м;</w:t>
      </w:r>
    </w:p>
    <w:p>
      <w:pPr>
        <w:spacing w:after="120"/>
        <w:ind w:firstLine="397"/>
        <w:jc w:val="both"/>
      </w:pPr>
      <w:r>
        <w:rPr>
          <w:rFonts w:ascii="Arial" w:cs="Arial" w:eastAsia="Arial" w:hAnsi="Arial"/>
          <w:sz w:val="24"/>
          <w:szCs w:val="24"/>
        </w:rPr>
        <w:t xml:space="preserve">- прицепа - 12,00 м;</w:t>
      </w:r>
    </w:p>
    <w:p>
      <w:pPr>
        <w:spacing w:after="120"/>
        <w:ind w:firstLine="397"/>
        <w:jc w:val="both"/>
      </w:pPr>
      <w:r>
        <w:rPr>
          <w:rFonts w:ascii="Arial" w:cs="Arial" w:eastAsia="Arial" w:hAnsi="Arial"/>
          <w:sz w:val="24"/>
          <w:szCs w:val="24"/>
        </w:rPr>
        <w:t xml:space="preserve">- сочлененного транспортного средства - 20,0 м;</w:t>
      </w:r>
    </w:p>
    <w:p>
      <w:pPr>
        <w:spacing w:after="120"/>
        <w:ind w:firstLine="397"/>
        <w:jc w:val="both"/>
      </w:pPr>
      <w:r>
        <w:rPr>
          <w:rFonts w:ascii="Arial" w:cs="Arial" w:eastAsia="Arial" w:hAnsi="Arial"/>
          <w:sz w:val="24"/>
          <w:szCs w:val="24"/>
        </w:rPr>
        <w:t xml:space="preserve">- сочлененного автобуса - 18,00 м;</w:t>
      </w:r>
    </w:p>
    <w:p>
      <w:pPr>
        <w:spacing w:after="120"/>
        <w:ind w:firstLine="397"/>
        <w:jc w:val="both"/>
      </w:pPr>
      <w:r>
        <w:rPr>
          <w:rFonts w:ascii="Arial" w:cs="Arial" w:eastAsia="Arial" w:hAnsi="Arial"/>
          <w:sz w:val="24"/>
          <w:szCs w:val="24"/>
        </w:rPr>
        <w:t xml:space="preserve">- автопоезда - 20,00 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автобусов, имеющих более чем две оси, - 15 м</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w:t>
      </w:r>
      <w:hyperlink w:history="1" r:id="rIdfdn2kdgrtpedav7jfdkio">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января 2020 года № 29)</w:t>
      </w:r>
    </w:p>
    <w:p>
      <w:pPr>
        <w:spacing w:after="120"/>
        <w:ind w:firstLine="397"/>
        <w:jc w:val="both"/>
      </w:pPr>
      <w:r>
        <w:rPr>
          <w:rFonts w:ascii="Arial" w:cs="Arial" w:eastAsia="Arial" w:hAnsi="Arial"/>
          <w:sz w:val="24"/>
          <w:szCs w:val="24"/>
        </w:rPr>
        <w:t xml:space="preserve">3.2. Максимальная ширина:</w:t>
      </w:r>
    </w:p>
    <w:p>
      <w:pPr>
        <w:spacing w:after="120"/>
        <w:ind w:firstLine="397"/>
        <w:jc w:val="both"/>
      </w:pPr>
      <w:r>
        <w:rPr>
          <w:rFonts w:ascii="Arial" w:cs="Arial" w:eastAsia="Arial" w:hAnsi="Arial"/>
          <w:sz w:val="24"/>
          <w:szCs w:val="24"/>
        </w:rPr>
        <w:t xml:space="preserve">- всех транспортных средств - 2,55 м;</w:t>
      </w:r>
    </w:p>
    <w:p>
      <w:pPr>
        <w:spacing w:after="120"/>
        <w:ind w:firstLine="397"/>
        <w:jc w:val="both"/>
      </w:pPr>
      <w:r>
        <w:rPr>
          <w:rFonts w:ascii="Arial" w:cs="Arial" w:eastAsia="Arial" w:hAnsi="Arial"/>
          <w:sz w:val="24"/>
          <w:szCs w:val="24"/>
        </w:rPr>
        <w:t xml:space="preserve">- изотермических кузовов - 2,60 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низкорамных полуприцепов (трал) с грузом, имеющих три и более осей и/или на каждой оси по четыре и более колес, - 3,00 м.</w:t>
      </w:r>
    </w:p>
    <w:p>
      <w:pPr>
        <w:spacing w:after="120"/>
        <w:ind w:firstLine="397"/>
        <w:jc w:val="both"/>
      </w:pPr>
      <w:r>
        <w:rPr>
          <w:rFonts w:ascii="Arial" w:cs="Arial" w:eastAsia="Arial" w:hAnsi="Arial"/>
          <w:i/>
          <w:iCs/>
          <w:sz w:val="24"/>
          <w:szCs w:val="24"/>
        </w:rPr>
        <w:t xml:space="preserve">(В редакции </w:t>
      </w:r>
      <w:hyperlink w:history="1" r:id="rIdq8yyifvbemuozxxsz9r7a">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января 2022 года № 12)</w:t>
      </w:r>
    </w:p>
    <w:p>
      <w:pPr>
        <w:spacing w:after="120"/>
        <w:ind w:firstLine="397"/>
        <w:jc w:val="both"/>
      </w:pPr>
      <w:r>
        <w:rPr>
          <w:rFonts w:ascii="Arial" w:cs="Arial" w:eastAsia="Arial" w:hAnsi="Arial"/>
          <w:sz w:val="24"/>
          <w:szCs w:val="24"/>
        </w:rPr>
        <w:t xml:space="preserve">3.3. Максимальная высота - 4,00 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Для грузовых транспортных средств, перевозящих контейнеры, используемые в мультимодальных перевозках, а также для специальных седельных тягачей, имеющих три и более осей и низкорамный полуприцеп (трал) с грузом, допускается отклонение на 20 см.</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iycv9uqlzgixdgku54dq">
        <w:r>
          <w:rPr>
            <w:rFonts w:ascii="Arial" w:cs="Arial" w:eastAsia="Arial" w:hAnsi="Arial"/>
            <w:i/>
            <w:iCs/>
            <w:color w:val="1D4ED8"/>
            <w:sz w:val="24"/>
            <w:szCs w:val="24"/>
            <w:u w:val="single"/>
          </w:rPr>
          <w:t xml:space="preserve">24 января 2020 года № 29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wb1oszgvriz6_kvmwipbd">
        <w:r>
          <w:rPr>
            <w:rFonts w:ascii="Arial" w:cs="Arial" w:eastAsia="Arial" w:hAnsi="Arial"/>
            <w:i/>
            <w:iCs/>
            <w:color w:val="1D4ED8"/>
            <w:sz w:val="24"/>
            <w:szCs w:val="24"/>
            <w:u w:val="single"/>
          </w:rPr>
          <w:t xml:space="preserve">14 января 2022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3.4. Максимальные размеры транспортных средств, указанные в пункте 3, включают в себя размеры съемных кузовов и тары для грузов, включая контейнеры.</w:t>
      </w:r>
    </w:p>
    <w:p>
      <w:pPr>
        <w:spacing w:after="120"/>
        <w:ind w:firstLine="397"/>
        <w:jc w:val="both"/>
      </w:pPr>
      <w:r>
        <w:rPr>
          <w:rFonts w:ascii="Arial" w:cs="Arial" w:eastAsia="Arial" w:hAnsi="Arial"/>
          <w:sz w:val="24"/>
          <w:szCs w:val="24"/>
        </w:rPr>
        <w:t xml:space="preserve">3.5. Любое транспортное средство при движении должно обеспечивать возможность поворота в пределах пространства, ограниченного внешним радиусом 12,50 м и внутренним радиусом - 5,30 м.</w:t>
      </w:r>
    </w:p>
    <w:p>
      <w:pPr>
        <w:spacing w:after="120"/>
        <w:ind w:firstLine="397"/>
        <w:jc w:val="both"/>
      </w:pPr>
      <w:r>
        <w:rPr>
          <w:rFonts w:ascii="Arial" w:cs="Arial" w:eastAsia="Arial" w:hAnsi="Arial"/>
          <w:sz w:val="24"/>
          <w:szCs w:val="24"/>
        </w:rPr>
        <w:t xml:space="preserve">3.6. Максимальное расстояние между осью запора сцепного устройства и задней частью комбинированного транспортного средства не должно превышать 12,00 м.</w:t>
      </w:r>
    </w:p>
    <w:p>
      <w:pPr>
        <w:spacing w:after="120"/>
        <w:ind w:firstLine="397"/>
        <w:jc w:val="both"/>
      </w:pPr>
      <w:r>
        <w:rPr>
          <w:rFonts w:ascii="Arial" w:cs="Arial" w:eastAsia="Arial" w:hAnsi="Arial"/>
          <w:sz w:val="24"/>
          <w:szCs w:val="24"/>
        </w:rPr>
        <w:t xml:space="preserve">3.7. Максимальное расстояние, измеренное параллельно продольной оси автопоезда, от внешней передней точки кузова или платформы для установки груза за кабиной до задней внешней точки прицепа, за вычетом расстояния между задней частью тягача и передней частью прицепа, не должно превышать 17,0 м.</w:t>
      </w:r>
    </w:p>
    <w:p>
      <w:pPr>
        <w:spacing w:after="120"/>
        <w:ind w:firstLine="397"/>
        <w:jc w:val="both"/>
      </w:pPr>
      <w:r>
        <w:rPr>
          <w:rFonts w:ascii="Arial" w:cs="Arial" w:eastAsia="Arial" w:hAnsi="Arial"/>
          <w:sz w:val="24"/>
          <w:szCs w:val="24"/>
        </w:rPr>
        <w:t xml:space="preserve">3.8. Максимальное расстояние, измеренное параллельно продольной оси автопоезда, от внешней передней точки кузова или платформы для установки груза за кабиной до задней внешней точки полуприцепа, не должно превышать 16,40 м.</w:t>
      </w:r>
    </w:p>
    <w:p>
      <w:pPr>
        <w:spacing w:after="120"/>
        <w:ind w:firstLine="397"/>
        <w:jc w:val="both"/>
      </w:pPr>
      <w:r>
        <w:rPr>
          <w:rFonts w:ascii="Arial" w:cs="Arial" w:eastAsia="Arial" w:hAnsi="Arial"/>
          <w:sz w:val="24"/>
          <w:szCs w:val="24"/>
        </w:rPr>
        <w:t xml:space="preserve">3.9. Установленный в кузове транспортного средства груз не должен выступать за заднюю внешнюю точку автомобиля или прицепа более чем на 2,00 м.</w:t>
      </w:r>
    </w:p>
    <w:p>
      <w:pPr>
        <w:spacing w:after="120"/>
        <w:ind w:firstLine="397"/>
        <w:jc w:val="both"/>
      </w:pPr>
      <w:r>
        <w:rPr>
          <w:rFonts w:ascii="Arial" w:cs="Arial" w:eastAsia="Arial" w:hAnsi="Arial"/>
          <w:sz w:val="24"/>
          <w:szCs w:val="24"/>
        </w:rPr>
        <w:t xml:space="preserve">3.10. Расстояние между задней осью грузового автомобиля и передней осью прицепа должно быть не менее 3,00 м.</w:t>
      </w:r>
    </w:p>
    <w:p>
      <w:pPr>
        <w:spacing w:after="120"/>
        <w:ind w:firstLine="397"/>
        <w:jc w:val="both"/>
      </w:pPr>
      <w:r>
        <w:rPr>
          <w:rFonts w:ascii="Arial" w:cs="Arial" w:eastAsia="Arial" w:hAnsi="Arial"/>
          <w:sz w:val="24"/>
          <w:szCs w:val="24"/>
        </w:rPr>
        <w:t xml:space="preserve">3.11. Горизонтально измеренное расстояние между осью шарнирного крепления полуприцепа и любой точкой передней части полуприцепа не должно превышать 2,04 м.</w:t>
      </w:r>
    </w:p>
    <w:p>
      <w:pPr>
        <w:spacing w:after="120"/>
        <w:ind w:firstLine="397"/>
        <w:jc w:val="both"/>
      </w:pPr>
      <w:r>
        <w:rPr>
          <w:rFonts w:ascii="Arial" w:cs="Arial" w:eastAsia="Arial" w:hAnsi="Arial"/>
          <w:sz w:val="24"/>
          <w:szCs w:val="24"/>
        </w:rPr>
        <w:t xml:space="preserve">3.12. При измерении длины автотранспортного средства не учитываются следующие устройства, смонтированные на транспортном средстве:</w:t>
      </w:r>
    </w:p>
    <w:p>
      <w:pPr>
        <w:spacing w:after="120"/>
        <w:ind w:firstLine="397"/>
        <w:jc w:val="both"/>
      </w:pPr>
      <w:r>
        <w:rPr>
          <w:rFonts w:ascii="Arial" w:cs="Arial" w:eastAsia="Arial" w:hAnsi="Arial"/>
          <w:sz w:val="24"/>
          <w:szCs w:val="24"/>
        </w:rPr>
        <w:t xml:space="preserve">- устройства для очистки стекол и брызговики;</w:t>
      </w:r>
    </w:p>
    <w:p>
      <w:pPr>
        <w:spacing w:after="120"/>
        <w:ind w:firstLine="397"/>
        <w:jc w:val="both"/>
      </w:pPr>
      <w:r>
        <w:rPr>
          <w:rFonts w:ascii="Arial" w:cs="Arial" w:eastAsia="Arial" w:hAnsi="Arial"/>
          <w:sz w:val="24"/>
          <w:szCs w:val="24"/>
        </w:rPr>
        <w:t xml:space="preserve">- фронтальные и боковые маркировочные пластины;</w:t>
      </w:r>
    </w:p>
    <w:p>
      <w:pPr>
        <w:spacing w:after="120"/>
        <w:ind w:firstLine="397"/>
        <w:jc w:val="both"/>
      </w:pPr>
      <w:r>
        <w:rPr>
          <w:rFonts w:ascii="Arial" w:cs="Arial" w:eastAsia="Arial" w:hAnsi="Arial"/>
          <w:sz w:val="24"/>
          <w:szCs w:val="24"/>
        </w:rPr>
        <w:t xml:space="preserve">- устройства для пломбирования и защитные приспособления для них;</w:t>
      </w:r>
    </w:p>
    <w:p>
      <w:pPr>
        <w:spacing w:after="120"/>
        <w:ind w:firstLine="397"/>
        <w:jc w:val="both"/>
      </w:pPr>
      <w:r>
        <w:rPr>
          <w:rFonts w:ascii="Arial" w:cs="Arial" w:eastAsia="Arial" w:hAnsi="Arial"/>
          <w:sz w:val="24"/>
          <w:szCs w:val="24"/>
        </w:rPr>
        <w:t xml:space="preserve">- устройства для закрепления брезента и защитные приспособления для них;</w:t>
      </w:r>
    </w:p>
    <w:p>
      <w:pPr>
        <w:spacing w:after="120"/>
        <w:ind w:firstLine="397"/>
        <w:jc w:val="both"/>
      </w:pPr>
      <w:r>
        <w:rPr>
          <w:rFonts w:ascii="Arial" w:cs="Arial" w:eastAsia="Arial" w:hAnsi="Arial"/>
          <w:sz w:val="24"/>
          <w:szCs w:val="24"/>
        </w:rPr>
        <w:t xml:space="preserve">- оборудование для электроосвещения;</w:t>
      </w:r>
    </w:p>
    <w:p>
      <w:pPr>
        <w:spacing w:after="120"/>
        <w:ind w:firstLine="397"/>
        <w:jc w:val="both"/>
      </w:pPr>
      <w:r>
        <w:rPr>
          <w:rFonts w:ascii="Arial" w:cs="Arial" w:eastAsia="Arial" w:hAnsi="Arial"/>
          <w:sz w:val="24"/>
          <w:szCs w:val="24"/>
        </w:rPr>
        <w:t xml:space="preserve">- зеркала задней обзорности и приспособления для обзора пространства за автомобилем;</w:t>
      </w:r>
    </w:p>
    <w:p>
      <w:pPr>
        <w:spacing w:after="120"/>
        <w:ind w:firstLine="397"/>
        <w:jc w:val="both"/>
      </w:pPr>
      <w:r>
        <w:rPr>
          <w:rFonts w:ascii="Arial" w:cs="Arial" w:eastAsia="Arial" w:hAnsi="Arial"/>
          <w:sz w:val="24"/>
          <w:szCs w:val="24"/>
        </w:rPr>
        <w:t xml:space="preserve">- воздуховодные трубки;</w:t>
      </w:r>
    </w:p>
    <w:p>
      <w:pPr>
        <w:spacing w:after="120"/>
        <w:ind w:firstLine="397"/>
        <w:jc w:val="both"/>
      </w:pPr>
      <w:r>
        <w:rPr>
          <w:rFonts w:ascii="Arial" w:cs="Arial" w:eastAsia="Arial" w:hAnsi="Arial"/>
          <w:sz w:val="24"/>
          <w:szCs w:val="24"/>
        </w:rPr>
        <w:t xml:space="preserve">- длина клапанов и разъемов для соединения с прицепами или съемными кузовами;</w:t>
      </w:r>
    </w:p>
    <w:p>
      <w:pPr>
        <w:spacing w:after="120"/>
        <w:ind w:firstLine="397"/>
        <w:jc w:val="both"/>
      </w:pPr>
      <w:r>
        <w:rPr>
          <w:rFonts w:ascii="Arial" w:cs="Arial" w:eastAsia="Arial" w:hAnsi="Arial"/>
          <w:sz w:val="24"/>
          <w:szCs w:val="24"/>
        </w:rPr>
        <w:t xml:space="preserve">- ступени для доступа в кузов, подъемник для запасной автопокрышки;</w:t>
      </w:r>
    </w:p>
    <w:p>
      <w:pPr>
        <w:spacing w:after="120"/>
        <w:ind w:firstLine="397"/>
        <w:jc w:val="both"/>
      </w:pPr>
      <w:r>
        <w:rPr>
          <w:rFonts w:ascii="Arial" w:cs="Arial" w:eastAsia="Arial" w:hAnsi="Arial"/>
          <w:sz w:val="24"/>
          <w:szCs w:val="24"/>
        </w:rPr>
        <w:t xml:space="preserve">- подъемные платформы, ступени для доступа и иное аналогичное оборудование, не превышающее в рабочем положении 200 мм и выполненное таким образом, чтобы оно не могло увеличивать предельную массу загрузки автомобиля, установленную изготовителем.</w:t>
      </w:r>
    </w:p>
    <w:p>
      <w:pPr>
        <w:spacing w:after="120"/>
        <w:ind w:firstLine="397"/>
        <w:jc w:val="both"/>
      </w:pPr>
      <w:r>
        <w:rPr>
          <w:rFonts w:ascii="Arial" w:cs="Arial" w:eastAsia="Arial" w:hAnsi="Arial"/>
          <w:sz w:val="24"/>
          <w:szCs w:val="24"/>
        </w:rPr>
        <w:t xml:space="preserve">3.13. При измерении высоты автотранспортного средства не должны учитываться смонтированные на транспортном средстве: антенны; пантограф в поднятом положении.</w:t>
      </w:r>
    </w:p>
    <w:p>
      <w:pPr>
        <w:spacing w:after="120"/>
        <w:ind w:firstLine="397"/>
        <w:jc w:val="both"/>
      </w:pPr>
      <w:r>
        <w:rPr>
          <w:rFonts w:ascii="Arial" w:cs="Arial" w:eastAsia="Arial" w:hAnsi="Arial"/>
          <w:sz w:val="24"/>
          <w:szCs w:val="24"/>
        </w:rPr>
        <w:t xml:space="preserve">Для транспортных средств, имеющих устройство для подъема оси, должен учитываться эффект от воздействия этого устройства.</w:t>
      </w:r>
    </w:p>
    <w:p>
      <w:pPr>
        <w:spacing w:after="120"/>
        <w:ind w:firstLine="397"/>
        <w:jc w:val="both"/>
      </w:pPr>
      <w:r>
        <w:rPr>
          <w:rFonts w:ascii="Arial" w:cs="Arial" w:eastAsia="Arial" w:hAnsi="Arial"/>
          <w:sz w:val="24"/>
          <w:szCs w:val="24"/>
        </w:rPr>
        <w:t xml:space="preserve">3.14. При измерении ширины автотранспортного средства не учитываются следующие устройства, смонтированные на транспортном средстве:</w:t>
      </w:r>
    </w:p>
    <w:p>
      <w:pPr>
        <w:spacing w:after="120"/>
        <w:ind w:firstLine="397"/>
        <w:jc w:val="both"/>
      </w:pPr>
      <w:r>
        <w:rPr>
          <w:rFonts w:ascii="Arial" w:cs="Arial" w:eastAsia="Arial" w:hAnsi="Arial"/>
          <w:sz w:val="24"/>
          <w:szCs w:val="24"/>
        </w:rPr>
        <w:t xml:space="preserve">- устройства для пломб, печатей и защитные приспособления к ним;</w:t>
      </w:r>
    </w:p>
    <w:p>
      <w:pPr>
        <w:spacing w:after="120"/>
        <w:ind w:firstLine="397"/>
        <w:jc w:val="both"/>
      </w:pPr>
      <w:r>
        <w:rPr>
          <w:rFonts w:ascii="Arial" w:cs="Arial" w:eastAsia="Arial" w:hAnsi="Arial"/>
          <w:sz w:val="24"/>
          <w:szCs w:val="24"/>
        </w:rPr>
        <w:t xml:space="preserve">- устройства для закрепления брезента и защитные приспособления к ним;</w:t>
      </w:r>
    </w:p>
    <w:p>
      <w:pPr>
        <w:spacing w:after="120"/>
        <w:ind w:firstLine="397"/>
        <w:jc w:val="both"/>
      </w:pPr>
      <w:r>
        <w:rPr>
          <w:rFonts w:ascii="Arial" w:cs="Arial" w:eastAsia="Arial" w:hAnsi="Arial"/>
          <w:sz w:val="24"/>
          <w:szCs w:val="24"/>
        </w:rPr>
        <w:t xml:space="preserve">- устройства для опознавания повреждения автопокрышек;</w:t>
      </w:r>
    </w:p>
    <w:p>
      <w:pPr>
        <w:spacing w:after="120"/>
        <w:ind w:firstLine="397"/>
        <w:jc w:val="both"/>
      </w:pPr>
      <w:r>
        <w:rPr>
          <w:rFonts w:ascii="Arial" w:cs="Arial" w:eastAsia="Arial" w:hAnsi="Arial"/>
          <w:sz w:val="24"/>
          <w:szCs w:val="24"/>
        </w:rPr>
        <w:t xml:space="preserve">- выступающие части брызговиков;</w:t>
      </w:r>
    </w:p>
    <w:p>
      <w:pPr>
        <w:spacing w:after="120"/>
        <w:ind w:firstLine="397"/>
        <w:jc w:val="both"/>
      </w:pPr>
      <w:r>
        <w:rPr>
          <w:rFonts w:ascii="Arial" w:cs="Arial" w:eastAsia="Arial" w:hAnsi="Arial"/>
          <w:sz w:val="24"/>
          <w:szCs w:val="24"/>
        </w:rPr>
        <w:t xml:space="preserve">- осветительное оборудование;</w:t>
      </w:r>
    </w:p>
    <w:p>
      <w:pPr>
        <w:spacing w:after="120"/>
        <w:ind w:firstLine="397"/>
        <w:jc w:val="both"/>
      </w:pPr>
      <w:r>
        <w:rPr>
          <w:rFonts w:ascii="Arial" w:cs="Arial" w:eastAsia="Arial" w:hAnsi="Arial"/>
          <w:sz w:val="24"/>
          <w:szCs w:val="24"/>
        </w:rPr>
        <w:t xml:space="preserve">- ступени подвесные платформы и иное аналогичное оборудование, которые в рабочем положении выступают не более чем на 10 мм с каждой стороны транспортного средства, у которых обращенные вперед или назад углы ступеней имеют радиус закругления не менее 5 мм, а их кромки - радиус закругления не менее 2,5 мм;</w:t>
      </w:r>
    </w:p>
    <w:p>
      <w:pPr>
        <w:spacing w:after="120"/>
        <w:ind w:firstLine="397"/>
        <w:jc w:val="both"/>
      </w:pPr>
      <w:r>
        <w:rPr>
          <w:rFonts w:ascii="Arial" w:cs="Arial" w:eastAsia="Arial" w:hAnsi="Arial"/>
          <w:sz w:val="24"/>
          <w:szCs w:val="24"/>
        </w:rPr>
        <w:t xml:space="preserve">- зеркала заднего обзора;</w:t>
      </w:r>
    </w:p>
    <w:p>
      <w:pPr>
        <w:spacing w:after="120"/>
        <w:ind w:firstLine="397"/>
        <w:jc w:val="both"/>
      </w:pPr>
      <w:r>
        <w:rPr>
          <w:rFonts w:ascii="Arial" w:cs="Arial" w:eastAsia="Arial" w:hAnsi="Arial"/>
          <w:sz w:val="24"/>
          <w:szCs w:val="24"/>
        </w:rPr>
        <w:t xml:space="preserve">- индикаторы давления в шинах;</w:t>
      </w:r>
    </w:p>
    <w:p>
      <w:pPr>
        <w:spacing w:after="120"/>
        <w:ind w:firstLine="397"/>
        <w:jc w:val="both"/>
      </w:pPr>
      <w:r>
        <w:rPr>
          <w:rFonts w:ascii="Arial" w:cs="Arial" w:eastAsia="Arial" w:hAnsi="Arial"/>
          <w:sz w:val="24"/>
          <w:szCs w:val="24"/>
        </w:rPr>
        <w:t xml:space="preserve">- втягивающиеся или убирающиеся в транспортном положении ступени или лестницы;</w:t>
      </w:r>
    </w:p>
    <w:p>
      <w:pPr>
        <w:spacing w:after="120"/>
        <w:ind w:firstLine="397"/>
        <w:jc w:val="both"/>
      </w:pPr>
      <w:r>
        <w:rPr>
          <w:rFonts w:ascii="Arial" w:cs="Arial" w:eastAsia="Arial" w:hAnsi="Arial"/>
          <w:sz w:val="24"/>
          <w:szCs w:val="24"/>
        </w:rPr>
        <w:t xml:space="preserve">- искривленная часть поверхности автопокрышки, выступающая за точку ее контакта с поверхностью дороги.</w:t>
      </w:r>
    </w:p>
    <w:p>
      <w:pPr>
        <w:spacing w:after="120"/>
        <w:ind w:firstLine="397"/>
        <w:jc w:val="both"/>
      </w:pPr>
      <w:r>
        <w:rPr>
          <w:rFonts w:ascii="Arial" w:cs="Arial" w:eastAsia="Arial" w:hAnsi="Arial"/>
          <w:i/>
          <w:iCs/>
          <w:sz w:val="24"/>
          <w:szCs w:val="24"/>
        </w:rPr>
        <w:t xml:space="preserve">Примечание: Изменение и дополнение внесенные </w:t>
      </w:r>
      <w:hyperlink w:history="1" r:id="rIdfse6b1rexnnw7mbvc7hf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августа 2017 года № 525 </w:t>
      </w:r>
      <w:r>
        <w:rPr>
          <w:rFonts w:ascii="Arial" w:cs="Arial" w:eastAsia="Arial" w:hAnsi="Arial"/>
          <w:i/>
          <w:iCs/>
          <w:sz w:val="24"/>
          <w:szCs w:val="24"/>
        </w:rPr>
        <w:t xml:space="preserve">“</w:t>
      </w:r>
      <w:r>
        <w:rPr>
          <w:rFonts w:ascii="Arial" w:cs="Arial" w:eastAsia="Arial" w:hAnsi="Arial"/>
          <w:i/>
          <w:iCs/>
          <w:sz w:val="24"/>
          <w:szCs w:val="24"/>
        </w:rPr>
        <w:t xml:space="preserve">пункт 8 дополнить абзацами</w:t>
      </w:r>
      <w:r>
        <w:rPr>
          <w:rFonts w:ascii="Arial" w:cs="Arial" w:eastAsia="Arial" w:hAnsi="Arial"/>
          <w:i/>
          <w:iCs/>
          <w:sz w:val="24"/>
          <w:szCs w:val="24"/>
        </w:rPr>
        <w:t xml:space="preserve">”, отсутствует в исходной редакции, не соответствует тексту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Размеры </w:t>
      </w:r>
    </w:p>
    <w:p>
      <w:pPr>
        <w:spacing w:after="120"/>
        <w:jc w:val="center"/>
      </w:pPr>
      <w:r>
        <w:rPr>
          <w:rFonts w:ascii="Arial" w:cs="Arial" w:eastAsia="Arial" w:hAnsi="Arial"/>
          <w:b/>
          <w:bCs/>
          <w:sz w:val="24"/>
          <w:szCs w:val="24"/>
        </w:rPr>
        <w:t xml:space="preserve">с</w:t>
      </w:r>
      <w:r>
        <w:rPr>
          <w:rFonts w:ascii="Arial" w:cs="Arial" w:eastAsia="Arial" w:hAnsi="Arial"/>
          <w:b/>
          <w:bCs/>
          <w:sz w:val="24"/>
          <w:szCs w:val="24"/>
        </w:rPr>
        <w:t xml:space="preserve">боров за проезд транспортных средств со специальным и неделимым </w:t>
      </w:r>
    </w:p>
    <w:p>
      <w:pPr>
        <w:spacing w:after="240" w:before="200"/>
        <w:jc w:val="center"/>
      </w:pPr>
      <w:r>
        <w:rPr>
          <w:rFonts w:ascii="Arial" w:cs="Arial" w:eastAsia="Arial" w:hAnsi="Arial"/>
          <w:b/>
          <w:bCs/>
          <w:sz w:val="32"/>
          <w:szCs w:val="32"/>
        </w:rPr>
        <w:t xml:space="preserve">грузом по автомобильным дорогам общего пользования </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w:t>
      </w:r>
      <w:r>
        <w:rPr>
          <w:rFonts w:ascii="Arial" w:cs="Arial" w:eastAsia="Arial" w:hAnsi="Arial"/>
          <w:i/>
          <w:iCs/>
          <w:sz w:val="24"/>
          <w:szCs w:val="24"/>
        </w:rPr>
        <w:t xml:space="preserve">и</w:t>
      </w:r>
      <w:r>
        <w:rPr>
          <w:rFonts w:ascii="Arial" w:cs="Arial" w:eastAsia="Arial" w:hAnsi="Arial"/>
          <w:i/>
          <w:iCs/>
          <w:sz w:val="24"/>
          <w:szCs w:val="24"/>
        </w:rPr>
        <w:t xml:space="preserve"> силу в соответствии с </w:t>
      </w:r>
      <w:hyperlink w:history="1" r:id="rIdak2urcqyocdfzuk5gqm4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13 июля 2015 года № 481)</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ft1aoa60eebls1cbahf">
      <w:r>
        <w:rPr>
          <w:rFonts w:ascii="Arial" w:cs="Arial" w:eastAsia="Arial" w:hAnsi="Arial"/>
          <w:color w:val="132D3F"/>
          <w:sz w:val="16"/>
          <w:szCs w:val="16"/>
          <w:u w:val="single"/>
        </w:rPr>
        <w:t xml:space="preserve">dalil.kg/document/92756</w:t>
      </w:r>
    </w:hyperlink>
  </w:p>
  <w:p>
    <w:pPr>
      <w:spacing w:after="0" w:before="40"/>
      <w:jc w:val="center"/>
    </w:pPr>
    <w:hyperlink w:history="1" r:id="rIdycqyvp8uo8v-fg2ruiwp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pbvslgmz9olcocy00ytb" Type="http://schemas.openxmlformats.org/officeDocument/2006/relationships/hyperlink" Target="https://dalil.kg/document/95449" TargetMode="External"/><Relationship Id="rId4z4d_9-2kib-tgohbykln" Type="http://schemas.openxmlformats.org/officeDocument/2006/relationships/hyperlink" Target="https://dalil.kg/document/94605" TargetMode="External"/><Relationship Id="rIdif9ztxsmlaz8dkpbmyjop" Type="http://schemas.openxmlformats.org/officeDocument/2006/relationships/hyperlink" Target="https://dalil.kg/document/97827" TargetMode="External"/><Relationship Id="rIdhnisu2zgx7gsfg8im1kwa" Type="http://schemas.openxmlformats.org/officeDocument/2006/relationships/hyperlink" Target="https://dalil.kg/document/99767" TargetMode="External"/><Relationship Id="rId7pc4g10zlsprk0yztkmvs" Type="http://schemas.openxmlformats.org/officeDocument/2006/relationships/hyperlink" Target="https://dalil.kg/document/98929" TargetMode="External"/><Relationship Id="rIdg3a_vcf5tlv_s61frqcoz" Type="http://schemas.openxmlformats.org/officeDocument/2006/relationships/hyperlink" Target="https://dalil.kg/document/157968" TargetMode="External"/><Relationship Id="rIdaxsomcocygxrdsntdr0sb" Type="http://schemas.openxmlformats.org/officeDocument/2006/relationships/hyperlink" Target="https://dalil.kg/document/158882" TargetMode="External"/><Relationship Id="rIdvjwj0bficpebzamqv6-fn" Type="http://schemas.openxmlformats.org/officeDocument/2006/relationships/hyperlink" Target="https://dalil.kg/document/230011963" TargetMode="External"/><Relationship Id="rIdpxyqe2r9syyer2nn4ohjq" Type="http://schemas.openxmlformats.org/officeDocument/2006/relationships/hyperlink" Target="https://dalil.kg/document/230016971" TargetMode="External"/><Relationship Id="rId3lxpyzvavgqkebpstgl2e" Type="http://schemas.openxmlformats.org/officeDocument/2006/relationships/hyperlink" Target="https://dalil.kg/document/230028198" TargetMode="External"/><Relationship Id="rId9vchj6mlu_e9it9nh9nai" Type="http://schemas.openxmlformats.org/officeDocument/2006/relationships/hyperlink" Target="https://dalil.kg/document/80" TargetMode="External"/><Relationship Id="rIdjhqlpocfm7femdszyiqap" Type="http://schemas.openxmlformats.org/officeDocument/2006/relationships/hyperlink" Target="https://dalil.kg/document/230016369" TargetMode="External"/><Relationship Id="rIdg4k0czg5xjxsxbdpp_muy" Type="http://schemas.openxmlformats.org/officeDocument/2006/relationships/hyperlink" Target="https://dalil.kg/document/92756#pr1" TargetMode="External"/><Relationship Id="rIdlviwmfxag99btvbklm--e" Type="http://schemas.openxmlformats.org/officeDocument/2006/relationships/hyperlink" Target="https://dalil.kg/document/230016732" TargetMode="External"/><Relationship Id="rIdigrtvun3p2_nqoce6mxqm" Type="http://schemas.openxmlformats.org/officeDocument/2006/relationships/hyperlink" Target="https://dalil.kg/document/97827" TargetMode="External"/><Relationship Id="rIdjqn130ykhqva4a_led-f8" Type="http://schemas.openxmlformats.org/officeDocument/2006/relationships/hyperlink" Target="https://dalil.kg/document/230016454" TargetMode="External"/><Relationship Id="rId22h4uzrvg5m-yadabcfhg" Type="http://schemas.openxmlformats.org/officeDocument/2006/relationships/hyperlink" Target="https://dalil.kg/document/230016780" TargetMode="External"/><Relationship Id="rIdk2sws1rg5ndrizfrbnftc" Type="http://schemas.openxmlformats.org/officeDocument/2006/relationships/hyperlink" Target="https://dalil.kg/document/230016815" TargetMode="External"/><Relationship Id="rIdav12-6rajxfs6dvujjxcy" Type="http://schemas.openxmlformats.org/officeDocument/2006/relationships/hyperlink" Target="https://dalil.kg/document/97827" TargetMode="External"/><Relationship Id="rIduq3w23gcl4oycpkkiy9zi" Type="http://schemas.openxmlformats.org/officeDocument/2006/relationships/hyperlink" Target="https://dalil.kg/document/99767" TargetMode="External"/><Relationship Id="rIdxxu9619igdn0pje0zmlum" Type="http://schemas.openxmlformats.org/officeDocument/2006/relationships/hyperlink" Target="https://dalil.kg/document/157968" TargetMode="External"/><Relationship Id="rId_rzurjjhki8ia5pfgkyhr" Type="http://schemas.openxmlformats.org/officeDocument/2006/relationships/hyperlink" Target="https://dalil.kg/document/158882" TargetMode="External"/><Relationship Id="rIdnuwm-gsiw8lv2wpprr68c" Type="http://schemas.openxmlformats.org/officeDocument/2006/relationships/hyperlink" Target="https://dalil.kg/document/230011963" TargetMode="External"/><Relationship Id="rId-2htxvqdp58ythh38e3tc" Type="http://schemas.openxmlformats.org/officeDocument/2006/relationships/hyperlink" Target="https://dalil.kg/document/99767" TargetMode="External"/><Relationship Id="rIduauppe8dvk_amhifxc6_t" Type="http://schemas.openxmlformats.org/officeDocument/2006/relationships/hyperlink" Target="https://dalil.kg/document/55948" TargetMode="External"/><Relationship Id="rIdtlpn8_af3jed-qukc9dd0" Type="http://schemas.openxmlformats.org/officeDocument/2006/relationships/hyperlink" Target="https://dalil.kg/document/57356" TargetMode="External"/><Relationship Id="rIdajk_vxzsi_8tx6ftai6mr" Type="http://schemas.openxmlformats.org/officeDocument/2006/relationships/hyperlink" Target="https://dalil.kg/document/95449" TargetMode="External"/><Relationship Id="rIdbe3wqwej05jpaxsfgb_e3" Type="http://schemas.openxmlformats.org/officeDocument/2006/relationships/hyperlink" Target="https://dalil.kg/document/97827" TargetMode="External"/><Relationship Id="rIdsguptrkd_ef-5ups74bcg" Type="http://schemas.openxmlformats.org/officeDocument/2006/relationships/hyperlink" Target="https://dalil.kg/document/98929" TargetMode="External"/><Relationship Id="rIdvn2-xlhedunvmftwlwawa" Type="http://schemas.openxmlformats.org/officeDocument/2006/relationships/hyperlink" Target="https://dalil.kg/document/157968" TargetMode="External"/><Relationship Id="rIdwvtqhjgjd4wksuz9ac6cu" Type="http://schemas.openxmlformats.org/officeDocument/2006/relationships/hyperlink" Target="https://dalil.kg/document/158882" TargetMode="External"/><Relationship Id="rIdxyufajncy5zijmycxgket" Type="http://schemas.openxmlformats.org/officeDocument/2006/relationships/hyperlink" Target="https://dalil.kg/document/230011963" TargetMode="External"/><Relationship Id="rIdh-v_2h2cckmvtnbwiew72" Type="http://schemas.openxmlformats.org/officeDocument/2006/relationships/hyperlink" Target="https://dalil.kg/document/230016971" TargetMode="External"/><Relationship Id="rIdjw9lisxezj8girv3qsyaj" Type="http://schemas.openxmlformats.org/officeDocument/2006/relationships/hyperlink" Target="https://dalil.kg/document/230028198" TargetMode="External"/><Relationship Id="rIdy7h-xs9detkxqxma3mwby" Type="http://schemas.openxmlformats.org/officeDocument/2006/relationships/hyperlink" Target="https://dalil.kg/document/157968" TargetMode="External"/><Relationship Id="rIdsugdohpzwtnu4dzhdxufz" Type="http://schemas.openxmlformats.org/officeDocument/2006/relationships/hyperlink" Target="https://dalil.kg/document/157968" TargetMode="External"/><Relationship Id="rIdq4pbpkn0peofjye_zwu5f" Type="http://schemas.openxmlformats.org/officeDocument/2006/relationships/hyperlink" Target="https://dalil.kg/document/157968" TargetMode="External"/><Relationship Id="rIdxgamvpb5xi0yxm9yj7gy8" Type="http://schemas.openxmlformats.org/officeDocument/2006/relationships/hyperlink" Target="https://dalil.kg/document/158882" TargetMode="External"/><Relationship Id="rIdxvtl3b0cfulxoftmbmd5v" Type="http://schemas.openxmlformats.org/officeDocument/2006/relationships/hyperlink" Target="https://dalil.kg/document/230011963" TargetMode="External"/><Relationship Id="rIdr7yleu60iwp0jtqt4igns" Type="http://schemas.openxmlformats.org/officeDocument/2006/relationships/hyperlink" Target="https://dalil.kg/document/157968" TargetMode="External"/><Relationship Id="rIdcs73j4jzo1acctqlozaww" Type="http://schemas.openxmlformats.org/officeDocument/2006/relationships/hyperlink" Target="https://dalil.kg/document/158882" TargetMode="External"/><Relationship Id="rIdmqc7otmcefxzomdzuo-nc" Type="http://schemas.openxmlformats.org/officeDocument/2006/relationships/hyperlink" Target="https://dalil.kg/document/98929" TargetMode="External"/><Relationship Id="rIdjjz4ccth8td7pxykudnea" Type="http://schemas.openxmlformats.org/officeDocument/2006/relationships/hyperlink" Target="https://dalil.kg/document/158882" TargetMode="External"/><Relationship Id="rIdakgx6b0zey4z7dfr-9h4h" Type="http://schemas.openxmlformats.org/officeDocument/2006/relationships/hyperlink" Target="https://dalil.kg/document/230016971" TargetMode="External"/><Relationship Id="rIdfdn2kdgrtpedav7jfdkio" Type="http://schemas.openxmlformats.org/officeDocument/2006/relationships/hyperlink" Target="https://dalil.kg/document/157968" TargetMode="External"/><Relationship Id="rIdq8yyifvbemuozxxsz9r7a" Type="http://schemas.openxmlformats.org/officeDocument/2006/relationships/hyperlink" Target="https://dalil.kg/document/158882" TargetMode="External"/><Relationship Id="rIdiiycv9uqlzgixdgku54dq" Type="http://schemas.openxmlformats.org/officeDocument/2006/relationships/hyperlink" Target="https://dalil.kg/document/157968" TargetMode="External"/><Relationship Id="rIdwb1oszgvriz6_kvmwipbd" Type="http://schemas.openxmlformats.org/officeDocument/2006/relationships/hyperlink" Target="https://dalil.kg/document/158882" TargetMode="External"/><Relationship Id="rIdfse6b1rexnnw7mbvc7hfu" Type="http://schemas.openxmlformats.org/officeDocument/2006/relationships/hyperlink" Target="https://dalil.kg/document/98929" TargetMode="External"/><Relationship Id="rIdak2urcqyocdfzuk5gqm4j" Type="http://schemas.openxmlformats.org/officeDocument/2006/relationships/hyperlink" Target="https://dalil.kg/document/97827" TargetMode="External"/><Relationship Id="rId8" Type="http://schemas.openxmlformats.org/officeDocument/2006/relationships/image" Target="media/8de64316e95979c063c17bcd5380dc052a2594e9.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ft1aoa60eebls1cbahf" Type="http://schemas.openxmlformats.org/officeDocument/2006/relationships/hyperlink" Target="https://dalil.kg/document/92756" TargetMode="External"/><Relationship Id="rIdycqyvp8uo8v-fg2ruiwp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2026-09-24T07:37:11.941Z</dcterms:created>
  <dcterms:modified xsi:type="dcterms:W3CDTF">2026-09-24T07:37:11.941Z</dcterms:modified>
</cp:coreProperties>
</file>

<file path=docProps/custom.xml><?xml version="1.0" encoding="utf-8"?>
<Properties xmlns="http://schemas.openxmlformats.org/officeDocument/2006/custom-properties" xmlns:vt="http://schemas.openxmlformats.org/officeDocument/2006/docPropsVTypes"/>
</file>