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k4tzm6rligqv1fz6ruga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w:t>
      </w:r>
    </w:p>
    <w:p>
      <w:pPr>
        <w:spacing w:after="120"/>
        <w:jc w:val="center"/>
      </w:pPr>
      <w:r>
        <w:rPr>
          <w:rFonts w:ascii="Arial" w:cs="Arial" w:eastAsia="Arial" w:hAnsi="Arial"/>
          <w:i/>
          <w:iCs/>
          <w:sz w:val="24"/>
          <w:szCs w:val="24"/>
        </w:rPr>
        <w:t xml:space="preserve">от 28 марта 2016 года N 151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марта 2012 года № 184</w:t>
      </w:r>
    </w:p>
    <w:p>
      <w:pPr>
        <w:spacing w:after="120"/>
        <w:jc w:val="both"/>
      </w:pPr>
      <w:r>
        <w:rPr>
          <w:rFonts w:ascii="Arial" w:cs="Arial" w:eastAsia="Arial" w:hAnsi="Arial"/>
          <w:sz w:val="24"/>
          <w:szCs w:val="24"/>
        </w:rPr>
        <w:t xml:space="preserve">Об утверждении Стратегии развития Государственной налоговой службы при Правительстве 
 Кыргызской Республики на 2012-2014 годы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6ujhuudeb-ksbnmbvozm">
        <w:r>
          <w:rPr>
            <w:rFonts w:ascii="Arial" w:cs="Arial" w:eastAsia="Arial" w:hAnsi="Arial"/>
            <w:color w:val="1D4ED8"/>
            <w:sz w:val="24"/>
            <w:szCs w:val="24"/>
            <w:u w:val="single"/>
          </w:rPr>
          <w:t xml:space="preserve">8 мая 2013 года № 257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реформирования и модернизации налоговой службы, обеспечения повышения эффективности налогового администрирования в целом с учетом соблюдения баланса между необходимостью повышения собираемости налогов и снижением административного бремени налогоплательщика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Стратегию развития Государственной налоговой службы при Правительстве Кыргызской Республики на 2012-2014 годы (далее - Стратегия) согласно </w:t>
      </w:r>
      <w:hyperlink w:history="1" r:id="rIdhtdf-dfw-adnbeyjdpjq5">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План реализации Стратегии (далее - План мероприятий) согласно </w:t>
      </w:r>
      <w:hyperlink w:history="1" r:id="rIdjs7tig1uhazrx241vmztn">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Министерствам, административным ведомствам принять исчерпывающие меры по реализации Плана мероприятий.</w:t>
      </w:r>
    </w:p>
    <w:p>
      <w:pPr>
        <w:spacing w:after="120"/>
        <w:jc w:val="both"/>
      </w:pPr>
      <w:r>
        <w:rPr>
          <w:rFonts w:ascii="Arial" w:cs="Arial" w:eastAsia="Arial" w:hAnsi="Arial"/>
          <w:sz w:val="24"/>
          <w:szCs w:val="24"/>
        </w:rPr>
        <w:t xml:space="preserve">3. Государственной налоговой службе при Правительстве Кыргызской Республики по итогам каждого полугодия, не позднее 1 августа и 1 февраля, представлять в Аппарат Правительства Кыргызской Республики обобщенный отчет о ходе реализации Стратегии.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финансов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развития 
 Государственной налоговой службы при Правительстве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55qa5v4jqpyf1zlr8ke2">
        <w:r>
          <w:rPr>
            <w:rFonts w:ascii="Arial" w:cs="Arial" w:eastAsia="Arial" w:hAnsi="Arial"/>
            <w:color w:val="1D4ED8"/>
            <w:sz w:val="24"/>
            <w:szCs w:val="24"/>
            <w:u w:val="single"/>
          </w:rPr>
          <w:t xml:space="preserve">8 мая 2013 года № 257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стратегия развития Государственной налоговой службы при Правительстве Кыргызской Республики (далее - Стратегия) является документом, определяющим видение, миссию, стратегические цели развития Государственной налоговой службы при Правительстве Кыргызской Республики (далее - ГНС) на 2012-2014 годы, основные задачи по их достижению, а также меры и механизмы реализации поставленных задач.</w:t>
      </w:r>
    </w:p>
    <w:p>
      <w:pPr>
        <w:spacing w:after="120"/>
        <w:jc w:val="both"/>
      </w:pPr>
      <w:r>
        <w:rPr>
          <w:rFonts w:ascii="Arial" w:cs="Arial" w:eastAsia="Arial" w:hAnsi="Arial"/>
          <w:sz w:val="24"/>
          <w:szCs w:val="24"/>
        </w:rPr>
        <w:t xml:space="preserve">Разработка настоящей Стратегии обусловлена Среднесрочной программой развития Кыргызской Республики на 2012-2014 годы, одобренной </w:t>
      </w:r>
      <w:hyperlink w:history="1" r:id="rIdjnhnf-likk-zm5brexeu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сентября 2011 года № 540, необходимостью определения основных направлений реформирования ГНС на среднесрочный период, четких приоритетов развития, пересмотра и внедрения принципиально новых, современных подходов и методов в налоговом администрировании, а также выработки конкретных мероприятий по реализации задач, направленных на достижение конкретных результатов.</w:t>
      </w:r>
    </w:p>
    <w:p>
      <w:pPr>
        <w:spacing w:after="120"/>
        <w:jc w:val="both"/>
      </w:pPr>
      <w:r>
        <w:rPr>
          <w:rFonts w:ascii="Arial" w:cs="Arial" w:eastAsia="Arial" w:hAnsi="Arial"/>
          <w:sz w:val="24"/>
          <w:szCs w:val="24"/>
        </w:rPr>
        <w:t xml:space="preserve">Методология разработки Стратегии включает два этапа: аналитический и этап планирования.</w:t>
      </w:r>
    </w:p>
    <w:p>
      <w:pPr>
        <w:spacing w:after="120"/>
        <w:jc w:val="both"/>
      </w:pPr>
      <w:r>
        <w:rPr>
          <w:rFonts w:ascii="Arial" w:cs="Arial" w:eastAsia="Arial" w:hAnsi="Arial"/>
          <w:sz w:val="24"/>
          <w:szCs w:val="24"/>
        </w:rPr>
        <w:t xml:space="preserve">Аналитический этап предполагает анализ проблем, целей и задач, в ходе которого было изучено состояние дел в сфере налогового администрирования, деятельность налоговых органов для определения видения будущей ГНС, приоритетов развития и путей достижения поставленных целей.</w:t>
      </w:r>
    </w:p>
    <w:p>
      <w:pPr>
        <w:spacing w:after="120"/>
        <w:jc w:val="both"/>
      </w:pPr>
      <w:r>
        <w:rPr>
          <w:rFonts w:ascii="Arial" w:cs="Arial" w:eastAsia="Arial" w:hAnsi="Arial"/>
          <w:sz w:val="24"/>
          <w:szCs w:val="24"/>
        </w:rPr>
        <w:t xml:space="preserve">Этап планирования включает в себя разработку структуры Стратегии, планирование мероприятий, ресурсов и затрат, разработку системы мониторинга и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Текущее состояние, миссия и видение ГНС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годы независимости в стране принимались меры, направленные на реформирование системы налогового администрирования. В ходе реформ с 1 января 2009 года введена в действие новая редакция Налогового кодекса Кыргызской Республики (далее - Налоговый кодекс).</w:t>
      </w:r>
    </w:p>
    <w:p>
      <w:pPr>
        <w:spacing w:after="120"/>
        <w:jc w:val="both"/>
      </w:pPr>
      <w:r>
        <w:rPr>
          <w:rFonts w:ascii="Arial" w:cs="Arial" w:eastAsia="Arial" w:hAnsi="Arial"/>
          <w:sz w:val="24"/>
          <w:szCs w:val="24"/>
        </w:rPr>
        <w:t xml:space="preserve">Налоговым кодексом предусматривается решение важнейших задач в сфере администрирования налогов. Одними из которых являлось создание правовой основы для качественного улучшения налогового администрирования, снижение неоправданно высокого административного бремени, создание благоприятных условий для ведения бизнеса через стимулирование деятельности добросовестных налогоплательщиков. Новая редакция Налогового кодекса направлена на гармонизацию налогового законодательства с другими законами республики, устранение противоречий и пробелов в нормативных правовых актах.</w:t>
      </w:r>
    </w:p>
    <w:p>
      <w:pPr>
        <w:spacing w:after="120"/>
        <w:jc w:val="both"/>
      </w:pPr>
      <w:r>
        <w:rPr>
          <w:rFonts w:ascii="Arial" w:cs="Arial" w:eastAsia="Arial" w:hAnsi="Arial"/>
          <w:sz w:val="24"/>
          <w:szCs w:val="24"/>
        </w:rPr>
        <w:t xml:space="preserve">В последующем, в налоговое законодательство внесены изменения и дополнения, направленные на совершенствование его норм. Рассмотрение вносимых изменений и дополнений осуществлялось в ходе обсуждения их с бизнес-сообществом и экспертами, включая рассмотрение соответствующих предложений на постоянно действующих совместных экспертных и общественных площадках.</w:t>
      </w:r>
    </w:p>
    <w:p>
      <w:pPr>
        <w:spacing w:after="120"/>
        <w:jc w:val="both"/>
      </w:pPr>
      <w:r>
        <w:rPr>
          <w:rFonts w:ascii="Arial" w:cs="Arial" w:eastAsia="Arial" w:hAnsi="Arial"/>
          <w:sz w:val="24"/>
          <w:szCs w:val="24"/>
        </w:rPr>
        <w:t xml:space="preserve">В целом в Налоговом кодексе заложены правовые основы для создания современной эффективной налоговой системы.</w:t>
      </w:r>
    </w:p>
    <w:p>
      <w:pPr>
        <w:spacing w:after="120"/>
        <w:jc w:val="both"/>
      </w:pPr>
      <w:r>
        <w:rPr>
          <w:rFonts w:ascii="Arial" w:cs="Arial" w:eastAsia="Arial" w:hAnsi="Arial"/>
          <w:sz w:val="24"/>
          <w:szCs w:val="24"/>
        </w:rPr>
        <w:t xml:space="preserve">Параллельно с реформой налогового законодательства шел процесс модернизации деятельности самой налоговой службы. В соответствии с задачами, предусмотренными в Стратегии развития страны на 2007-2010 годы, утвержденной Указом Президента Кыргызской Республики от 16 мая 2007 года № 249, при технической и финансовой поддержке Азиатского банка развития (АБР), с 2008 года в системе налоговой службы республики началась реализация проекта «Реформирование и модернизация налогового администрирования».</w:t>
      </w:r>
    </w:p>
    <w:p>
      <w:pPr>
        <w:spacing w:after="120"/>
        <w:jc w:val="both"/>
      </w:pPr>
      <w:r>
        <w:rPr>
          <w:rFonts w:ascii="Arial" w:cs="Arial" w:eastAsia="Arial" w:hAnsi="Arial"/>
          <w:sz w:val="24"/>
          <w:szCs w:val="24"/>
        </w:rPr>
        <w:t xml:space="preserve">В рамках первого этапа частично обновлена инфраструктура налоговых органов, осуществлены преобразования в организационной структуре, в результате которых структура и рабочие процессы выстроены по функциональному принципу. В отдельных пилотных подразделениях создана соответствующая инфраструктура и внедрены механизмы работы с налогоплательщиками по принципу «единого окна», создан Учебный центр для обучения сотрудников ГНС и налогоплательщиков. С августа 2010 года начата разработка Информационной системы налогового администрирования страны (ИСНАК), поэтапное внедрение которой планируется осуществить в 2012 году. В городе Бишкек и Чуйской области запущена система электронной подачи налоговых отчетов.</w:t>
      </w:r>
    </w:p>
    <w:p>
      <w:pPr>
        <w:spacing w:after="120"/>
        <w:jc w:val="both"/>
      </w:pPr>
      <w:r>
        <w:rPr>
          <w:rFonts w:ascii="Arial" w:cs="Arial" w:eastAsia="Arial" w:hAnsi="Arial"/>
          <w:sz w:val="24"/>
          <w:szCs w:val="24"/>
        </w:rPr>
        <w:t xml:space="preserve">При технической поддержке Международной финансовой корпорации (МФК) разработана и внедрена в крупных налоговых подразделениях автоматизированная система планирования, назначения и обработки результатов выездных налоговых проверок, основанная на механизмах оценки риска неуплаты налогов.</w:t>
      </w:r>
    </w:p>
    <w:p>
      <w:pPr>
        <w:spacing w:after="120"/>
        <w:jc w:val="both"/>
      </w:pPr>
      <w:r>
        <w:rPr>
          <w:rFonts w:ascii="Arial" w:cs="Arial" w:eastAsia="Arial" w:hAnsi="Arial"/>
          <w:sz w:val="24"/>
          <w:szCs w:val="24"/>
        </w:rPr>
        <w:t xml:space="preserve">В целом меры по реформированию системы налогового администрирования положительно сказались на результатах деятельности фискального органа. Так, в течение последних трех лет наблюдается стабильный рост поступлений налогов и платежей, собираемых налоговыми органами. Объем налоговых сборов за эти годы увеличился с 21,1 млрд. сомов - в 2009 году до 30,3 млрд. сомов - в 2011 году, на 0,9 процентных пункта (с 10,7 до 11,6 %) возрос показатель удельного веса налоговых доходов в ВВП. Отмечается положительная динамика роста показателя числа активных хозяйствующих субъектов. При сокращении числа проводимых налоговых проверок хозсубъектов растет показатель поступления в бюджет сумм налогов и платежей, выявленных по результатам таких проверок.</w:t>
      </w:r>
    </w:p>
    <w:p>
      <w:pPr>
        <w:spacing w:after="120"/>
        <w:jc w:val="both"/>
      </w:pPr>
      <w:r>
        <w:rPr>
          <w:rFonts w:ascii="Arial" w:cs="Arial" w:eastAsia="Arial" w:hAnsi="Arial"/>
          <w:sz w:val="24"/>
          <w:szCs w:val="24"/>
        </w:rPr>
        <w:t xml:space="preserve">В то же время, проведенный анализ показал, что несмотря на достигнутый прогресс, нерешенными остаются некоторые проблемы налогового администрирования, главным образом связанные с недостаточной эффективностью деятельности налоговых органов, наличием устаревших, неэффективных форм и инструментов администрирования.</w:t>
      </w:r>
    </w:p>
    <w:p>
      <w:pPr>
        <w:spacing w:after="120"/>
        <w:jc w:val="both"/>
      </w:pPr>
      <w:r>
        <w:rPr>
          <w:rFonts w:ascii="Arial" w:cs="Arial" w:eastAsia="Arial" w:hAnsi="Arial"/>
          <w:sz w:val="24"/>
          <w:szCs w:val="24"/>
        </w:rPr>
        <w:t xml:space="preserve">Не решены принципиальные вопросы пересмотра приоритетов и модернизации деятельности фискального органа, предусматривающие изменение акцента в работе службы с чисто фискальных ориентиров на предоставление сервисных услуг.</w:t>
      </w:r>
    </w:p>
    <w:p>
      <w:pPr>
        <w:spacing w:after="120"/>
        <w:jc w:val="both"/>
      </w:pPr>
      <w:r>
        <w:rPr>
          <w:rFonts w:ascii="Arial" w:cs="Arial" w:eastAsia="Arial" w:hAnsi="Arial"/>
          <w:sz w:val="24"/>
          <w:szCs w:val="24"/>
        </w:rPr>
        <w:t xml:space="preserve">До конца не решены вопросы обеспечения качества услуг, предоставляемых налогоплательщику, минимизации условий для возникновения коррупционных контактов, улучшения взаимодействия с другими государственными органами и общественными институтами, оптимизации внутренних рабочих функций и процессов, повышения качества кадрового состава службы.</w:t>
      </w:r>
    </w:p>
    <w:p>
      <w:pPr>
        <w:spacing w:after="120"/>
        <w:jc w:val="both"/>
      </w:pPr>
      <w:r>
        <w:rPr>
          <w:rFonts w:ascii="Arial" w:cs="Arial" w:eastAsia="Arial" w:hAnsi="Arial"/>
          <w:sz w:val="24"/>
          <w:szCs w:val="24"/>
        </w:rPr>
        <w:t xml:space="preserve">Важным, если не самым главным, вопросом остается решение задачи изменения взглядов и отношения налоговой службы к своей роли и задачам в реализации налоговой политики государства, перестройки мышления, с одной стороны, и пересмотр позиции и отношения налогоплательщиков и граждан к своим обязанностям и их ответственности перед государством и обществом, с другой.</w:t>
      </w:r>
    </w:p>
    <w:p>
      <w:pPr>
        <w:spacing w:after="120"/>
        <w:jc w:val="both"/>
      </w:pPr>
      <w:r>
        <w:rPr>
          <w:rFonts w:ascii="Arial" w:cs="Arial" w:eastAsia="Arial" w:hAnsi="Arial"/>
          <w:sz w:val="24"/>
          <w:szCs w:val="24"/>
        </w:rPr>
        <w:t xml:space="preserve">Миссией ГНС в структуре государственного управления является обеспечение содействия исполнению налогоплательщиком налогового законодательства Кыргызской Республики.</w:t>
      </w:r>
    </w:p>
    <w:p>
      <w:pPr>
        <w:spacing w:after="120"/>
        <w:jc w:val="both"/>
      </w:pPr>
      <w:r>
        <w:rPr>
          <w:rFonts w:ascii="Arial" w:cs="Arial" w:eastAsia="Arial" w:hAnsi="Arial"/>
          <w:sz w:val="24"/>
          <w:szCs w:val="24"/>
        </w:rPr>
        <w:t xml:space="preserve">Деятельность ГНС должна быть нацелена на преобразование в эффективно функционирующую современную налоговую администрацию, удовлетворяющую потребности общества и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Стратегические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логика Стратегии заключается в обеспечении повышения эффективности налогового администрирования в целом с учетом соблюдения баланса между необходимостью повышения собираемости налогов и снижением административного бремени налогоплательщика.</w:t>
      </w:r>
    </w:p>
    <w:p>
      <w:pPr>
        <w:spacing w:after="120"/>
        <w:jc w:val="both"/>
      </w:pPr>
      <w:r>
        <w:rPr>
          <w:rFonts w:ascii="Arial" w:cs="Arial" w:eastAsia="Arial" w:hAnsi="Arial"/>
          <w:sz w:val="24"/>
          <w:szCs w:val="24"/>
        </w:rPr>
        <w:t xml:space="preserve">Исходя из этого, и с учетом миссии и видения ГНС были определены следующие стратегические цели на среднесрочный период:</w:t>
      </w:r>
    </w:p>
    <w:p>
      <w:pPr>
        <w:spacing w:after="120"/>
        <w:jc w:val="both"/>
      </w:pPr>
      <w:r>
        <w:rPr>
          <w:rFonts w:ascii="Arial" w:cs="Arial" w:eastAsia="Arial" w:hAnsi="Arial"/>
          <w:sz w:val="24"/>
          <w:szCs w:val="24"/>
        </w:rPr>
        <w:t xml:space="preserve">1) повышение эффективности деятельности ГНС;</w:t>
      </w:r>
    </w:p>
    <w:p>
      <w:pPr>
        <w:spacing w:after="120"/>
        <w:jc w:val="both"/>
      </w:pPr>
      <w:r>
        <w:rPr>
          <w:rFonts w:ascii="Arial" w:cs="Arial" w:eastAsia="Arial" w:hAnsi="Arial"/>
          <w:sz w:val="24"/>
          <w:szCs w:val="24"/>
        </w:rPr>
        <w:t xml:space="preserve">2) развитие клиентоориентированности;</w:t>
      </w:r>
    </w:p>
    <w:p>
      <w:pPr>
        <w:spacing w:after="120"/>
        <w:jc w:val="both"/>
      </w:pPr>
      <w:r>
        <w:rPr>
          <w:rFonts w:ascii="Arial" w:cs="Arial" w:eastAsia="Arial" w:hAnsi="Arial"/>
          <w:sz w:val="24"/>
          <w:szCs w:val="24"/>
        </w:rPr>
        <w:t xml:space="preserve">3) увеличение потенциала собираемости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Повышение эффективности деятельности ГНС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Совершенствование системы управления ГНС, оптимизация внутренних бизнес-процессов, повышение квалификации и мотивации персонала являются основой для преобразования ГНС в эффективно функционирующую современную налоговую администрацию. В этой связи необходимо решить следующие задачи.</w:t>
      </w:r>
    </w:p>
    <w:p>
      <w:pPr>
        <w:spacing w:after="120"/>
        <w:jc w:val="both"/>
      </w:pPr>
      <w:r>
        <w:rPr>
          <w:rFonts w:ascii="Arial" w:cs="Arial" w:eastAsia="Arial" w:hAnsi="Arial"/>
          <w:sz w:val="24"/>
          <w:szCs w:val="24"/>
        </w:rPr>
        <w:t xml:space="preserve">1) Оптимизация организационной структуры и внутренних функций</w:t>
      </w:r>
    </w:p>
    <w:p>
      <w:pPr>
        <w:spacing w:after="120"/>
        <w:jc w:val="both"/>
      </w:pPr>
      <w:r>
        <w:rPr>
          <w:rFonts w:ascii="Arial" w:cs="Arial" w:eastAsia="Arial" w:hAnsi="Arial"/>
          <w:sz w:val="24"/>
          <w:szCs w:val="24"/>
        </w:rPr>
        <w:t xml:space="preserve">На всех уровнях ГНС существуют подразделения, сотрудники по финансовым, кадровым и юридическим вопросам, осуществляющие налоговые проверки и другие контрольные функции. При этом размещение и концентрация таких ресурсов в территориальных органах не оправдывает себя ни с точки зрения затрат государства на их содержание (учитывая небольшую налоговую базу территории), ни с позиции сокращения излишнего административного бремени на бизнес. В связи с этим в небольших территориальных подразделениях необходимо упразднить дублирующие функции, сконцентрировав их на более высоких уровнях управления, перераспределить ресурсы в укрупненные налоговые органы и центральный аппарат, усилив потенциал аналитических и информационно-технологических подразделений.</w:t>
      </w:r>
    </w:p>
    <w:p>
      <w:pPr>
        <w:spacing w:after="120"/>
        <w:jc w:val="both"/>
      </w:pPr>
      <w:r>
        <w:rPr>
          <w:rFonts w:ascii="Arial" w:cs="Arial" w:eastAsia="Arial" w:hAnsi="Arial"/>
          <w:sz w:val="24"/>
          <w:szCs w:val="24"/>
        </w:rPr>
        <w:t xml:space="preserve">Данная задача будет реализовываться параллельно с решением вопроса о передаче функций по администрированию местных налогов органам местного самоуправления.</w:t>
      </w:r>
    </w:p>
    <w:p>
      <w:pPr>
        <w:spacing w:after="120"/>
        <w:jc w:val="both"/>
      </w:pPr>
      <w:r>
        <w:rPr>
          <w:rFonts w:ascii="Arial" w:cs="Arial" w:eastAsia="Arial" w:hAnsi="Arial"/>
          <w:sz w:val="24"/>
          <w:szCs w:val="24"/>
        </w:rPr>
        <w:t xml:space="preserve">Кроме того, с целью оптимизации деятельности ГНС необходимо пересмотреть структуру, функции и рабочие процессы внутри налоговых органов.</w:t>
      </w:r>
    </w:p>
    <w:p>
      <w:pPr>
        <w:spacing w:after="120"/>
        <w:jc w:val="both"/>
      </w:pPr>
      <w:r>
        <w:rPr>
          <w:rFonts w:ascii="Arial" w:cs="Arial" w:eastAsia="Arial" w:hAnsi="Arial"/>
          <w:sz w:val="24"/>
          <w:szCs w:val="24"/>
        </w:rPr>
        <w:t xml:space="preserve">2) Исключение излишних функций ГНС</w:t>
      </w:r>
    </w:p>
    <w:p>
      <w:pPr>
        <w:spacing w:after="120"/>
        <w:jc w:val="both"/>
      </w:pPr>
      <w:r>
        <w:rPr>
          <w:rFonts w:ascii="Arial" w:cs="Arial" w:eastAsia="Arial" w:hAnsi="Arial"/>
          <w:sz w:val="24"/>
          <w:szCs w:val="24"/>
        </w:rPr>
        <w:t xml:space="preserve">В настоящее время на ГНС возложен ряд несвойственных ей и излишних функций, в частности, функции принудительной ликвидации, администрирования недействующих налогоплательщиков и другие, которые не несут в себе фискальной составляющей, отвлекают человеческие и временные ресурсы. Следует проанализировать и исключить несвойственные ГНС функции.</w:t>
      </w:r>
    </w:p>
    <w:p>
      <w:pPr>
        <w:spacing w:after="120"/>
        <w:jc w:val="both"/>
      </w:pPr>
      <w:r>
        <w:rPr>
          <w:rFonts w:ascii="Arial" w:cs="Arial" w:eastAsia="Arial" w:hAnsi="Arial"/>
          <w:sz w:val="24"/>
          <w:szCs w:val="24"/>
        </w:rPr>
        <w:t xml:space="preserve">3) Укрепление кадрового потенциала</w:t>
      </w:r>
    </w:p>
    <w:p>
      <w:pPr>
        <w:spacing w:after="120"/>
        <w:jc w:val="both"/>
      </w:pPr>
      <w:r>
        <w:rPr>
          <w:rFonts w:ascii="Arial" w:cs="Arial" w:eastAsia="Arial" w:hAnsi="Arial"/>
          <w:sz w:val="24"/>
          <w:szCs w:val="24"/>
        </w:rPr>
        <w:t xml:space="preserve">Улучшение кадровой политики - ключевой вопрос реформирования ГНС. На сегодняшний день при наборе в налоговую службу к сотрудникам предъявляются общие требования, предусмотренные для государственных служащих, при этом применяется система аттестации, которая недостаточно эффективна ввиду наличия элементов, позволяющих давать необъективные оценки знаний сотрудника. Кроме того, данная система аттестации неэффективна в силу длительных периодов между сроками их проведения. Необходимо пересмотреть и повысить квалификационные требования при трудоустройстве в ГНС, учитывая специфику органа. Следует разработать и внедрить систему оценки деятельности сотрудников, ориентированную на конкретный результат работы, которая будет увязана с системой мотивации персонала (при оценке сотрудника на соответствие его занимаемой должности, продвижение по службе, материальное поощрение и т.д.). Необходимо концептуально определиться и реализовать меры по реформированию системы обучения и повышения квалификации кадров ГНС.</w:t>
      </w:r>
    </w:p>
    <w:p>
      <w:pPr>
        <w:spacing w:after="120"/>
        <w:jc w:val="both"/>
      </w:pPr>
      <w:r>
        <w:rPr>
          <w:rFonts w:ascii="Arial" w:cs="Arial" w:eastAsia="Arial" w:hAnsi="Arial"/>
          <w:sz w:val="24"/>
          <w:szCs w:val="24"/>
        </w:rPr>
        <w:t xml:space="preserve">4) Укрепление материально-технической базы, увеличение оплаты труда сотрудников</w:t>
      </w:r>
    </w:p>
    <w:p>
      <w:pPr>
        <w:spacing w:after="120"/>
        <w:jc w:val="both"/>
      </w:pPr>
      <w:r>
        <w:rPr>
          <w:rFonts w:ascii="Arial" w:cs="Arial" w:eastAsia="Arial" w:hAnsi="Arial"/>
          <w:sz w:val="24"/>
          <w:szCs w:val="24"/>
        </w:rPr>
        <w:t xml:space="preserve">Внедрение повсеместной автоматизации, переход на клиентоориентированность, повышение мотивации сотрудников ГНС, предупреждение коррупции и многие другие факторы, необходимые для успешного реформирования ГНС, требуют значительного финансового и технического обеспечения. С этой целью необходимо предусмотреть в государственном бюджете финансирование планируемых мероприятий, рассмотреть возможности использования средств донорских организаций. Для определения необходимых финансовых затрат требуется оценка реальных потребностей в инфраструктуре ГНС. По результатам оценки следует определить бюджет ГНС с учетом обоснованных расчетов, которые будут отражать эффект от увеличения расходов на реформу ГНС. При этом в краткосрочном периоде необходимо предусмотреть в государственном бюджете средства для реального увеличения размеров оплаты труда сотрудников ГНС в увязке с общим увеличением сборов налогов в бюджет и системой оценки деятельности персонала службы.</w:t>
      </w:r>
    </w:p>
    <w:p>
      <w:pPr>
        <w:spacing w:after="120"/>
        <w:jc w:val="both"/>
      </w:pPr>
      <w:r>
        <w:rPr>
          <w:rFonts w:ascii="Arial" w:cs="Arial" w:eastAsia="Arial" w:hAnsi="Arial"/>
          <w:sz w:val="24"/>
          <w:szCs w:val="24"/>
        </w:rPr>
        <w:t xml:space="preserve">5) Пересмотр системы оценки деятельности налоговых органов</w:t>
      </w:r>
    </w:p>
    <w:p>
      <w:pPr>
        <w:spacing w:after="120"/>
        <w:jc w:val="both"/>
      </w:pPr>
      <w:r>
        <w:rPr>
          <w:rFonts w:ascii="Arial" w:cs="Arial" w:eastAsia="Arial" w:hAnsi="Arial"/>
          <w:sz w:val="24"/>
          <w:szCs w:val="24"/>
        </w:rPr>
        <w:t xml:space="preserve">Существующая оценка работы ГНС в основном осуществляется исходя из показателей исполнения плана доходной части бюджета и отдельных контрольных сфер. Аналогичный подход используется при проведении внутреннего аудита подведомственных структур (учитывая установленные для внутреннего аудита госорганов функции), когда акцент делается на применение наказания сотрудников ГНС, а не на проведение системного анализа выявленных нарушений и недостатков в работе. С учетом пересмотра приоритетов в работе ГНС, заложенных в Стратегии, необходимо в целом пересмотреть и изменить подходы и соответствующие показатели в данной сфере.</w:t>
      </w:r>
    </w:p>
    <w:p>
      <w:pPr>
        <w:spacing w:after="120"/>
        <w:jc w:val="both"/>
      </w:pPr>
      <w:r>
        <w:rPr>
          <w:rFonts w:ascii="Arial" w:cs="Arial" w:eastAsia="Arial" w:hAnsi="Arial"/>
          <w:sz w:val="24"/>
          <w:szCs w:val="24"/>
        </w:rPr>
        <w:t xml:space="preserve">6) Автоматизация процессов налогового администрирования</w:t>
      </w:r>
    </w:p>
    <w:p>
      <w:pPr>
        <w:spacing w:after="120"/>
        <w:jc w:val="both"/>
      </w:pPr>
      <w:r>
        <w:rPr>
          <w:rFonts w:ascii="Arial" w:cs="Arial" w:eastAsia="Arial" w:hAnsi="Arial"/>
          <w:sz w:val="24"/>
          <w:szCs w:val="24"/>
        </w:rPr>
        <w:t xml:space="preserve">В настоящее время в 32 территориальных подразделениях ГНС все процедуры налогового администрирования (учет доходов, обработка отчетов, оформление выходных документов, внутренних отчетов) осуществляются вручную, в 17 налоговых органах учет ведется с использованием устаревшей программы. В этой связи в целях качественной реализации задач, стоящих перед ГНС, необходимо внедрить единую централизованную автоматизированную систему администрирования. При этом процесс внедрения новой системы должен проходить поэтапно, с учетом особенностей охватываемых регионов.</w:t>
      </w:r>
    </w:p>
    <w:p>
      <w:pPr>
        <w:spacing w:after="120"/>
        <w:jc w:val="both"/>
      </w:pPr>
      <w:r>
        <w:rPr>
          <w:rFonts w:ascii="Arial" w:cs="Arial" w:eastAsia="Arial" w:hAnsi="Arial"/>
          <w:sz w:val="24"/>
          <w:szCs w:val="24"/>
        </w:rPr>
        <w:t xml:space="preserve">Необходимо рассмотреть возможности замены способов обработки в ГНС налоговых документов на бумажных носителях с ручного на более производительные и качественные, например, обработку с помощью специализированных сканеров.</w:t>
      </w:r>
    </w:p>
    <w:p>
      <w:pPr>
        <w:spacing w:after="120"/>
        <w:jc w:val="both"/>
      </w:pPr>
      <w:r>
        <w:rPr>
          <w:rFonts w:ascii="Arial" w:cs="Arial" w:eastAsia="Arial" w:hAnsi="Arial"/>
          <w:sz w:val="24"/>
          <w:szCs w:val="24"/>
        </w:rPr>
        <w:t xml:space="preserve">Актуальным является и вопрос создания при ГНС государственного предприятия либо хозрасчетного учреждения с функциями осуществления разработок программных продуктов и сопровождения информационных систем в сфере ИТ-технологий. Это позволит привлечь в ГНС высококвалифицированных специалистов, решить проблемы качественного обеспечения налоговых органов специализированными программными инструментами, сопровождения существующих и будущих систем.</w:t>
      </w:r>
    </w:p>
    <w:p>
      <w:pPr>
        <w:spacing w:after="120"/>
        <w:jc w:val="both"/>
      </w:pPr>
      <w:r>
        <w:rPr>
          <w:rFonts w:ascii="Arial" w:cs="Arial" w:eastAsia="Arial" w:hAnsi="Arial"/>
          <w:sz w:val="24"/>
          <w:szCs w:val="24"/>
        </w:rPr>
        <w:t xml:space="preserve">7) Совершенствование взаимодействия с другими участниками налоговых правоотношений</w:t>
      </w:r>
    </w:p>
    <w:p>
      <w:pPr>
        <w:spacing w:after="120"/>
        <w:jc w:val="both"/>
      </w:pPr>
      <w:r>
        <w:rPr>
          <w:rFonts w:ascii="Arial" w:cs="Arial" w:eastAsia="Arial" w:hAnsi="Arial"/>
          <w:sz w:val="24"/>
          <w:szCs w:val="24"/>
        </w:rPr>
        <w:t xml:space="preserve">На эффективность налогового администрирования отрицательное влияние оказывает отсутствие в ГНС оперативного доступа к информации других органов государственного управления - участников налоговых правоотношений: Государственной регистрационной службы при Правительстве Кыргызской Республики (ГРС), Социального фонда Кыргызской Республики (Соцфонд), Министерства внутренних дел Кыргызской Республики (МВД) и т.п., несовершенство действующего механизма и форматов взаимодействия с Центральным казначейством при Министерстве финансов Кыргызской Республики и коммерческими банками, органами юстиции и статистики. В этой связи необходимо выработать комплекс совместных мер по решению указанных проблем, включая вопросы обеспечения обмена информацией между ведомствами в режиме он-лайн, формирования информационных баз данных соответствующих органов с обязательной привязкой к идентификационному номеру налогоплательщика.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Развитие клиентоориентированности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Одной из наилучших мировых практик признается формирование в налоговом администрировании клиентоориентированного подхода. В настоящее время в этой области имеются проблемы, которые выражаются в неудовлетворенности налогоплательщиков качеством оказания налоговых услуг и недостаточной информированности общества по вопросам налогообложения. С учетом обозначенных новых приоритетов необходимо решить следующие задачи.</w:t>
      </w:r>
    </w:p>
    <w:p>
      <w:pPr>
        <w:spacing w:after="120"/>
        <w:jc w:val="both"/>
      </w:pPr>
      <w:r>
        <w:rPr>
          <w:rFonts w:ascii="Arial" w:cs="Arial" w:eastAsia="Arial" w:hAnsi="Arial"/>
          <w:sz w:val="24"/>
          <w:szCs w:val="24"/>
        </w:rPr>
        <w:t xml:space="preserve">1) Исключение дублирования функций регистрации бизнеса</w:t>
      </w:r>
    </w:p>
    <w:p>
      <w:pPr>
        <w:spacing w:after="120"/>
        <w:jc w:val="both"/>
      </w:pPr>
      <w:r>
        <w:rPr>
          <w:rFonts w:ascii="Arial" w:cs="Arial" w:eastAsia="Arial" w:hAnsi="Arial"/>
          <w:sz w:val="24"/>
          <w:szCs w:val="24"/>
        </w:rPr>
        <w:t xml:space="preserve">Существующая система регистрации бизнеса построена на дублировании функций регистрации в соответствующих государственных органах. На сегодняшний день с целью прохождения регистрационных процедур индивидуальным предпринимателям приходится обращаться в ГНС, Соцфонд и Национальный статистический комитет Кыргызской Республики (Нацстатком). В целях исключения дублирования необходимо внедрить систему единой государственной регистрации индивидуальных предпринимателей в ГНС.</w:t>
      </w:r>
    </w:p>
    <w:p>
      <w:pPr>
        <w:spacing w:after="120"/>
        <w:jc w:val="both"/>
      </w:pPr>
      <w:r>
        <w:rPr>
          <w:rFonts w:ascii="Arial" w:cs="Arial" w:eastAsia="Arial" w:hAnsi="Arial"/>
          <w:sz w:val="24"/>
          <w:szCs w:val="24"/>
        </w:rPr>
        <w:t xml:space="preserve">2) Концентрация фискальных функций в одном госоргане</w:t>
      </w:r>
    </w:p>
    <w:p>
      <w:pPr>
        <w:spacing w:after="120"/>
        <w:jc w:val="both"/>
      </w:pPr>
      <w:r>
        <w:rPr>
          <w:rFonts w:ascii="Arial" w:cs="Arial" w:eastAsia="Arial" w:hAnsi="Arial"/>
          <w:sz w:val="24"/>
          <w:szCs w:val="24"/>
        </w:rPr>
        <w:t xml:space="preserve">Анализ положительной практики и политики зарубежных стран в вопросах администрирования бизнеса со стороны государства показывает, что в данной сфере политика стран в основном направлена на сокращение числа государственных ведомств (функций), осуществляющих контроль за бизнесом, путем концентрации функций в одном органе. Это позволяет сократить расходы государства и снизить излишнее давление на предпринимателя.</w:t>
      </w:r>
    </w:p>
    <w:p>
      <w:pPr>
        <w:spacing w:after="120"/>
        <w:jc w:val="both"/>
      </w:pPr>
      <w:r>
        <w:rPr>
          <w:rFonts w:ascii="Arial" w:cs="Arial" w:eastAsia="Arial" w:hAnsi="Arial"/>
          <w:sz w:val="24"/>
          <w:szCs w:val="24"/>
        </w:rPr>
        <w:t xml:space="preserve">В рамках данной Стратегии и ранее принятых Правительством Кыргызской Республики решений необходимо реализовать меры по передаче функций администрирования страховых взносов органам ГНС.</w:t>
      </w:r>
    </w:p>
    <w:p>
      <w:pPr>
        <w:spacing w:after="120"/>
        <w:jc w:val="both"/>
      </w:pPr>
      <w:r>
        <w:rPr>
          <w:rFonts w:ascii="Arial" w:cs="Arial" w:eastAsia="Arial" w:hAnsi="Arial"/>
          <w:sz w:val="24"/>
          <w:szCs w:val="24"/>
        </w:rPr>
        <w:t xml:space="preserve">Кроме того, по мере реализации решений по вступлению Кыргызской Республики в Таможенный союз необходимо проработать вопросы реализации подготовительных мер по передаче органам ГНС функций контроля декларирования и уплаты косвенных налогов (налога на добавленную стоимость (НДС)) на импорт при взаимной торговле Кыргызской Республики со странами Таможенного союза.</w:t>
      </w:r>
    </w:p>
    <w:p>
      <w:pPr>
        <w:spacing w:after="120"/>
        <w:jc w:val="both"/>
      </w:pPr>
      <w:r>
        <w:rPr>
          <w:rFonts w:ascii="Arial" w:cs="Arial" w:eastAsia="Arial" w:hAnsi="Arial"/>
          <w:sz w:val="24"/>
          <w:szCs w:val="24"/>
        </w:rPr>
        <w:t xml:space="preserve">3) Создание новых видов и расширение существующих сервисных пунктов для налогоплательщиков (Сервисный центр, Колл-центр, Кабинет налогоплательщика)</w:t>
      </w:r>
    </w:p>
    <w:p>
      <w:pPr>
        <w:spacing w:after="120"/>
        <w:jc w:val="both"/>
      </w:pPr>
      <w:r>
        <w:rPr>
          <w:rFonts w:ascii="Arial" w:cs="Arial" w:eastAsia="Arial" w:hAnsi="Arial"/>
          <w:sz w:val="24"/>
          <w:szCs w:val="24"/>
        </w:rPr>
        <w:t xml:space="preserve">Необходимо продолжить работу по внедрению по стране существующих видов сервисных пунктов для налогоплательщиков, основанных на принципах «единого окна» при контактах налогоплательщика с ГНС. При этом следует создать в Чуйской и Ошской областях страны сервисные центры (с функциями централизованной обработки деклараций), в которых налогоплательщик, независимо от места своей налоговой регистрации и места жительства, сможет получить весь комплекс налоговых услуг: налоговую регистрацию, консультацию, информацию о взаимоотношениях с бюджетом, возможность представления налоговой декларации и т.д.</w:t>
      </w:r>
    </w:p>
    <w:p>
      <w:pPr>
        <w:spacing w:after="120"/>
        <w:jc w:val="both"/>
      </w:pPr>
      <w:r>
        <w:rPr>
          <w:rFonts w:ascii="Arial" w:cs="Arial" w:eastAsia="Arial" w:hAnsi="Arial"/>
          <w:sz w:val="24"/>
          <w:szCs w:val="24"/>
        </w:rPr>
        <w:t xml:space="preserve">Кроме этого следует создать в центральном аппарате ГНС и запустить новый вид сервисного пункта - Колл-центр, который будет предоставлять налогоплательщику информацию по налоговым вопросам посредством телефонной связи и через Интернет.</w:t>
      </w:r>
    </w:p>
    <w:p>
      <w:pPr>
        <w:spacing w:after="120"/>
        <w:jc w:val="both"/>
      </w:pPr>
      <w:r>
        <w:rPr>
          <w:rFonts w:ascii="Arial" w:cs="Arial" w:eastAsia="Arial" w:hAnsi="Arial"/>
          <w:sz w:val="24"/>
          <w:szCs w:val="24"/>
        </w:rPr>
        <w:t xml:space="preserve">В целом предстоит расширить возможности по получению налоговых услуг через сайт ГНС, в том числе путем создания на сайте Кабинета налогоплательщика. Посредством него плательщики смогут на бесплатной основе формировать и доставлять электронную налоговую отчетность, различные заявления и сведения, получать консультации и информацию о задолженности или переплате по налогам и пр.</w:t>
      </w:r>
    </w:p>
    <w:p>
      <w:pPr>
        <w:spacing w:after="120"/>
        <w:jc w:val="both"/>
      </w:pPr>
      <w:r>
        <w:rPr>
          <w:rFonts w:ascii="Arial" w:cs="Arial" w:eastAsia="Arial" w:hAnsi="Arial"/>
          <w:sz w:val="24"/>
          <w:szCs w:val="24"/>
        </w:rPr>
        <w:t xml:space="preserve">4) Внедрение инновационных способов оплаты налогов</w:t>
      </w:r>
    </w:p>
    <w:p>
      <w:pPr>
        <w:spacing w:after="120"/>
        <w:jc w:val="both"/>
      </w:pPr>
      <w:r>
        <w:rPr>
          <w:rFonts w:ascii="Arial" w:cs="Arial" w:eastAsia="Arial" w:hAnsi="Arial"/>
          <w:sz w:val="24"/>
          <w:szCs w:val="24"/>
        </w:rPr>
        <w:t xml:space="preserve">В настоящее время налогоплательщик может уплатить налоги только через банковскую систему. Актуальным вопросом является создание необходимых условий для внедрения альтернативных форм уплаты налоговых платежей, в частности уплаты посредством платежных терминалов, мобильного Интернет-банкинга и т.п.</w:t>
      </w:r>
    </w:p>
    <w:p>
      <w:pPr>
        <w:spacing w:after="120"/>
        <w:jc w:val="both"/>
      </w:pPr>
      <w:r>
        <w:rPr>
          <w:rFonts w:ascii="Arial" w:cs="Arial" w:eastAsia="Arial" w:hAnsi="Arial"/>
          <w:sz w:val="24"/>
          <w:szCs w:val="24"/>
        </w:rPr>
        <w:t xml:space="preserve">5) Оптимизация форм налоговых отчетов, сроков их представления и уплаты налогов</w:t>
      </w:r>
    </w:p>
    <w:p>
      <w:pPr>
        <w:spacing w:after="120"/>
        <w:jc w:val="both"/>
      </w:pPr>
      <w:r>
        <w:rPr>
          <w:rFonts w:ascii="Arial" w:cs="Arial" w:eastAsia="Arial" w:hAnsi="Arial"/>
          <w:sz w:val="24"/>
          <w:szCs w:val="24"/>
        </w:rPr>
        <w:t xml:space="preserve">Нормативными актами предусмотрены сложные для заполнения формы налоговой отчетности, высокая частота подачи отчетности и уплаты налогов, синхронизация сроков декларирования со сроками уплаты налогов. В течение одного календарного года налогоплательщик посещает налоговый орган в среднем 24-30 раз с целью подачи налоговой отчетности. При этом он обязан уплачивать налоги по каждой отчетности, сроки оплаты и представления которых в отдельных случаях отличаются друг от друга. В этой связи необходимо синхронизировать сроки подачи отчетов и уплаты по ним налогов, сократив в целом частоту отчетности и оплаты, а также упростив формы деклараций.</w:t>
      </w:r>
    </w:p>
    <w:p>
      <w:pPr>
        <w:spacing w:after="120"/>
        <w:jc w:val="both"/>
      </w:pPr>
      <w:r>
        <w:rPr>
          <w:rFonts w:ascii="Arial" w:cs="Arial" w:eastAsia="Arial" w:hAnsi="Arial"/>
          <w:sz w:val="24"/>
          <w:szCs w:val="24"/>
        </w:rPr>
        <w:t xml:space="preserve">Следует упорядочить систему истребования госорганами от налогоплательщика различных справок и регламентировать порядок их выдачи налоговыми органами.</w:t>
      </w:r>
    </w:p>
    <w:p>
      <w:pPr>
        <w:spacing w:after="120"/>
        <w:jc w:val="both"/>
      </w:pPr>
      <w:r>
        <w:rPr>
          <w:rFonts w:ascii="Arial" w:cs="Arial" w:eastAsia="Arial" w:hAnsi="Arial"/>
          <w:sz w:val="24"/>
          <w:szCs w:val="24"/>
        </w:rPr>
        <w:t xml:space="preserve">6) Улучшение уровня взаимодействия налоговой службы с налогоплательщиками</w:t>
      </w:r>
    </w:p>
    <w:p>
      <w:pPr>
        <w:spacing w:after="120"/>
        <w:jc w:val="both"/>
      </w:pPr>
      <w:r>
        <w:rPr>
          <w:rFonts w:ascii="Arial" w:cs="Arial" w:eastAsia="Arial" w:hAnsi="Arial"/>
          <w:sz w:val="24"/>
          <w:szCs w:val="24"/>
        </w:rPr>
        <w:t xml:space="preserve">Наряду с существующими формами взаимодействия плательщиков с налоговыми органами (сервисные пункты, сайт ГНС, Общественный наблюдательный совет при ГНС, Методологический совет при Министерстве экономики Кыргызской Республики (МЭ) необходимо внедрять и расширять новые формы, в частности, путем внедрения системы постоянного опроса налогоплательщиков (с установлением обратной связи), с использованием медиа-пространства, экспертных и общественных площадок. Необходим анализ наилучших международных практик с последующим их внедрением. Следует разработать и ввести правила поведения сотрудников ГНС с налогоплательщиками в целях повышения клиентоориентированности ГНС. Разработать меры по повышению в обществе налоговой культуры.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1ol_vktjxy6fio2kd4bj7">
        <w:r>
          <w:rPr>
            <w:rFonts w:ascii="Arial" w:cs="Arial" w:eastAsia="Arial" w:hAnsi="Arial"/>
            <w:color w:val="1D4ED8"/>
            <w:sz w:val="24"/>
            <w:szCs w:val="24"/>
            <w:u w:val="single"/>
          </w:rPr>
          <w:t xml:space="preserve">8 мая 2013 года № 257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Упрощение системы возврата и возмещения переплаты по налогам</w:t>
      </w:r>
    </w:p>
    <w:p>
      <w:pPr>
        <w:spacing w:after="120"/>
        <w:jc w:val="both"/>
      </w:pPr>
      <w:r>
        <w:rPr>
          <w:rFonts w:ascii="Arial" w:cs="Arial" w:eastAsia="Arial" w:hAnsi="Arial"/>
          <w:sz w:val="24"/>
          <w:szCs w:val="24"/>
        </w:rPr>
        <w:t xml:space="preserve">Одной из острых проблем на сегодня является наличие неоправданно сложной системы возврата и возмещения налогоплательщикам переплаты по НДС, вследствие чего отмечается постоянный рост переплаты по данному виду налога, что приводит к отвлечению оборотных средств субъекта и негативно сказывается на его финансово-экономическом состоянии. В этой связи необходимо пересмотреть существующие законодательные ограничения в части использования переплаты по НДС в счет погашения задолженности по другим видам налогов. При этом рассмотреть возможность создания специального, целевого счета в Казначействе, на который будут зачисляться часть сумм, поступающих от НДС, для последующей выплаты переплаты по налогам. Параллельно следует упростить процедуру и сроки рассмотрения обращения налогоплательщиков по возврату и возмещению переплаты по налогам.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Увеличение потенциала собираемости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налоговыми доходами бюджета государства является естественной налоговой функцией ГНС, так как повышает потенциал Правительства Кыргызской Республики в области исполнения обязательств государства. Для достижения данной цели необходимо решить следующие задачи.</w:t>
      </w:r>
    </w:p>
    <w:p>
      <w:pPr>
        <w:spacing w:after="120"/>
        <w:jc w:val="both"/>
      </w:pPr>
      <w:r>
        <w:rPr>
          <w:rFonts w:ascii="Arial" w:cs="Arial" w:eastAsia="Arial" w:hAnsi="Arial"/>
          <w:sz w:val="24"/>
          <w:szCs w:val="24"/>
        </w:rPr>
        <w:t xml:space="preserve">1) Расширение системы налогового контроля, основанной на оценке риска</w:t>
      </w:r>
    </w:p>
    <w:p>
      <w:pPr>
        <w:spacing w:after="120"/>
        <w:jc w:val="both"/>
      </w:pPr>
      <w:r>
        <w:rPr>
          <w:rFonts w:ascii="Arial" w:cs="Arial" w:eastAsia="Arial" w:hAnsi="Arial"/>
          <w:sz w:val="24"/>
          <w:szCs w:val="24"/>
        </w:rPr>
        <w:t xml:space="preserve">В настоящее время в автоматизированную систему налогового контроля на основе рисков включены только выездные проверки, при этом системой охвачены отдельные крупные подведомственные налоговые подразделения. Необходимо распространить данную систему на другие формы налогового контроля, с ее внедрением по всей стране. Следует активнее использовать такую форму налогового контроля как камеральные проверки.</w:t>
      </w:r>
    </w:p>
    <w:p>
      <w:pPr>
        <w:spacing w:after="120"/>
        <w:jc w:val="both"/>
      </w:pPr>
      <w:r>
        <w:rPr>
          <w:rFonts w:ascii="Arial" w:cs="Arial" w:eastAsia="Arial" w:hAnsi="Arial"/>
          <w:sz w:val="24"/>
          <w:szCs w:val="24"/>
        </w:rPr>
        <w:t xml:space="preserve">2) Совершенствование механизма администрирования местных налогов</w:t>
      </w:r>
    </w:p>
    <w:p>
      <w:pPr>
        <w:spacing w:after="120"/>
        <w:jc w:val="both"/>
      </w:pPr>
      <w:r>
        <w:rPr>
          <w:rFonts w:ascii="Arial" w:cs="Arial" w:eastAsia="Arial" w:hAnsi="Arial"/>
          <w:sz w:val="24"/>
          <w:szCs w:val="24"/>
        </w:rPr>
        <w:t xml:space="preserve">Необходимо провести анализ существующей системы администрирования налогов на имущество, изучить международный опыт в этой сфере, рассмотреть альтернативные методы взимания налогов. Учитывая имеющиеся проблемы, связанные с администрированием земельного налога по приусадебным участкам, следует пересмотреть действующие формы учета и контроля данного вида налога.</w:t>
      </w:r>
    </w:p>
    <w:p>
      <w:pPr>
        <w:spacing w:after="120"/>
        <w:jc w:val="both"/>
      </w:pPr>
      <w:r>
        <w:rPr>
          <w:rFonts w:ascii="Arial" w:cs="Arial" w:eastAsia="Arial" w:hAnsi="Arial"/>
          <w:sz w:val="24"/>
          <w:szCs w:val="24"/>
        </w:rPr>
        <w:t xml:space="preserve">3) Разработка и реализация секторальных программ по сокращению «теневого» сектора</w:t>
      </w:r>
    </w:p>
    <w:p>
      <w:pPr>
        <w:spacing w:after="120"/>
        <w:jc w:val="both"/>
      </w:pPr>
      <w:r>
        <w:rPr>
          <w:rFonts w:ascii="Arial" w:cs="Arial" w:eastAsia="Arial" w:hAnsi="Arial"/>
          <w:sz w:val="24"/>
          <w:szCs w:val="24"/>
        </w:rPr>
        <w:t xml:space="preserve">Присутствие в экономике страны значительной доли «теневого» сектора является серьезной угрозой как в целом развитию страны, так и успешной реализации целей настоящей Стратегии. Наличие «теневого» сектора отрицательно влияет на конкурентоспособность добросовестного бизнеса - главного партнера налоговой службы и активного участника предстоящих реформ. Для легализации «теневого» сектора одних контрольных мер недостаточно, необходимы другие, стимулирующие формы вывода бизнеса из «тени». В данном случае, необходимо использовать имеющийся положительный опыт легализации отдельных секторов экономики, в частности, таких сфер как швейная отрасль. Для этого следует разработать и реализовать адекватные программы легализации «теневых» секторов экономики.</w:t>
      </w:r>
    </w:p>
    <w:p>
      <w:pPr>
        <w:spacing w:after="120"/>
        <w:jc w:val="both"/>
      </w:pPr>
      <w:r>
        <w:rPr>
          <w:rFonts w:ascii="Arial" w:cs="Arial" w:eastAsia="Arial" w:hAnsi="Arial"/>
          <w:sz w:val="24"/>
          <w:szCs w:val="24"/>
        </w:rPr>
        <w:t xml:space="preserve">4) Внедрение эффективных механизмов контроля сферы уклонения от налогообложения и взыскания налогов</w:t>
      </w:r>
    </w:p>
    <w:p>
      <w:pPr>
        <w:spacing w:after="120"/>
        <w:jc w:val="both"/>
      </w:pPr>
      <w:r>
        <w:rPr>
          <w:rFonts w:ascii="Arial" w:cs="Arial" w:eastAsia="Arial" w:hAnsi="Arial"/>
          <w:sz w:val="24"/>
          <w:szCs w:val="24"/>
        </w:rPr>
        <w:t xml:space="preserve">В последние годы серьезной проблемой стало увеличение сферы использования недобросовестными субъектами «лжезачета» по НДС, а также занижение фактической цены реализации продукции. В этой сфере требуется принятие мер по совершенствованию и эффективному использованию уже существующих инструментов контроля, а также внедрению новых форм контроля. Одновременно будет необходимо проработать вопросы усиления мер принудительного взыскания налоговой задолженности субъектов.</w:t>
      </w:r>
    </w:p>
    <w:p>
      <w:pPr>
        <w:spacing w:after="120"/>
        <w:jc w:val="both"/>
      </w:pPr>
      <w:r>
        <w:rPr>
          <w:rFonts w:ascii="Arial" w:cs="Arial" w:eastAsia="Arial" w:hAnsi="Arial"/>
          <w:sz w:val="24"/>
          <w:szCs w:val="24"/>
        </w:rPr>
        <w:t xml:space="preserve">5) Пересмотр системы применения ответственности за налоговые правонарушения</w:t>
      </w:r>
    </w:p>
    <w:p>
      <w:pPr>
        <w:spacing w:after="120"/>
        <w:jc w:val="both"/>
      </w:pPr>
      <w:r>
        <w:rPr>
          <w:rFonts w:ascii="Arial" w:cs="Arial" w:eastAsia="Arial" w:hAnsi="Arial"/>
          <w:sz w:val="24"/>
          <w:szCs w:val="24"/>
        </w:rPr>
        <w:t xml:space="preserve">Анализ действующих размеров административных штрафов за отдельные правонарушения выявил неадекватность сумм административных штрафов к степени нарушения. Аналогичная ситуация сложилась в системе применения налоговых санкций к налогоплательщику за сокрытие налогов, действующий порядок которого характеризуется сложностью, при этом присутствует элемент неадекватности и, в отдельных случаях, неприменимости санкций. В этой связи на основе результатов соответствующего анализа необходимо принять меры по внесению изменений в нормативные правовые акты.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Реализация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Достижение указанных выше стратегических целей обеспечивается на основе реализации мероприятий, отраженных в Плане реализации Стратегии, который определяет задачи, меры и действия по достижению стратегических целей развития ГНС на 2012-2014 годы.</w:t>
      </w:r>
    </w:p>
    <w:p>
      <w:pPr>
        <w:spacing w:after="120"/>
        <w:jc w:val="both"/>
      </w:pPr>
      <w:r>
        <w:rPr>
          <w:rFonts w:ascii="Arial" w:cs="Arial" w:eastAsia="Arial" w:hAnsi="Arial"/>
          <w:sz w:val="24"/>
          <w:szCs w:val="24"/>
        </w:rPr>
        <w:t xml:space="preserve">Финансирование мероприятий, предусмотренных Стратегией, планируется осуществить за счет средств государственного бюджета и международных организаций, потребность в которых оценивается на сумму около 1300 млн. сомов. При этом полнота и качество реализации Стратегии будет зависеть от наличия необходимых финансовых ресурсов и источников.</w:t>
      </w:r>
    </w:p>
    <w:p>
      <w:pPr>
        <w:spacing w:after="120"/>
        <w:jc w:val="both"/>
      </w:pPr>
      <w:r>
        <w:rPr>
          <w:rFonts w:ascii="Arial" w:cs="Arial" w:eastAsia="Arial" w:hAnsi="Arial"/>
          <w:sz w:val="24"/>
          <w:szCs w:val="24"/>
        </w:rPr>
        <w:t xml:space="preserve">Мониторинг и оценка выполнения задач, определенных Стратегией, послужит инструментом отслеживания уровня прогресса ее реализации, который позволит:</w:t>
      </w:r>
    </w:p>
    <w:p>
      <w:pPr>
        <w:spacing w:after="120"/>
        <w:jc w:val="both"/>
      </w:pPr>
      <w:r>
        <w:rPr>
          <w:rFonts w:ascii="Arial" w:cs="Arial" w:eastAsia="Arial" w:hAnsi="Arial"/>
          <w:sz w:val="24"/>
          <w:szCs w:val="24"/>
        </w:rPr>
        <w:t xml:space="preserve">- определять и применять превентивные меры по исключению отклонений от целей Стратегии, при необходимости, вносить коррективы в процессе ее реализации;</w:t>
      </w:r>
    </w:p>
    <w:p>
      <w:pPr>
        <w:spacing w:after="120"/>
        <w:jc w:val="both"/>
      </w:pPr>
      <w:r>
        <w:rPr>
          <w:rFonts w:ascii="Arial" w:cs="Arial" w:eastAsia="Arial" w:hAnsi="Arial"/>
          <w:sz w:val="24"/>
          <w:szCs w:val="24"/>
        </w:rPr>
        <w:t xml:space="preserve">- производить оценку воздействия на общее развитие системы налогового администрирования;</w:t>
      </w:r>
    </w:p>
    <w:p>
      <w:pPr>
        <w:spacing w:after="120"/>
        <w:jc w:val="both"/>
      </w:pPr>
      <w:r>
        <w:rPr>
          <w:rFonts w:ascii="Arial" w:cs="Arial" w:eastAsia="Arial" w:hAnsi="Arial"/>
          <w:sz w:val="24"/>
          <w:szCs w:val="24"/>
        </w:rPr>
        <w:t xml:space="preserve">- в целом содействовать обеспечению качественной реализации Стратегии.</w:t>
      </w:r>
    </w:p>
    <w:p>
      <w:pPr>
        <w:spacing w:after="120"/>
        <w:jc w:val="both"/>
      </w:pPr>
      <w:r>
        <w:rPr>
          <w:rFonts w:ascii="Arial" w:cs="Arial" w:eastAsia="Arial" w:hAnsi="Arial"/>
          <w:sz w:val="24"/>
          <w:szCs w:val="24"/>
        </w:rPr>
        <w:t xml:space="preserve">Мониторинг и оценка Стратегии будут осуществляться с помощью качественных и количественных индикаторов, отраженных в Плане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ГНС -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ГРС - Государственная регистрационная служба при Правительстве Кыргызской Республики</w:t>
      </w:r>
    </w:p>
    <w:p>
      <w:pPr>
        <w:spacing w:after="120"/>
        <w:jc w:val="both"/>
      </w:pPr>
      <w:r>
        <w:rPr>
          <w:rFonts w:ascii="Arial" w:cs="Arial" w:eastAsia="Arial" w:hAnsi="Arial"/>
          <w:sz w:val="24"/>
          <w:szCs w:val="24"/>
        </w:rPr>
        <w:t xml:space="preserve">ГТС - Государственная таможенная служба при Правительстве Кыргызской Республики</w:t>
      </w:r>
    </w:p>
    <w:p>
      <w:pPr>
        <w:spacing w:after="120"/>
        <w:jc w:val="both"/>
      </w:pPr>
      <w:r>
        <w:rPr>
          <w:rFonts w:ascii="Arial" w:cs="Arial" w:eastAsia="Arial" w:hAnsi="Arial"/>
          <w:sz w:val="24"/>
          <w:szCs w:val="24"/>
        </w:rPr>
        <w:t xml:space="preserve">МВД - Министерство внутренних дел Кыргызской Республики</w:t>
      </w:r>
    </w:p>
    <w:p>
      <w:pPr>
        <w:spacing w:after="120"/>
        <w:jc w:val="both"/>
      </w:pPr>
      <w:r>
        <w:rPr>
          <w:rFonts w:ascii="Arial" w:cs="Arial" w:eastAsia="Arial" w:hAnsi="Arial"/>
          <w:sz w:val="24"/>
          <w:szCs w:val="24"/>
        </w:rPr>
        <w:t xml:space="preserve">Минфин - Министерство финансов Кыргызской Республики</w:t>
      </w:r>
    </w:p>
    <w:p>
      <w:pPr>
        <w:spacing w:after="120"/>
        <w:jc w:val="both"/>
      </w:pPr>
      <w:r>
        <w:rPr>
          <w:rFonts w:ascii="Arial" w:cs="Arial" w:eastAsia="Arial" w:hAnsi="Arial"/>
          <w:sz w:val="24"/>
          <w:szCs w:val="24"/>
        </w:rPr>
        <w:t xml:space="preserve">МФК - Международная финансовая корпорация</w:t>
      </w:r>
    </w:p>
    <w:p>
      <w:pPr>
        <w:spacing w:after="120"/>
        <w:jc w:val="both"/>
      </w:pPr>
      <w:r>
        <w:rPr>
          <w:rFonts w:ascii="Arial" w:cs="Arial" w:eastAsia="Arial" w:hAnsi="Arial"/>
          <w:sz w:val="24"/>
          <w:szCs w:val="24"/>
        </w:rPr>
        <w:t xml:space="preserve">МЭ КР - Министерство экономики Кыргызской Республики</w:t>
      </w:r>
    </w:p>
    <w:p>
      <w:pPr>
        <w:spacing w:after="120"/>
        <w:jc w:val="both"/>
      </w:pPr>
      <w:r>
        <w:rPr>
          <w:rFonts w:ascii="Arial" w:cs="Arial" w:eastAsia="Arial" w:hAnsi="Arial"/>
          <w:sz w:val="24"/>
          <w:szCs w:val="24"/>
        </w:rPr>
        <w:t xml:space="preserve">Минюст - Министерство юстиции Кыргызской Республики</w:t>
      </w:r>
    </w:p>
    <w:p>
      <w:pPr>
        <w:spacing w:after="120"/>
        <w:jc w:val="both"/>
      </w:pPr>
      <w:r>
        <w:rPr>
          <w:rFonts w:ascii="Arial" w:cs="Arial" w:eastAsia="Arial" w:hAnsi="Arial"/>
          <w:sz w:val="24"/>
          <w:szCs w:val="24"/>
        </w:rPr>
        <w:t xml:space="preserve">Нацбанк - Национальный банк Кыргызской Республики</w:t>
      </w:r>
    </w:p>
    <w:p>
      <w:pPr>
        <w:spacing w:after="120"/>
        <w:jc w:val="both"/>
      </w:pPr>
      <w:r>
        <w:rPr>
          <w:rFonts w:ascii="Arial" w:cs="Arial" w:eastAsia="Arial" w:hAnsi="Arial"/>
          <w:sz w:val="24"/>
          <w:szCs w:val="24"/>
        </w:rPr>
        <w:t xml:space="preserve">Налоговый кодекс - Налоговый кодекс Кыргызской Республики</w:t>
      </w:r>
    </w:p>
    <w:p>
      <w:pPr>
        <w:spacing w:after="120"/>
        <w:jc w:val="both"/>
      </w:pPr>
      <w:r>
        <w:rPr>
          <w:rFonts w:ascii="Arial" w:cs="Arial" w:eastAsia="Arial" w:hAnsi="Arial"/>
          <w:sz w:val="24"/>
          <w:szCs w:val="24"/>
        </w:rPr>
        <w:t xml:space="preserve">Нацстатком - Национальный статистический комитет Кыргызской Республики</w:t>
      </w:r>
    </w:p>
    <w:p>
      <w:pPr>
        <w:spacing w:after="120"/>
        <w:jc w:val="both"/>
      </w:pPr>
      <w:r>
        <w:rPr>
          <w:rFonts w:ascii="Arial" w:cs="Arial" w:eastAsia="Arial" w:hAnsi="Arial"/>
          <w:sz w:val="24"/>
          <w:szCs w:val="24"/>
        </w:rPr>
        <w:t xml:space="preserve">ОНС - Общественный наблюдательный совет при Государственной налоговой службе при Правительстве Кыргызской Республики</w:t>
      </w:r>
    </w:p>
    <w:p>
      <w:pPr>
        <w:spacing w:after="120"/>
        <w:jc w:val="both"/>
      </w:pPr>
      <w:r>
        <w:rPr>
          <w:rFonts w:ascii="Arial" w:cs="Arial" w:eastAsia="Arial" w:hAnsi="Arial"/>
          <w:sz w:val="24"/>
          <w:szCs w:val="24"/>
        </w:rPr>
        <w:t xml:space="preserve">Соцфонд - Социальный фонд Кыргызской Республики</w:t>
      </w:r>
    </w:p>
    <w:p>
      <w:pPr>
        <w:spacing w:after="120"/>
        <w:jc w:val="both"/>
      </w:pPr>
      <w:r>
        <w:rPr>
          <w:rFonts w:ascii="Arial" w:cs="Arial" w:eastAsia="Arial" w:hAnsi="Arial"/>
          <w:sz w:val="24"/>
          <w:szCs w:val="24"/>
        </w:rPr>
        <w:t xml:space="preserve">УККН - Управление по контролю за крупными налогоплательщиками</w:t>
      </w:r>
    </w:p>
    <w:p>
      <w:pPr>
        <w:spacing w:after="120"/>
        <w:jc w:val="both"/>
      </w:pPr>
      <w:r>
        <w:rPr>
          <w:rFonts w:ascii="Arial" w:cs="Arial" w:eastAsia="Arial" w:hAnsi="Arial"/>
          <w:sz w:val="24"/>
          <w:szCs w:val="24"/>
        </w:rPr>
        <w:t xml:space="preserve">ЦА ГНС - Центральный аппарат Государственной налоговой службы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okgzy9nr8dr5zhbsebyz">
        <w:r>
          <w:rPr>
            <w:rFonts w:ascii="Arial" w:cs="Arial" w:eastAsia="Arial" w:hAnsi="Arial"/>
            <w:color w:val="1D4ED8"/>
            <w:sz w:val="24"/>
            <w:szCs w:val="24"/>
            <w:u w:val="single"/>
          </w:rPr>
          <w:t xml:space="preserve">8 мая 2013 года № 257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реализации</w:t>
      </w:r>
      <w:r>
        <w:rPr>
          <w:rFonts w:ascii="Arial" w:cs="Arial" w:eastAsia="Arial" w:hAnsi="Arial"/>
          <w:sz w:val="24"/>
          <w:szCs w:val="24"/>
        </w:rPr>
        <w:t xml:space="preserve">
 Стратегии развития Государственной налоговой службы при Правительстве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vyplneht0z6t6r0jwit6">
        <w:r>
          <w:rPr>
            <w:rFonts w:ascii="Arial" w:cs="Arial" w:eastAsia="Arial" w:hAnsi="Arial"/>
            <w:color w:val="1D4ED8"/>
            <w:sz w:val="24"/>
            <w:szCs w:val="24"/>
            <w:u w:val="single"/>
          </w:rPr>
          <w:t xml:space="preserve">8 мая 2013 года № 257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948"/>
        <w:gridCol w:w="2736"/>
        <w:gridCol w:w="1335"/>
        <w:gridCol w:w="1457"/>
        <w:gridCol w:w="1429"/>
      </w:tblGrid>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Повышение эффективности деятельности ГНС</w:t>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Оптимизация организационной структуры и внутренних функций</w:t>
            </w:r>
          </w:p>
          <w:p>
            <w:pPr>
              <w:jc w:val="left"/>
            </w:pPr>
            <w:r>
              <w:rPr>
                <w:rFonts w:ascii="Arial" w:cs="Arial" w:eastAsia="Arial" w:hAnsi="Arial"/>
                <w:sz w:val="24"/>
                <w:szCs w:val="24"/>
              </w:rPr>
              <w:t xml:space="preserve"/>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 В целях полного перехода на функциональный принцип работы пересмотр и утверждение:</w:t>
            </w:r>
          </w:p>
          <w:p>
            <w:pPr>
              <w:jc w:val="left"/>
            </w:pPr>
            <w:r>
              <w:rPr>
                <w:rFonts w:ascii="Arial" w:cs="Arial" w:eastAsia="Arial" w:hAnsi="Arial"/>
                <w:sz w:val="24"/>
                <w:szCs w:val="24"/>
              </w:rPr>
              <w:t xml:space="preserve">- функций и рабочих процедур внутри налоговых органов;</w:t>
            </w:r>
          </w:p>
          <w:p>
            <w:pPr>
              <w:jc w:val="left"/>
            </w:pPr>
            <w:r>
              <w:rPr>
                <w:rFonts w:ascii="Arial" w:cs="Arial" w:eastAsia="Arial" w:hAnsi="Arial"/>
                <w:sz w:val="24"/>
                <w:szCs w:val="24"/>
              </w:rPr>
              <w:t xml:space="preserve">- новой организационной структуры налоговых органов;</w:t>
            </w:r>
          </w:p>
          <w:p>
            <w:pPr>
              <w:jc w:val="left"/>
            </w:pPr>
            <w:r>
              <w:rPr>
                <w:rFonts w:ascii="Arial" w:cs="Arial" w:eastAsia="Arial" w:hAnsi="Arial"/>
                <w:sz w:val="24"/>
                <w:szCs w:val="24"/>
              </w:rPr>
              <w:t xml:space="preserve">- проведение анализа и пересмотра руководств по рабочим процессам в территориальных подразделениях ГНС</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 не утверждены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Проведение анализа нагрузки на территориальные подразделения налоговой службы и подготовка предложений по их укрупнению</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 не проведен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 Подготовка и внесение на рассмотрение проектов нормативных правовых актов, предусматривающих поэтапную передачу функций администрирования местных налогов органам местного самоуправления (с учетом общей концепции регионального развития / административной реформы)</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 не внесены;</w:t>
            </w:r>
          </w:p>
          <w:p>
            <w:pPr>
              <w:jc w:val="left"/>
            </w:pPr>
            <w:r>
              <w:rPr>
                <w:rFonts w:ascii="Arial" w:cs="Arial" w:eastAsia="Arial" w:hAnsi="Arial"/>
                <w:sz w:val="24"/>
                <w:szCs w:val="24"/>
              </w:rPr>
              <w:t xml:space="preserve">- приняты/ не приняты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2014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После передачи функций администрирования местных налогов органам местного самоуправления, пересмотр и утверждение (путем укрупнения территориальных подразделений ГНС):</w:t>
            </w:r>
          </w:p>
          <w:p>
            <w:pPr>
              <w:jc w:val="left"/>
            </w:pPr>
            <w:r>
              <w:rPr>
                <w:rFonts w:ascii="Arial" w:cs="Arial" w:eastAsia="Arial" w:hAnsi="Arial"/>
                <w:sz w:val="24"/>
                <w:szCs w:val="24"/>
              </w:rPr>
              <w:t xml:space="preserve">- функций и рабочих процедур внутри налоговых органов;</w:t>
            </w:r>
          </w:p>
          <w:p>
            <w:pPr>
              <w:jc w:val="left"/>
            </w:pPr>
            <w:r>
              <w:rPr>
                <w:rFonts w:ascii="Arial" w:cs="Arial" w:eastAsia="Arial" w:hAnsi="Arial"/>
                <w:sz w:val="24"/>
                <w:szCs w:val="24"/>
              </w:rPr>
              <w:t xml:space="preserve">- новой организационной структуры налоговых органов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 не утверждены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 2014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Исключение излишних функций ГНС (принудительная ликвидация, администрирование недействующих налогоплательщиков, администрирование неналоговых платежей)</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Анализ существующего законодательства и определение излишних, не свойственных ГНС функций</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 не проведен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Подготовка и внесение на рассмотрение проектов нормативных правовых актов, предусматривающих исключение излишних, не свойственных налоговой службе функций</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Внесены / не внесены;</w:t>
            </w:r>
          </w:p>
          <w:p>
            <w:pPr>
              <w:jc w:val="left"/>
            </w:pPr>
            <w:r>
              <w:rPr>
                <w:rFonts w:ascii="Arial" w:cs="Arial" w:eastAsia="Arial" w:hAnsi="Arial"/>
                <w:sz w:val="24"/>
                <w:szCs w:val="24"/>
              </w:rPr>
              <w:t xml:space="preserve">- приняты / не приняты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МЭ</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1.3.Укрепление кадрового потенциала</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Подготовка и внесение проектов нормативных правовых актов, предусматривающих повышение требований при подборе персонала в ГНС. Рассмотреть возможность применения контрактной системы набора персонала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 не внесены;</w:t>
            </w:r>
          </w:p>
          <w:p>
            <w:pPr>
              <w:jc w:val="left"/>
            </w:pPr>
            <w:r>
              <w:rPr>
                <w:rFonts w:ascii="Arial" w:cs="Arial" w:eastAsia="Arial" w:hAnsi="Arial"/>
                <w:sz w:val="24"/>
                <w:szCs w:val="24"/>
              </w:rPr>
              <w:t xml:space="preserve">- приняты / не приняты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Осуществление приема сотрудников на основе новых требований</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Принимаются / не принимаются</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 Анализ, доработка критериев регулярной оценки результатов работы персонала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 / не осуществлен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 Подготовка и внесение на утверждение проектов нормативных правовых актов, предусматривающих на основе регулярной оценки работы персонала возможность принятия руководителями налоговых органов в отношении сотрудника ГНС:</w:t>
            </w:r>
          </w:p>
          <w:p>
            <w:pPr>
              <w:jc w:val="left"/>
            </w:pPr>
            <w:r>
              <w:rPr>
                <w:rFonts w:ascii="Arial" w:cs="Arial" w:eastAsia="Arial" w:hAnsi="Arial"/>
                <w:sz w:val="24"/>
                <w:szCs w:val="24"/>
              </w:rPr>
              <w:t xml:space="preserve">- решений о соответствии занимаемой должности, продвижений по службе;</w:t>
            </w:r>
          </w:p>
          <w:p>
            <w:pPr>
              <w:jc w:val="left"/>
            </w:pPr>
            <w:r>
              <w:rPr>
                <w:rFonts w:ascii="Arial" w:cs="Arial" w:eastAsia="Arial" w:hAnsi="Arial"/>
                <w:sz w:val="24"/>
                <w:szCs w:val="24"/>
              </w:rPr>
              <w:t xml:space="preserve">- решений по дифференцированному подходу при определении размеров материального поощрения</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Разработаны / не разработаны;</w:t>
            </w:r>
          </w:p>
          <w:p>
            <w:pPr>
              <w:jc w:val="left"/>
            </w:pPr>
            <w:r>
              <w:rPr>
                <w:rFonts w:ascii="Arial" w:cs="Arial" w:eastAsia="Arial" w:hAnsi="Arial"/>
                <w:sz w:val="24"/>
                <w:szCs w:val="24"/>
              </w:rPr>
              <w:t xml:space="preserve">- внесены / не внесены;</w:t>
            </w:r>
          </w:p>
          <w:p>
            <w:pPr>
              <w:jc w:val="left"/>
            </w:pPr>
            <w:r>
              <w:rPr>
                <w:rFonts w:ascii="Arial" w:cs="Arial" w:eastAsia="Arial" w:hAnsi="Arial"/>
                <w:sz w:val="24"/>
                <w:szCs w:val="24"/>
              </w:rPr>
              <w:t xml:space="preserve">- утверждены / не утверждены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2013 года </w:t>
            </w:r>
          </w:p>
          <w:p>
            <w:pPr>
              <w:jc w:val="left"/>
            </w:pPr>
            <w:r>
              <w:rPr>
                <w:rFonts w:ascii="Arial" w:cs="Arial" w:eastAsia="Arial" w:hAnsi="Arial"/>
                <w:sz w:val="24"/>
                <w:szCs w:val="24"/>
              </w:rPr>
              <w:t xml:space="preserve">IV квартал 2013 года </w:t>
            </w:r>
          </w:p>
          <w:p>
            <w:pPr>
              <w:jc w:val="left"/>
            </w:pPr>
            <w:r>
              <w:rPr>
                <w:rFonts w:ascii="Arial" w:cs="Arial" w:eastAsia="Arial" w:hAnsi="Arial"/>
                <w:sz w:val="24"/>
                <w:szCs w:val="24"/>
              </w:rPr>
              <w:t xml:space="preserve">IV квартал 2013 года </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Разработка и реализация концепции развития системы обучения и повышения квалификации кадров ГНС</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 не утверждена;</w:t>
            </w:r>
          </w:p>
          <w:p>
            <w:pPr>
              <w:jc w:val="left"/>
            </w:pPr>
            <w:r>
              <w:rPr>
                <w:rFonts w:ascii="Arial" w:cs="Arial" w:eastAsia="Arial" w:hAnsi="Arial"/>
                <w:sz w:val="24"/>
                <w:szCs w:val="24"/>
              </w:rPr>
              <w:t xml:space="preserve">- реализуется / не реализуется</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2012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апрель 2012 г.</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 Обустройство и запуск филиала Учебного центра в южном регионе</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 / не запущен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 Закупка и внедрение программного продукта (услуг по разработке) для дистанционного обучения персонала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 не внедрен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Укрепление материально-технической базы, увеличение оплаты труда сотрудников</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 Оценка, с привлечением экспертов, потребностей в служебных помещениях, транспортных средствах, оборудовании, служебном жилье, других социальных объектах и прочих расходах (в разрезе всех подразделений ГНС)</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 не проведена</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МФ, привлеченные эксперты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По результатам оценки потребностей, подготовка и внесение предложений, в проект сводной сметы расходов по формированию бюджета ГНС с учетом потребителей</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 не внесены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 Проведение анализа и внесение предложений, проектов нормативных правовых актов по увеличению оплаты труда сотрудников ГНС в зависимости от увеличения поступления налогов в бюджет, с учетом возможности формирования фонда развития и поощрения ГНС за счет гарантированных 1,5% отчислений от поступивших сумм налогов, мобилизуемых налоговыми органами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 не внесены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МФ</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r>
              <w:rPr>
                <w:rFonts w:ascii="Arial" w:cs="Arial" w:eastAsia="Arial" w:hAnsi="Arial"/>
                <w:sz w:val="24"/>
                <w:szCs w:val="24"/>
              </w:rPr>
              <w:t xml:space="preserve"> Пересмотр системы оценки деятельности налоговых органов</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 Разработка и утверждение основных показателей / индикаторов оценки деятельности налоговых органов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 не разработан;</w:t>
            </w:r>
          </w:p>
          <w:p>
            <w:pPr>
              <w:jc w:val="left"/>
            </w:pPr>
            <w:r>
              <w:rPr>
                <w:rFonts w:ascii="Arial" w:cs="Arial" w:eastAsia="Arial" w:hAnsi="Arial"/>
                <w:sz w:val="24"/>
                <w:szCs w:val="24"/>
              </w:rPr>
              <w:t xml:space="preserve">- утверждены/ не утверждены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 Изучение, подготовка и утверждение новых положения, методического указания по проведению аудита деятельности налоговых органов, предусматривающих внедрение новых форм и методов анализа и оценки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 не утверждены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Автоматизация процессов налогов</w:t>
            </w:r>
            <w:r>
              <w:rPr>
                <w:rFonts w:ascii="Arial" w:cs="Arial" w:eastAsia="Arial" w:hAnsi="Arial"/>
                <w:sz w:val="24"/>
                <w:szCs w:val="24"/>
              </w:rPr>
              <w:t xml:space="preserve">ого администрирования</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Создание нового программного продукта, позволяющего максимально автоматизировать рабочие процессы ГНС в оптимальном режиме и имеющего централизованный принцип формирования базы данных (ИСНАК).</w:t>
            </w:r>
          </w:p>
          <w:p>
            <w:pPr>
              <w:jc w:val="left"/>
            </w:pPr>
            <w:r>
              <w:rPr>
                <w:rFonts w:ascii="Arial" w:cs="Arial" w:eastAsia="Arial" w:hAnsi="Arial"/>
                <w:sz w:val="24"/>
                <w:szCs w:val="24"/>
              </w:rPr>
              <w:t xml:space="preserve">Поэтапное внедрение ИСНАК по стране</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Внедрено/не внедрено</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Начиная с января 2012 года и далее согласно графику внедрения</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5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(Утратил силу постановлением Правительства КР от </w:t>
            </w:r>
            <w:hyperlink w:history="1" r:id="rIdtq5mxiwpwmo61laffqam-">
              <w:r>
                <w:rPr>
                  <w:rFonts w:ascii="Arial" w:cs="Arial" w:eastAsia="Arial" w:hAnsi="Arial"/>
                  <w:color w:val="1D4ED8"/>
                  <w:sz w:val="24"/>
                  <w:szCs w:val="24"/>
                  <w:u w:val="single"/>
                </w:rPr>
                <w:t xml:space="preserve">8 мая 2013 года № 257</w:t>
              </w:r>
            </w:hyperlink>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 С целью создания при ГНС государственного предприятия либо хозрасчетного учреждения с функциями осуществления разработок программных продуктов и сопровождения информационных систем:</w:t>
            </w:r>
          </w:p>
          <w:p>
            <w:pPr>
              <w:jc w:val="left"/>
            </w:pPr>
            <w:r>
              <w:rPr>
                <w:rFonts w:ascii="Arial" w:cs="Arial" w:eastAsia="Arial" w:hAnsi="Arial"/>
                <w:sz w:val="24"/>
                <w:szCs w:val="24"/>
              </w:rPr>
              <w:t xml:space="preserve">- определение и утверждение круга задач и бюджета нового учреждения;</w:t>
            </w:r>
          </w:p>
          <w:p>
            <w:pPr>
              <w:jc w:val="left"/>
            </w:pPr>
            <w:r>
              <w:rPr>
                <w:rFonts w:ascii="Arial" w:cs="Arial" w:eastAsia="Arial" w:hAnsi="Arial"/>
                <w:sz w:val="24"/>
                <w:szCs w:val="24"/>
              </w:rPr>
              <w:t xml:space="preserve">- подготовка и внесение на утверждение проектов нормативных правовых актов;</w:t>
            </w:r>
          </w:p>
          <w:p>
            <w:pPr>
              <w:jc w:val="left"/>
            </w:pPr>
            <w:r>
              <w:rPr>
                <w:rFonts w:ascii="Arial" w:cs="Arial" w:eastAsia="Arial" w:hAnsi="Arial"/>
                <w:sz w:val="24"/>
                <w:szCs w:val="24"/>
              </w:rPr>
              <w:t xml:space="preserve">- принятие организационных мер</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 не определены;</w:t>
            </w:r>
          </w:p>
          <w:p>
            <w:pPr>
              <w:jc w:val="left"/>
            </w:pPr>
            <w:r>
              <w:rPr>
                <w:rFonts w:ascii="Arial" w:cs="Arial" w:eastAsia="Arial" w:hAnsi="Arial"/>
                <w:sz w:val="24"/>
                <w:szCs w:val="24"/>
              </w:rPr>
              <w:t xml:space="preserve">- внесены / не внесены;</w:t>
            </w:r>
          </w:p>
          <w:p>
            <w:pPr>
              <w:jc w:val="left"/>
            </w:pPr>
            <w:r>
              <w:rPr>
                <w:rFonts w:ascii="Arial" w:cs="Arial" w:eastAsia="Arial" w:hAnsi="Arial"/>
                <w:sz w:val="24"/>
                <w:szCs w:val="24"/>
              </w:rPr>
              <w:t xml:space="preserve">- приняты / не приняты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2013 года</w:t>
            </w:r>
          </w:p>
          <w:p>
            <w:pPr>
              <w:jc w:val="left"/>
            </w:pPr>
            <w:r>
              <w:rPr>
                <w:rFonts w:ascii="Arial" w:cs="Arial" w:eastAsia="Arial" w:hAnsi="Arial"/>
                <w:sz w:val="24"/>
                <w:szCs w:val="24"/>
              </w:rPr>
              <w:t xml:space="preserve">I полугодие 2013 года</w:t>
            </w:r>
          </w:p>
          <w:p>
            <w:pPr>
              <w:jc w:val="left"/>
            </w:pPr>
            <w:r>
              <w:rPr>
                <w:rFonts w:ascii="Arial" w:cs="Arial" w:eastAsia="Arial" w:hAnsi="Arial"/>
                <w:sz w:val="24"/>
                <w:szCs w:val="24"/>
              </w:rPr>
              <w:t xml:space="preserve">I полугодие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Совершенствование взаимодействия с другими участниками налоговых правоотношений</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 Анализ существующих ведомственных баз данных</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 не проведен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ГТС, Центральное казначейство при МФ, ГРС, НСК (по согласованию), коммерческие банки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 Подготовка и внесение на рассмотрение нормативных правовых актов, предусматривающих требования по:</w:t>
            </w:r>
          </w:p>
          <w:p>
            <w:pPr>
              <w:jc w:val="left"/>
            </w:pPr>
            <w:r>
              <w:rPr>
                <w:rFonts w:ascii="Arial" w:cs="Arial" w:eastAsia="Arial" w:hAnsi="Arial"/>
                <w:sz w:val="24"/>
                <w:szCs w:val="24"/>
              </w:rPr>
              <w:t xml:space="preserve">- формированию информационной базы данных соответствующих органов и организаций, с обязательной привязкой к идентификационному номеру налогоплательщика;</w:t>
            </w:r>
          </w:p>
          <w:p>
            <w:pPr>
              <w:jc w:val="left"/>
            </w:pPr>
            <w:r>
              <w:rPr>
                <w:rFonts w:ascii="Arial" w:cs="Arial" w:eastAsia="Arial" w:hAnsi="Arial"/>
                <w:sz w:val="24"/>
                <w:szCs w:val="24"/>
              </w:rPr>
              <w:t xml:space="preserve">- указанию во всех официальных, регистрационных, разрешительных, правоустанавливающих и других документах идентификационного номера юридического или физического лица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 / не внесен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ГТС, Центральное казначейство при МФ (ГРС, НСК (по согласованию), коммерческие банки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 Заключение или пересмотр соглашений ГНС с другими участниками налоговых правоотношений</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Заключены / не заключены;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пересмотрены /не пересмотрены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2012 г. - 2014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ГТС, Центральное казначейство при МФ, ГРС НСК (по согласованию), коммерческие банки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 Рассмотрение возможности получения информации о поступлении налогов напрямую из коммерческих банков (с последующим уведомлением Центрального казначейства Минфина). Подписание соответствующего Соглашения</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Подписано /не подписано</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 декабрь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НБ (по согласованию), коммерческие банки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 Разработка проектов нормативных правовых актов о внесении изменений в формы налоговой отчетности в целях актуализации данных по налогоплательщикам (фактический адрес налогоплательщика, идентификационный номер налогоплательщика, лица, подписывающего отчетность и др.)</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 не разработаны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Развитие клиентоориен-тированности</w:t>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w:t>
            </w:r>
            <w:r>
              <w:rPr>
                <w:rFonts w:ascii="Arial" w:cs="Arial" w:eastAsia="Arial" w:hAnsi="Arial"/>
                <w:sz w:val="24"/>
                <w:szCs w:val="24"/>
              </w:rPr>
              <w:t xml:space="preserve">Исключение дублирования функций регистрации бизнеса</w:t>
            </w:r>
          </w:p>
        </w:tc>
        <w:tc>
          <w:tcPr>
            <w:tcW w:type="dxa" w:w="27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2.1.1. Анализ существующей системы государственной регистрации индивидуальных предпринимателей на предмет дублирования, в том числе:</w:t>
            </w:r>
          </w:p>
        </w:tc>
        <w:tc>
          <w:tcPr>
            <w:tcW w:type="dxa" w:w="13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Проведен/не проведен;</w:t>
            </w:r>
          </w:p>
        </w:tc>
        <w:tc>
          <w:tcPr>
            <w:tcW w:type="dxa" w:w="14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Июнь 2012 г.</w:t>
            </w:r>
          </w:p>
        </w:tc>
        <w:tc>
          <w:tcPr>
            <w:tcW w:type="dxa" w:w="14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НСК (по согласованию), СФ, ГРС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анализ эффективности действующей системы регистрации органами Нацстаткома индивидуальных предпринимателей;</w:t>
            </w:r>
          </w:p>
          <w:p>
            <w:pPr>
              <w:jc w:val="left"/>
            </w:pPr>
            <w:r>
              <w:rPr>
                <w:rFonts w:ascii="Arial" w:cs="Arial" w:eastAsia="Arial" w:hAnsi="Arial"/>
                <w:sz w:val="24"/>
                <w:szCs w:val="24"/>
              </w:rPr>
              <w:t xml:space="preserve">- анализ выгод и затрат на реализацию функций регистрации (персонал, оборудование, каналы связи, помещения и т.п.)</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проведен / не проведен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2012 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 Разработка проектов нормативных правовых актов по введению принципа государственной регистрации индивидуальных предпринимателей в органах ГНС, с учетом поэтапной передачи функций регистрации из Нацстаткома в ГНС</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не разработан;</w:t>
            </w:r>
          </w:p>
          <w:p>
            <w:pPr>
              <w:jc w:val="left"/>
            </w:pPr>
            <w:r>
              <w:rPr>
                <w:rFonts w:ascii="Arial" w:cs="Arial" w:eastAsia="Arial" w:hAnsi="Arial"/>
                <w:sz w:val="24"/>
                <w:szCs w:val="24"/>
              </w:rPr>
              <w:t xml:space="preserve">- принят/не принят</w:t>
            </w:r>
          </w:p>
          <w:p>
            <w:pPr>
              <w:jc w:val="left"/>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и III квартал 2013 года</w:t>
            </w:r>
          </w:p>
          <w:p>
            <w:pPr>
              <w:jc w:val="left"/>
            </w:pPr>
            <w:r>
              <w:rPr>
                <w:rFonts w:ascii="Arial" w:cs="Arial" w:eastAsia="Arial" w:hAnsi="Arial"/>
                <w:sz w:val="24"/>
                <w:szCs w:val="24"/>
              </w:rPr>
              <w:t xml:space="preserve">II и III квартал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НСК (по согласованию), СФ, ГРС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 С учетом нового механизма регистрации / аннулирования регистрации индивидуальных предпринимателей:</w:t>
            </w:r>
          </w:p>
          <w:p>
            <w:pPr>
              <w:jc w:val="left"/>
            </w:pPr>
            <w:r>
              <w:rPr>
                <w:rFonts w:ascii="Arial" w:cs="Arial" w:eastAsia="Arial" w:hAnsi="Arial"/>
                <w:sz w:val="24"/>
                <w:szCs w:val="24"/>
              </w:rPr>
              <w:t xml:space="preserve">- разработка и утверждение порядка взаимодействия и обмена данными между Нацстаткомом, Соцфондом и ГНС;</w:t>
            </w:r>
          </w:p>
          <w:p>
            <w:pPr>
              <w:jc w:val="left"/>
            </w:pPr>
            <w:r>
              <w:rPr>
                <w:rFonts w:ascii="Arial" w:cs="Arial" w:eastAsia="Arial" w:hAnsi="Arial"/>
                <w:sz w:val="24"/>
                <w:szCs w:val="24"/>
              </w:rPr>
              <w:t xml:space="preserve">- плана мероприятий по поэтапной передаче функций регистрации / аннулирования регистрации;</w:t>
            </w:r>
          </w:p>
          <w:p>
            <w:pPr>
              <w:jc w:val="left"/>
            </w:pPr>
            <w:r>
              <w:rPr>
                <w:rFonts w:ascii="Arial" w:cs="Arial" w:eastAsia="Arial" w:hAnsi="Arial"/>
                <w:sz w:val="24"/>
                <w:szCs w:val="24"/>
              </w:rPr>
              <w:t xml:space="preserve">- разработка и заключение новых соглашений о взаимодействии регистрирующих органов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 не утверждены;</w:t>
            </w:r>
          </w:p>
          <w:p>
            <w:pPr>
              <w:jc w:val="left"/>
            </w:pPr>
            <w:r>
              <w:rPr>
                <w:rFonts w:ascii="Arial" w:cs="Arial" w:eastAsia="Arial" w:hAnsi="Arial"/>
                <w:sz w:val="24"/>
                <w:szCs w:val="24"/>
              </w:rPr>
              <w:t xml:space="preserve">- заключены / не заключены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2014 года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I квартал 2014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НСК (по согласованию), СФ, ГРС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 Практическая реализация нового механизма регистрации индивидуальных предпринимателей по республике</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Внедряется /не внедряется</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2014 года, в последующем постоянно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НСК (по согласованию), СФ, ГРС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Концентрация фискальных функций в одном государственном органе</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Анализ существующей системы администрирования государственных платежей в бюджет на предмет дублирования</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не проведен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СФ, ГТС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 Подготовка и внесение на утверждение проектов нормативных правовых актов, предусматривающих:</w:t>
            </w:r>
          </w:p>
          <w:p>
            <w:pPr>
              <w:jc w:val="left"/>
            </w:pPr>
            <w:r>
              <w:rPr>
                <w:rFonts w:ascii="Arial" w:cs="Arial" w:eastAsia="Arial" w:hAnsi="Arial"/>
                <w:sz w:val="24"/>
                <w:szCs w:val="24"/>
              </w:rPr>
              <w:t xml:space="preserve">- поэтапную передачу функций по администрированию страховых взносов из Соцфонда в ГНС;</w:t>
            </w:r>
          </w:p>
          <w:p>
            <w:pPr>
              <w:jc w:val="left"/>
            </w:pPr>
            <w:r>
              <w:rPr>
                <w:rFonts w:ascii="Arial" w:cs="Arial" w:eastAsia="Arial" w:hAnsi="Arial"/>
                <w:sz w:val="24"/>
                <w:szCs w:val="24"/>
              </w:rPr>
              <w:t xml:space="preserve">- передачу функций по администрированию косвенных налогов при взаимной торговле со странами Таможенного союза из ГТС в ГНС (по реализации решений по вступлению Кыргызской Республики в Таможенный союз)</w:t>
            </w:r>
          </w:p>
        </w:tc>
        <w:tc>
          <w:tcPr>
            <w:tcW w:type="dxa" w:w="13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/не внесены;</w:t>
            </w:r>
          </w:p>
          <w:p>
            <w:pPr>
              <w:jc w:val="left"/>
            </w:pPr>
            <w:r>
              <w:rPr>
                <w:rFonts w:ascii="Arial" w:cs="Arial" w:eastAsia="Arial" w:hAnsi="Arial"/>
                <w:sz w:val="24"/>
                <w:szCs w:val="24"/>
              </w:rPr>
              <w:t xml:space="preserve">- переданы / не переданы</w:t>
            </w:r>
          </w:p>
        </w:tc>
        <w:tc>
          <w:tcPr>
            <w:tcW w:type="dxa" w:w="14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Поэтапно в 2012 г., после принятия соответствующих НПА</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МЭ, ГНС, СФ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2012-2014 гг., после принятия соответствующих решений</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ГТС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Пересмотр соглашений по взаимодействию между соответствующими госорганами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Перезаключены/ не перезаключены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2012-2014 гг.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ГТС, Центральное казначейство при МФ, ГРС, НСК (по согласованию), коммерческие банки (по согласованию)</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Создание новых видов и расширение существующих сервисных пунктов для налогоплательщиков (Сервисный центр,</w:t>
            </w:r>
            <w:r>
              <w:rPr>
                <w:rFonts w:ascii="Arial" w:cs="Arial" w:eastAsia="Arial" w:hAnsi="Arial"/>
                <w:sz w:val="24"/>
                <w:szCs w:val="24"/>
              </w:rPr>
              <w:t xml:space="preserve"> Колл-центр, Кабинет налогоплательщика)</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Создать необходимую инфраструктуру и расширить сеть существующих сервисных пунктов по принципу «Единого окна»:</w:t>
            </w:r>
          </w:p>
          <w:p>
            <w:pPr>
              <w:jc w:val="left"/>
            </w:pPr>
            <w:r>
              <w:rPr>
                <w:rFonts w:ascii="Arial" w:cs="Arial" w:eastAsia="Arial" w:hAnsi="Arial"/>
                <w:sz w:val="24"/>
                <w:szCs w:val="24"/>
              </w:rPr>
              <w:t xml:space="preserve">- дополнительно в 10 УГНС;</w:t>
            </w:r>
          </w:p>
          <w:p>
            <w:pPr>
              <w:jc w:val="left"/>
            </w:pPr>
            <w:r>
              <w:rPr>
                <w:rFonts w:ascii="Arial" w:cs="Arial" w:eastAsia="Arial" w:hAnsi="Arial"/>
                <w:sz w:val="24"/>
                <w:szCs w:val="24"/>
              </w:rPr>
              <w:t xml:space="preserve">- в целом не менее чем в 20 УГНС (при наличии соответствующих ресурсов)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 не созданы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2012 г.,</w:t>
            </w:r>
          </w:p>
          <w:p>
            <w:pPr>
              <w:jc w:val="left"/>
            </w:pPr>
            <w:r>
              <w:rPr>
                <w:rFonts w:ascii="Arial" w:cs="Arial" w:eastAsia="Arial" w:hAnsi="Arial"/>
                <w:sz w:val="24"/>
                <w:szCs w:val="24"/>
              </w:rPr>
              <w:t xml:space="preserve">декабрь 2013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 В целях создания и запуска в ЦА ГНС Колл-центра:</w:t>
            </w:r>
          </w:p>
          <w:p>
            <w:pPr>
              <w:jc w:val="left"/>
            </w:pPr>
            <w:r>
              <w:rPr>
                <w:rFonts w:ascii="Arial" w:cs="Arial" w:eastAsia="Arial" w:hAnsi="Arial"/>
                <w:sz w:val="24"/>
                <w:szCs w:val="24"/>
              </w:rPr>
              <w:t xml:space="preserve">- приобретение и установка оборудования и программного обеспечения;</w:t>
            </w:r>
          </w:p>
          <w:p>
            <w:pPr>
              <w:jc w:val="left"/>
            </w:pPr>
            <w:r>
              <w:rPr>
                <w:rFonts w:ascii="Arial" w:cs="Arial" w:eastAsia="Arial" w:hAnsi="Arial"/>
                <w:sz w:val="24"/>
                <w:szCs w:val="24"/>
              </w:rPr>
              <w:t xml:space="preserve">- проведение обучения сотрудников ГНС;</w:t>
            </w:r>
          </w:p>
          <w:p>
            <w:pPr>
              <w:jc w:val="left"/>
            </w:pPr>
            <w:r>
              <w:rPr>
                <w:rFonts w:ascii="Arial" w:cs="Arial" w:eastAsia="Arial" w:hAnsi="Arial"/>
                <w:sz w:val="24"/>
                <w:szCs w:val="24"/>
              </w:rPr>
              <w:t xml:space="preserve">- запуск Колл-центра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Приобретено / не приобретено;</w:t>
            </w:r>
          </w:p>
          <w:p>
            <w:pPr>
              <w:jc w:val="left"/>
            </w:pPr>
            <w:r>
              <w:rPr>
                <w:rFonts w:ascii="Arial" w:cs="Arial" w:eastAsia="Arial" w:hAnsi="Arial"/>
                <w:sz w:val="24"/>
                <w:szCs w:val="24"/>
              </w:rPr>
              <w:t xml:space="preserve">- прошло обучение / не прошло;</w:t>
            </w:r>
          </w:p>
          <w:p>
            <w:pPr>
              <w:jc w:val="left"/>
            </w:pPr>
            <w:r>
              <w:rPr>
                <w:rFonts w:ascii="Arial" w:cs="Arial" w:eastAsia="Arial" w:hAnsi="Arial"/>
                <w:sz w:val="24"/>
                <w:szCs w:val="24"/>
              </w:rPr>
              <w:t xml:space="preserve">- запущен / не запущен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Январь-март 2012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февраль-апрель 2012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март - май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 В целях предоставления налогоплательщику возможности подачи электронной налоговой отчетности через сайт налоговой службы («Кабинет налогоплательщика»), напрямую, без посредников:</w:t>
            </w:r>
          </w:p>
          <w:p>
            <w:pPr>
              <w:jc w:val="left"/>
            </w:pPr>
            <w:r>
              <w:rPr>
                <w:rFonts w:ascii="Arial" w:cs="Arial" w:eastAsia="Arial" w:hAnsi="Arial"/>
                <w:sz w:val="24"/>
                <w:szCs w:val="24"/>
              </w:rPr>
              <w:t xml:space="preserve">- подготовка и внесение на рассмотрение проектов нормативных правовых актов;</w:t>
            </w:r>
          </w:p>
          <w:p>
            <w:pPr>
              <w:jc w:val="left"/>
            </w:pPr>
            <w:r>
              <w:rPr>
                <w:rFonts w:ascii="Arial" w:cs="Arial" w:eastAsia="Arial" w:hAnsi="Arial"/>
                <w:sz w:val="24"/>
                <w:szCs w:val="24"/>
              </w:rPr>
              <w:t xml:space="preserve">- разработка / доработка программного продукта для данной услуги;</w:t>
            </w:r>
          </w:p>
          <w:p>
            <w:pPr>
              <w:jc w:val="left"/>
            </w:pPr>
            <w:r>
              <w:rPr>
                <w:rFonts w:ascii="Arial" w:cs="Arial" w:eastAsia="Arial" w:hAnsi="Arial"/>
                <w:sz w:val="24"/>
                <w:szCs w:val="24"/>
              </w:rPr>
              <w:t xml:space="preserve">- внедрение предоставления указанной услуги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Внесено / не внесено;</w:t>
            </w:r>
          </w:p>
          <w:p>
            <w:pPr>
              <w:jc w:val="left"/>
            </w:pPr>
            <w:r>
              <w:rPr>
                <w:rFonts w:ascii="Arial" w:cs="Arial" w:eastAsia="Arial" w:hAnsi="Arial"/>
                <w:sz w:val="24"/>
                <w:szCs w:val="24"/>
              </w:rPr>
              <w:t xml:space="preserve">- разработано / не разработано;</w:t>
            </w:r>
          </w:p>
          <w:p>
            <w:pPr>
              <w:jc w:val="left"/>
            </w:pPr>
            <w:r>
              <w:rPr>
                <w:rFonts w:ascii="Arial" w:cs="Arial" w:eastAsia="Arial" w:hAnsi="Arial"/>
                <w:sz w:val="24"/>
                <w:szCs w:val="24"/>
              </w:rPr>
              <w:t xml:space="preserve"> - внедрено / не внедрено</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2012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июль 2012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сентябрь 2012 г. (пилот)</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МЭ</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 Создание на сайте ГНС «Кабинета налогоплательщика» по предоставлению электронных услуг налогоплательщику</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 не создан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 В целях создания сервисных центров (при наличии соответствующих ресурсов):</w:t>
            </w:r>
          </w:p>
          <w:p>
            <w:pPr>
              <w:jc w:val="left"/>
            </w:pPr>
            <w:r>
              <w:rPr>
                <w:rFonts w:ascii="Arial" w:cs="Arial" w:eastAsia="Arial" w:hAnsi="Arial"/>
                <w:sz w:val="24"/>
                <w:szCs w:val="24"/>
              </w:rPr>
              <w:t xml:space="preserve">- строительство или приобретение зданий;</w:t>
            </w:r>
          </w:p>
          <w:p>
            <w:pPr>
              <w:jc w:val="left"/>
            </w:pPr>
            <w:r>
              <w:rPr>
                <w:rFonts w:ascii="Arial" w:cs="Arial" w:eastAsia="Arial" w:hAnsi="Arial"/>
                <w:sz w:val="24"/>
                <w:szCs w:val="24"/>
              </w:rPr>
              <w:t xml:space="preserve">- обустройство, оснащение и запуск сервисных центров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Приобретено / не приобретено;</w:t>
            </w:r>
          </w:p>
          <w:p>
            <w:pPr>
              <w:jc w:val="left"/>
            </w:pPr>
            <w:r>
              <w:rPr>
                <w:rFonts w:ascii="Arial" w:cs="Arial" w:eastAsia="Arial" w:hAnsi="Arial"/>
                <w:sz w:val="24"/>
                <w:szCs w:val="24"/>
              </w:rPr>
              <w:t xml:space="preserve">- запущен / не запущен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течение 2014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Внедрение инновационных способов оплаты налогов</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 Организация системы уплаты налога за патент на торгово-рыночных комплексах (ТРК) через платежные терминалы:</w:t>
            </w:r>
          </w:p>
          <w:p>
            <w:pPr>
              <w:jc w:val="left"/>
            </w:pPr>
            <w:r>
              <w:rPr>
                <w:rFonts w:ascii="Arial" w:cs="Arial" w:eastAsia="Arial" w:hAnsi="Arial"/>
                <w:sz w:val="24"/>
                <w:szCs w:val="24"/>
              </w:rPr>
              <w:t xml:space="preserve"> - внедрение пилотного проекта на ТРК «Оберон»;</w:t>
            </w:r>
          </w:p>
          <w:p>
            <w:pPr>
              <w:jc w:val="left"/>
            </w:pPr>
            <w:r>
              <w:rPr>
                <w:rFonts w:ascii="Arial" w:cs="Arial" w:eastAsia="Arial" w:hAnsi="Arial"/>
                <w:sz w:val="24"/>
                <w:szCs w:val="24"/>
              </w:rPr>
              <w:t xml:space="preserve"> - распространение данной услуги на всех крупных ТРК</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Внедрено/ не внедрено;</w:t>
            </w:r>
          </w:p>
          <w:p>
            <w:pPr>
              <w:jc w:val="left"/>
            </w:pPr>
            <w:r>
              <w:rPr>
                <w:rFonts w:ascii="Arial" w:cs="Arial" w:eastAsia="Arial" w:hAnsi="Arial"/>
                <w:sz w:val="24"/>
                <w:szCs w:val="24"/>
              </w:rPr>
              <w:t xml:space="preserve">- уровень охвата</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2012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течение 2012-2013 гг.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 Организация системы уплаты налога путем использования банковских платежных карт:</w:t>
            </w:r>
          </w:p>
          <w:p>
            <w:pPr>
              <w:jc w:val="left"/>
            </w:pPr>
            <w:r>
              <w:rPr>
                <w:rFonts w:ascii="Arial" w:cs="Arial" w:eastAsia="Arial" w:hAnsi="Arial"/>
                <w:sz w:val="24"/>
                <w:szCs w:val="24"/>
              </w:rPr>
              <w:t xml:space="preserve">- внедрение пилотного проекта;</w:t>
            </w:r>
          </w:p>
          <w:p>
            <w:pPr>
              <w:jc w:val="left"/>
            </w:pPr>
            <w:r>
              <w:rPr>
                <w:rFonts w:ascii="Arial" w:cs="Arial" w:eastAsia="Arial" w:hAnsi="Arial"/>
                <w:sz w:val="24"/>
                <w:szCs w:val="24"/>
              </w:rPr>
              <w:t xml:space="preserve">- распространение данной услуги по регионам</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Внедрено / не внедрено;</w:t>
            </w:r>
          </w:p>
          <w:p>
            <w:pPr>
              <w:jc w:val="left"/>
            </w:pPr>
            <w:r>
              <w:rPr>
                <w:rFonts w:ascii="Arial" w:cs="Arial" w:eastAsia="Arial" w:hAnsi="Arial"/>
                <w:sz w:val="24"/>
                <w:szCs w:val="24"/>
              </w:rPr>
              <w:t xml:space="preserve">- уровень охвата</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2012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течение 2012-2013 гг.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НБ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 Разработка проекта внедрения системы мобильного и Интернет-банкинга (оплата налога)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не разработан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 Разработка соответствующего программного продукта для мобильного и Интернет-банкинга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 не разработан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2014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 Запуск пилотного проекта:</w:t>
            </w:r>
          </w:p>
          <w:p>
            <w:pPr>
              <w:jc w:val="left"/>
            </w:pPr>
            <w:r>
              <w:rPr>
                <w:rFonts w:ascii="Arial" w:cs="Arial" w:eastAsia="Arial" w:hAnsi="Arial"/>
                <w:sz w:val="24"/>
                <w:szCs w:val="24"/>
              </w:rPr>
              <w:t xml:space="preserve"> - мобильного банкинга;</w:t>
            </w:r>
          </w:p>
          <w:p>
            <w:pPr>
              <w:jc w:val="left"/>
            </w:pPr>
            <w:r>
              <w:rPr>
                <w:rFonts w:ascii="Arial" w:cs="Arial" w:eastAsia="Arial" w:hAnsi="Arial"/>
                <w:sz w:val="24"/>
                <w:szCs w:val="24"/>
              </w:rPr>
              <w:t xml:space="preserve"> - Интернет-банкинга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 / не запущен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2014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 Расширение охвата данным видом услуг (мобильного и Интернет-банкинга)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охвата</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2014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 Заключение соглашений об оказании услуг по оплате налога с использованием платежных терминалов, банковских карт, мобильного и Интернет-банкинга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Заключены / не заключены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срокам внедрения</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НБ (по согласованию)</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Оптимизация форм налоговых отчетов, сроков их представления и уплаты налогов</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 Анализ форм и содержания налоговой отчетности, в том числе путем опроса налогоплательщиков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 не проведен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2012 года, в последующем 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 По результатам анализа разработка и внесение на рассмотрение предложений, направленных на оптимизацию форм и содержания отчетности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 не внесены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 2012 г.,</w:t>
            </w:r>
          </w:p>
          <w:p>
            <w:pPr>
              <w:jc w:val="left"/>
            </w:pPr>
            <w:r>
              <w:rPr>
                <w:rFonts w:ascii="Arial" w:cs="Arial" w:eastAsia="Arial" w:hAnsi="Arial"/>
                <w:sz w:val="24"/>
                <w:szCs w:val="24"/>
              </w:rPr>
              <w:t xml:space="preserve">в последующем 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МЭ</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 Анализ сроков представления отчетности и уплаты налогов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 не проведен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 По результатам анализа разработка и внесение на рассмотрение проектов нормативных правовых актов, направленных на синхронизацию и сокращение сроков представления отчетности и уплаты налогов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/не внесены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 май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МЭ</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 Инвентаризации имеющихся видов справок, выдаваемых налогоплательщику налоговым органом, внесение предложений по их сокращению и регламентации процедуры обращения и выдачи справок, стандартизации их форм</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 не внесены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Упрощение процедуры подтверждения резидентства, применяемой в соответствии с соглашениями об избежании двойного налогообложения, путем внесения изменений в нормативные правовые акты</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 не внесены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Улучшение уровня взаимодействия налоговой службы с налогоплательщиками</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 Разработка правил и норм поведения сотрудников ГНС с налогоплательщиками с участием гражданского общества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не разработаны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 Внедрение правил и норм поведения сотрудников ГНС с налогоплательщиками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не внедрены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 Организация и проведение опросов налогоплательщиков для оценки деятельности ГНС и изучения имеющихся проблем, в том числе с использованием веб-сайта ГНС</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Осуществляется/ не осуществляется</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2012 года, в последующем 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 Разработка и реализация отдельного медиа-плана ГНС по информированности налогоплательщиков, повышению налоговой культуры в обществе</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 не разработан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2012 года, реализация плана согласно установленным срокам</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Упрощение системы возврата и возмещения переплаты по налогам</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 Анализ текущей ситуации и международного опыта в сфере возврата и возмещения переплаты по налогам</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 не проведен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 Подготовка предложений по совершенствованию системы возмещения и возврата переплаты, направленных на:</w:t>
            </w:r>
          </w:p>
          <w:p>
            <w:pPr>
              <w:jc w:val="left"/>
            </w:pPr>
            <w:r>
              <w:rPr>
                <w:rFonts w:ascii="Arial" w:cs="Arial" w:eastAsia="Arial" w:hAnsi="Arial"/>
                <w:sz w:val="24"/>
                <w:szCs w:val="24"/>
              </w:rPr>
              <w:t xml:space="preserve">- пересмотр требований и механизма возмещения и возврата переплаты;</w:t>
            </w:r>
          </w:p>
          <w:p>
            <w:pPr>
              <w:jc w:val="left"/>
            </w:pPr>
            <w:r>
              <w:rPr>
                <w:rFonts w:ascii="Arial" w:cs="Arial" w:eastAsia="Arial" w:hAnsi="Arial"/>
                <w:sz w:val="24"/>
                <w:szCs w:val="24"/>
              </w:rPr>
              <w:t xml:space="preserve">- упрощение процедур возврата и возмещения переплаты;</w:t>
            </w:r>
          </w:p>
          <w:p>
            <w:pPr>
              <w:jc w:val="left"/>
            </w:pPr>
            <w:r>
              <w:rPr>
                <w:rFonts w:ascii="Arial" w:cs="Arial" w:eastAsia="Arial" w:hAnsi="Arial"/>
                <w:sz w:val="24"/>
                <w:szCs w:val="24"/>
              </w:rPr>
              <w:t xml:space="preserve">- внесение на рассмотрение проектов нормативных правовых актов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 не подготовлены;</w:t>
            </w:r>
          </w:p>
          <w:p>
            <w:pPr>
              <w:jc w:val="left"/>
            </w:pPr>
            <w:r>
              <w:rPr>
                <w:rFonts w:ascii="Arial" w:cs="Arial" w:eastAsia="Arial" w:hAnsi="Arial"/>
                <w:sz w:val="24"/>
                <w:szCs w:val="24"/>
              </w:rPr>
              <w:t xml:space="preserve">- внесены / не внесены;</w:t>
            </w:r>
          </w:p>
          <w:p>
            <w:pPr>
              <w:jc w:val="left"/>
            </w:pPr>
            <w:r>
              <w:rPr>
                <w:rFonts w:ascii="Arial" w:cs="Arial" w:eastAsia="Arial" w:hAnsi="Arial"/>
                <w:sz w:val="24"/>
                <w:szCs w:val="24"/>
              </w:rPr>
              <w:t xml:space="preserve">- приняты/ не приняты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ГНС, ГТС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Увеличение потенциала собираемости налогов</w:t>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Расширение системы налогового контроля, основанной на оценке риска</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 Доработка (с учетом новых критериев риска) и расширение сферы применения автоматизированной системы налогового контроля (выездных налоговых проверок), основанной на оценке рисков неуплаты налогов, путем применения ее к другим формам налогового контроля</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Доработан / не доработан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 апрель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 Пилотное внедрение автоматизированной системы налогового контроля</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Внедрено / не внедрено</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 Внедрение автоматизированной системы налогового контроля, основанной на оценке рисков, в крупных УГНС</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Внедрено / не внедрено</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Совершенствование механизма администрирования местных налогов</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 Проведение анализа текущей ситуации в сфере администрирования местных налогов и внесение рекомендаций и предложений по оптимизации законодательства и процедур администрирования</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 не проведен;</w:t>
            </w:r>
          </w:p>
          <w:p>
            <w:pPr>
              <w:jc w:val="left"/>
            </w:pPr>
            <w:r>
              <w:rPr>
                <w:rFonts w:ascii="Arial" w:cs="Arial" w:eastAsia="Arial" w:hAnsi="Arial"/>
                <w:sz w:val="24"/>
                <w:szCs w:val="24"/>
              </w:rPr>
              <w:t xml:space="preserve">- внесены / не внесены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2012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сентябрь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 Изучить возможность применения альтернативного метода взимания налога с движимого имущества (транспортных средств), анализ выгод и затрат применения альтернативного метода взимания налога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Проведено / не проведено</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 Проведение инвентаризации земельных участков и объектов недвижимого имущества, их владельцев совместно с ГРС в целях актуализации базы данных объектов и плательщиков налогов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не проведена</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Март-май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ГРС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 Пересмотр и утверждение форм учета данных по имуществу и участкам, извещений (уведомлений) и пр.</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Проведено / не проведено;</w:t>
            </w:r>
          </w:p>
          <w:p>
            <w:pPr>
              <w:jc w:val="left"/>
            </w:pPr>
            <w:r>
              <w:rPr>
                <w:rFonts w:ascii="Arial" w:cs="Arial" w:eastAsia="Arial" w:hAnsi="Arial"/>
                <w:sz w:val="24"/>
                <w:szCs w:val="24"/>
              </w:rPr>
              <w:t xml:space="preserve">- утверждены/ не утверждены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сентября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 Изучение и, при необходимости, доработка программного модуля по учету объектов и субъектов имущества с последующим внедрением</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 не внедрен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 Пересмотр и заключение Соглашения ГНС с ГРС по вопросам предоставления данных об объектах и владельцах имущества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Заключены / не заключены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2013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ГРС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Разработка и реализация секторальных программ по сокращению «теневого» сектора</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 Анализ сектора экономики в отдельных сферах предпринимательства, с высокой долей теневой составляющей. Изучение имеющегося положительного опыта легализации «теневого» сектора, включая зарубежную практику</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 не проведен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 Разработка проекта Программы и реализация соответствующих мер легализации «теневого» сектора в отдельных секторах предпринимательства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 не разработаны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Внедрение эффективных механизмов контроля сферы уклонения от налогообложения и взыскания налогов</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 Анализ и выработка предложений по повышению эффективности контроля и пресечения сферы «лжепредпринимательства», занижения фактической цены реализации продукции, услуг</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 не подготовлены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3.4.2. По результатам анализа, в целях пресечения сферы уклонения от налогообложения:</w:t>
            </w:r>
          </w:p>
        </w:tc>
        <w:tc>
          <w:tcPr>
            <w:tcW w:type="dxa" w:w="13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Внесены / не внесены;</w:t>
            </w:r>
          </w:p>
        </w:tc>
        <w:tc>
          <w:tcPr>
            <w:tcW w:type="dxa" w:w="14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Май 2012 г.,</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МЭ, 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подготовка и внесение на рассмотрение проектов нормативных правовых актов;</w:t>
            </w:r>
          </w:p>
          <w:p>
            <w:pPr>
              <w:jc w:val="left"/>
            </w:pPr>
            <w:r>
              <w:rPr>
                <w:rFonts w:ascii="Arial" w:cs="Arial" w:eastAsia="Arial" w:hAnsi="Arial"/>
                <w:sz w:val="24"/>
                <w:szCs w:val="24"/>
              </w:rPr>
              <w:t xml:space="preserve">- разработка и реализация практических мер</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реализованы / не реализованы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3.4.3. Выработка предложений и реализация практических мер, направленных на повышение эффективности работы по взысканию налоговой задолженности, включая:</w:t>
            </w:r>
          </w:p>
        </w:tc>
        <w:tc>
          <w:tcPr>
            <w:tcW w:type="dxa" w:w="13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подготовку и внесение на рассмотрение проекта нормативного правового акта, устанавливающего требования по обязательному представлению коммерческими банками сведений об открытии / закрытии счетов юридических и физических лиц в ГНС на постоянной основе (без решения суда);</w:t>
            </w:r>
          </w:p>
        </w:tc>
        <w:tc>
          <w:tcPr>
            <w:tcW w:type="dxa" w:w="13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Внесены / не внесены</w:t>
            </w:r>
          </w:p>
        </w:tc>
        <w:tc>
          <w:tcPr>
            <w:tcW w:type="dxa" w:w="14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Май 2012 г.,</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МЭ, ГНС, НБ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подготовка и внесение на рассмотрение проектов нормативных правовых актов, предусматривающих выработку дополнительных инструментов воздействия в отношении злостных неплательщиков и лиц, осуществляющих деятельность в сфере «лжепредпринимательства»;</w:t>
            </w:r>
          </w:p>
        </w:tc>
        <w:tc>
          <w:tcPr>
            <w:tcW w:type="dxa" w:w="13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внесены / не внесены</w:t>
            </w:r>
          </w:p>
        </w:tc>
        <w:tc>
          <w:tcPr>
            <w:tcW w:type="dxa" w:w="14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Январь 2013 года</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МЭ, 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пересмотр внутренних рабочих процедур и отчетности для усиления контроля за своевременным и полным применением существующих мер принудительного взыскания задолженности по налогам</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Пересмотр системы применения ответственности за налоговые правонарушения</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 Анализ существующих видов нарушений и ответственности (уголовной, административной, налоговой) на предмет наличия:</w:t>
            </w:r>
          </w:p>
          <w:p>
            <w:pPr>
              <w:jc w:val="left"/>
            </w:pPr>
            <w:r>
              <w:rPr>
                <w:rFonts w:ascii="Arial" w:cs="Arial" w:eastAsia="Arial" w:hAnsi="Arial"/>
                <w:sz w:val="24"/>
                <w:szCs w:val="24"/>
              </w:rPr>
              <w:t xml:space="preserve">- адекватности и соизмеримости размеров санкций совершенному правонарушению;</w:t>
            </w:r>
          </w:p>
          <w:p>
            <w:pPr>
              <w:jc w:val="left"/>
            </w:pPr>
            <w:r>
              <w:rPr>
                <w:rFonts w:ascii="Arial" w:cs="Arial" w:eastAsia="Arial" w:hAnsi="Arial"/>
                <w:sz w:val="24"/>
                <w:szCs w:val="24"/>
              </w:rPr>
              <w:t xml:space="preserve">- применимости ответственности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 / не осуществлен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2013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 По результатам анализа разработка и внесение на рассмотрение проектов нормативных правовых актов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 не внесены;</w:t>
            </w:r>
          </w:p>
          <w:p>
            <w:pPr>
              <w:jc w:val="left"/>
            </w:pPr>
            <w:r>
              <w:rPr>
                <w:rFonts w:ascii="Arial" w:cs="Arial" w:eastAsia="Arial" w:hAnsi="Arial"/>
                <w:sz w:val="24"/>
                <w:szCs w:val="24"/>
              </w:rPr>
              <w:t xml:space="preserve">- приняты/ не приняты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МЭ</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Внедрение системы соответствующего учета применяемых к налогоплательщикам штрафов и санкций за налоговые правонарушения</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 не внедрена</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2013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Количественные показатели, на основе которых будет оцениваться исполнение настоящего Плана, содержатся в приложении.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w:t>
      </w:r>
      <w:hyperlink w:history="1" r:id="rIdxgekkjlsxyfh3pohfqvc6">
        <w:r>
          <w:rPr>
            <w:rFonts w:ascii="Arial" w:cs="Arial" w:eastAsia="Arial" w:hAnsi="Arial"/>
            <w:color w:val="1D4ED8"/>
            <w:sz w:val="24"/>
            <w:szCs w:val="24"/>
            <w:u w:val="single"/>
          </w:rPr>
          <w:t xml:space="preserve">Плану</w:t>
        </w:r>
      </w:hyperlink>
      <w:r>
        <w:rPr>
          <w:rFonts w:ascii="Arial" w:cs="Arial" w:eastAsia="Arial" w:hAnsi="Arial"/>
          <w:sz w:val="24"/>
          <w:szCs w:val="24"/>
        </w:rPr>
        <w:t xml:space="preserve"> реализации
 Стратегии развития
 Государственной налоговой
 службы при Правительстве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Количественные показатели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измерения эффективности деятельности ГНС будут использоваться следующие количественные показатели:</w:t>
      </w:r>
    </w:p>
    <w:p>
      <w:pPr>
        <w:spacing w:after="120"/>
        <w:jc w:val="both"/>
      </w:pPr>
      <w:r>
        <w:rPr>
          <w:rFonts w:ascii="Arial" w:cs="Arial" w:eastAsia="Arial" w:hAnsi="Arial"/>
          <w:sz w:val="24"/>
          <w:szCs w:val="24"/>
        </w:rPr>
        <w:t xml:space="preserve">1) себестоимость 1 сома собранного налога (расходы на ГНС к сбору налогов)</w:t>
      </w:r>
    </w:p>
    <w:p>
      <w:pPr>
        <w:spacing w:after="120"/>
        <w:jc w:val="both"/>
      </w:pPr>
      <w:r>
        <w:rPr>
          <w:rFonts w:ascii="Arial" w:cs="Arial" w:eastAsia="Arial" w:hAnsi="Arial"/>
          <w:sz w:val="24"/>
          <w:szCs w:val="24"/>
        </w:rPr>
        <w:t xml:space="preserve">- в 2012 г. - 0,019 сома;</w:t>
      </w:r>
    </w:p>
    <w:p>
      <w:pPr>
        <w:spacing w:after="120"/>
        <w:jc w:val="both"/>
      </w:pPr>
      <w:r>
        <w:rPr>
          <w:rFonts w:ascii="Arial" w:cs="Arial" w:eastAsia="Arial" w:hAnsi="Arial"/>
          <w:sz w:val="24"/>
          <w:szCs w:val="24"/>
        </w:rPr>
        <w:t xml:space="preserve">- в 2013 г. - 0,018 сома;</w:t>
      </w:r>
    </w:p>
    <w:p>
      <w:pPr>
        <w:spacing w:after="120"/>
        <w:jc w:val="both"/>
      </w:pPr>
      <w:r>
        <w:rPr>
          <w:rFonts w:ascii="Arial" w:cs="Arial" w:eastAsia="Arial" w:hAnsi="Arial"/>
          <w:sz w:val="24"/>
          <w:szCs w:val="24"/>
        </w:rPr>
        <w:t xml:space="preserve">- в 2014 г. - 0,017 сома;</w:t>
      </w:r>
    </w:p>
    <w:p>
      <w:pPr>
        <w:spacing w:after="120"/>
        <w:jc w:val="both"/>
      </w:pPr>
      <w:r>
        <w:rPr>
          <w:rFonts w:ascii="Arial" w:cs="Arial" w:eastAsia="Arial" w:hAnsi="Arial"/>
          <w:sz w:val="24"/>
          <w:szCs w:val="24"/>
        </w:rPr>
        <w:t xml:space="preserve">2) рост количества обслуживаемых налогоплательщиков (отчитывающихся) на 1 сотрудника ГНС.</w:t>
      </w:r>
    </w:p>
    <w:p>
      <w:pPr>
        <w:spacing w:after="120"/>
        <w:jc w:val="both"/>
      </w:pPr>
      <w:r>
        <w:rPr>
          <w:rFonts w:ascii="Arial" w:cs="Arial" w:eastAsia="Arial" w:hAnsi="Arial"/>
          <w:sz w:val="24"/>
          <w:szCs w:val="24"/>
        </w:rPr>
        <w:t xml:space="preserve">Прогресс ГНС по развитию клиентоориентированности будет измеряться через:</w:t>
      </w:r>
    </w:p>
    <w:p>
      <w:pPr>
        <w:spacing w:after="120"/>
        <w:jc w:val="both"/>
      </w:pPr>
      <w:r>
        <w:rPr>
          <w:rFonts w:ascii="Arial" w:cs="Arial" w:eastAsia="Arial" w:hAnsi="Arial"/>
          <w:sz w:val="24"/>
          <w:szCs w:val="24"/>
        </w:rPr>
        <w:t xml:space="preserve">1) уровень удовлетворенности и/или доверия налогоплательщиков (согласно разработанной и внедренной форме регулярного социологического опроса);</w:t>
      </w:r>
    </w:p>
    <w:p>
      <w:pPr>
        <w:spacing w:after="120"/>
        <w:jc w:val="both"/>
      </w:pPr>
      <w:r>
        <w:rPr>
          <w:rFonts w:ascii="Arial" w:cs="Arial" w:eastAsia="Arial" w:hAnsi="Arial"/>
          <w:sz w:val="24"/>
          <w:szCs w:val="24"/>
        </w:rPr>
        <w:t xml:space="preserve">2) рост количества налогоплательщиков, имеющих возможность пользоваться услугами «Единого окна», сервисных центров, Колл-центра, в процентах к общему количеству налогоплательщиков;</w:t>
      </w:r>
    </w:p>
    <w:p>
      <w:pPr>
        <w:spacing w:after="120"/>
        <w:jc w:val="both"/>
      </w:pPr>
      <w:r>
        <w:rPr>
          <w:rFonts w:ascii="Arial" w:cs="Arial" w:eastAsia="Arial" w:hAnsi="Arial"/>
          <w:sz w:val="24"/>
          <w:szCs w:val="24"/>
        </w:rPr>
        <w:t xml:space="preserve">3) сокращение времени приема и обработки налоговой отчетности вдвое в период 2012-2014 гг.;</w:t>
      </w:r>
    </w:p>
    <w:p>
      <w:pPr>
        <w:spacing w:after="120"/>
        <w:jc w:val="both"/>
      </w:pPr>
      <w:r>
        <w:rPr>
          <w:rFonts w:ascii="Arial" w:cs="Arial" w:eastAsia="Arial" w:hAnsi="Arial"/>
          <w:sz w:val="24"/>
          <w:szCs w:val="24"/>
        </w:rPr>
        <w:t xml:space="preserve">4) принимая во внимание, что в учет берется предыдущий фискальный год, улучшение показателя Индикатора «Налогообложение» Отчета Всемирного банка «Ведение бизнеса»:</w:t>
      </w:r>
    </w:p>
    <w:p>
      <w:pPr>
        <w:spacing w:after="120"/>
        <w:jc w:val="both"/>
      </w:pPr>
      <w:r>
        <w:rPr>
          <w:rFonts w:ascii="Arial" w:cs="Arial" w:eastAsia="Arial" w:hAnsi="Arial"/>
          <w:sz w:val="24"/>
          <w:szCs w:val="24"/>
        </w:rPr>
        <w:t xml:space="preserve">- в 2012 г. - 162 место;</w:t>
      </w:r>
    </w:p>
    <w:p>
      <w:pPr>
        <w:spacing w:after="120"/>
        <w:jc w:val="both"/>
      </w:pPr>
      <w:r>
        <w:rPr>
          <w:rFonts w:ascii="Arial" w:cs="Arial" w:eastAsia="Arial" w:hAnsi="Arial"/>
          <w:sz w:val="24"/>
          <w:szCs w:val="24"/>
        </w:rPr>
        <w:t xml:space="preserve">- в 2013 г. - не ниже 130 места;</w:t>
      </w:r>
    </w:p>
    <w:p>
      <w:pPr>
        <w:spacing w:after="120"/>
        <w:jc w:val="both"/>
      </w:pPr>
      <w:r>
        <w:rPr>
          <w:rFonts w:ascii="Arial" w:cs="Arial" w:eastAsia="Arial" w:hAnsi="Arial"/>
          <w:sz w:val="24"/>
          <w:szCs w:val="24"/>
        </w:rPr>
        <w:t xml:space="preserve">- в 2014 г. - не ниже 100 места;</w:t>
      </w:r>
    </w:p>
    <w:p>
      <w:pPr>
        <w:spacing w:after="120"/>
        <w:jc w:val="both"/>
      </w:pPr>
      <w:r>
        <w:rPr>
          <w:rFonts w:ascii="Arial" w:cs="Arial" w:eastAsia="Arial" w:hAnsi="Arial"/>
          <w:sz w:val="24"/>
          <w:szCs w:val="24"/>
        </w:rPr>
        <w:t xml:space="preserve">5) увеличение налогоплательщиков, сдающих отчетность в электронном виде:</w:t>
      </w:r>
    </w:p>
    <w:p>
      <w:pPr>
        <w:spacing w:after="120"/>
        <w:jc w:val="both"/>
      </w:pPr>
      <w:r>
        <w:rPr>
          <w:rFonts w:ascii="Arial" w:cs="Arial" w:eastAsia="Arial" w:hAnsi="Arial"/>
          <w:sz w:val="24"/>
          <w:szCs w:val="24"/>
        </w:rPr>
        <w:t xml:space="preserve">- в 2012 г. - 3500 хозсубъектов;</w:t>
      </w:r>
    </w:p>
    <w:p>
      <w:pPr>
        <w:spacing w:after="120"/>
        <w:jc w:val="both"/>
      </w:pPr>
      <w:r>
        <w:rPr>
          <w:rFonts w:ascii="Arial" w:cs="Arial" w:eastAsia="Arial" w:hAnsi="Arial"/>
          <w:sz w:val="24"/>
          <w:szCs w:val="24"/>
        </w:rPr>
        <w:t xml:space="preserve">- в 2013 г. - 7000 хозсубъектов;</w:t>
      </w:r>
    </w:p>
    <w:p>
      <w:pPr>
        <w:spacing w:after="120"/>
        <w:jc w:val="both"/>
      </w:pPr>
      <w:r>
        <w:rPr>
          <w:rFonts w:ascii="Arial" w:cs="Arial" w:eastAsia="Arial" w:hAnsi="Arial"/>
          <w:sz w:val="24"/>
          <w:szCs w:val="24"/>
        </w:rPr>
        <w:t xml:space="preserve">- в 2014 г. - 10000 хозсубъектов;</w:t>
      </w:r>
    </w:p>
    <w:p>
      <w:pPr>
        <w:spacing w:after="120"/>
        <w:jc w:val="both"/>
      </w:pPr>
      <w:r>
        <w:rPr>
          <w:rFonts w:ascii="Arial" w:cs="Arial" w:eastAsia="Arial" w:hAnsi="Arial"/>
          <w:sz w:val="24"/>
          <w:szCs w:val="24"/>
        </w:rPr>
        <w:t xml:space="preserve">6) полный охват крупных торгово-рыночных комплексов платежными терминалами к 31.12.2014 г.;</w:t>
      </w:r>
    </w:p>
    <w:p>
      <w:pPr>
        <w:spacing w:after="120"/>
        <w:jc w:val="both"/>
      </w:pPr>
      <w:r>
        <w:rPr>
          <w:rFonts w:ascii="Arial" w:cs="Arial" w:eastAsia="Arial" w:hAnsi="Arial"/>
          <w:sz w:val="24"/>
          <w:szCs w:val="24"/>
        </w:rPr>
        <w:t xml:space="preserve">7) сокращение удельного веса сумм переплаты по налогам (включая превышение зачетной суммы по НДС) к общему объему налоговых поступлений.</w:t>
      </w:r>
    </w:p>
    <w:p>
      <w:pPr>
        <w:spacing w:after="120"/>
        <w:jc w:val="both"/>
      </w:pPr>
      <w:r>
        <w:rPr>
          <w:rFonts w:ascii="Arial" w:cs="Arial" w:eastAsia="Arial" w:hAnsi="Arial"/>
          <w:sz w:val="24"/>
          <w:szCs w:val="24"/>
        </w:rPr>
        <w:t xml:space="preserve">Увеличение потенциала собираемости налогов будет измеряться не только по размеру валового сбора, но и по количеству активных налогоплательщиков через:</w:t>
      </w:r>
    </w:p>
    <w:p>
      <w:pPr>
        <w:spacing w:after="120"/>
        <w:jc w:val="both"/>
      </w:pPr>
      <w:r>
        <w:rPr>
          <w:rFonts w:ascii="Arial" w:cs="Arial" w:eastAsia="Arial" w:hAnsi="Arial"/>
          <w:sz w:val="24"/>
          <w:szCs w:val="24"/>
        </w:rPr>
        <w:t xml:space="preserve">1) рост налоговых сборов:</w:t>
      </w:r>
    </w:p>
    <w:p>
      <w:pPr>
        <w:spacing w:after="120"/>
        <w:jc w:val="both"/>
      </w:pPr>
      <w:r>
        <w:rPr>
          <w:rFonts w:ascii="Arial" w:cs="Arial" w:eastAsia="Arial" w:hAnsi="Arial"/>
          <w:sz w:val="24"/>
          <w:szCs w:val="24"/>
        </w:rPr>
        <w:t xml:space="preserve">- в 2012 г. - 36 млрд. сомов, удельный вес к ВВП - 11,8 %;</w:t>
      </w:r>
    </w:p>
    <w:p>
      <w:pPr>
        <w:spacing w:after="120"/>
        <w:jc w:val="both"/>
      </w:pPr>
      <w:r>
        <w:rPr>
          <w:rFonts w:ascii="Arial" w:cs="Arial" w:eastAsia="Arial" w:hAnsi="Arial"/>
          <w:sz w:val="24"/>
          <w:szCs w:val="24"/>
        </w:rPr>
        <w:t xml:space="preserve">- в 2013 г. - 39 млрд. сомов, удельный вес к ВВП - 12,0 %;</w:t>
      </w:r>
    </w:p>
    <w:p>
      <w:pPr>
        <w:spacing w:after="120"/>
        <w:jc w:val="both"/>
      </w:pPr>
      <w:r>
        <w:rPr>
          <w:rFonts w:ascii="Arial" w:cs="Arial" w:eastAsia="Arial" w:hAnsi="Arial"/>
          <w:sz w:val="24"/>
          <w:szCs w:val="24"/>
        </w:rPr>
        <w:t xml:space="preserve">- в 2014 г. - 43 млрд. сомов, удельный вес к ВВП - 12,2 %;</w:t>
      </w:r>
    </w:p>
    <w:p>
      <w:pPr>
        <w:spacing w:after="120"/>
        <w:jc w:val="both"/>
      </w:pPr>
      <w:r>
        <w:rPr>
          <w:rFonts w:ascii="Arial" w:cs="Arial" w:eastAsia="Arial" w:hAnsi="Arial"/>
          <w:sz w:val="24"/>
          <w:szCs w:val="24"/>
        </w:rPr>
        <w:t xml:space="preserve">2) рост количества активных (действующих) налогоплательщиков:</w:t>
      </w:r>
    </w:p>
    <w:p>
      <w:pPr>
        <w:spacing w:after="120"/>
        <w:jc w:val="both"/>
      </w:pPr>
      <w:r>
        <w:rPr>
          <w:rFonts w:ascii="Arial" w:cs="Arial" w:eastAsia="Arial" w:hAnsi="Arial"/>
          <w:sz w:val="24"/>
          <w:szCs w:val="24"/>
        </w:rPr>
        <w:t xml:space="preserve">- в 2012 г. - на 14,6 тыс.;</w:t>
      </w:r>
    </w:p>
    <w:p>
      <w:pPr>
        <w:spacing w:after="120"/>
        <w:jc w:val="both"/>
      </w:pPr>
      <w:r>
        <w:rPr>
          <w:rFonts w:ascii="Arial" w:cs="Arial" w:eastAsia="Arial" w:hAnsi="Arial"/>
          <w:sz w:val="24"/>
          <w:szCs w:val="24"/>
        </w:rPr>
        <w:t xml:space="preserve">- в 2013 г. - на 15 тыс.;</w:t>
      </w:r>
    </w:p>
    <w:p>
      <w:pPr>
        <w:spacing w:after="120"/>
        <w:jc w:val="both"/>
      </w:pPr>
      <w:r>
        <w:rPr>
          <w:rFonts w:ascii="Arial" w:cs="Arial" w:eastAsia="Arial" w:hAnsi="Arial"/>
          <w:sz w:val="24"/>
          <w:szCs w:val="24"/>
        </w:rPr>
        <w:t xml:space="preserve">- в 2014 г. - на 16 тыс.;</w:t>
      </w:r>
    </w:p>
    <w:p>
      <w:pPr>
        <w:spacing w:after="120"/>
        <w:jc w:val="both"/>
      </w:pPr>
      <w:r>
        <w:rPr>
          <w:rFonts w:ascii="Arial" w:cs="Arial" w:eastAsia="Arial" w:hAnsi="Arial"/>
          <w:sz w:val="24"/>
          <w:szCs w:val="24"/>
        </w:rPr>
        <w:t xml:space="preserve">3) увеличение показателя охвата налоговыми проверками, осуществляемыми на основе применения автоматизированной риск-ориентированной системы (количество проверок по системе к общему количеству проверок):</w:t>
      </w:r>
    </w:p>
    <w:p>
      <w:pPr>
        <w:spacing w:after="120"/>
        <w:jc w:val="both"/>
      </w:pPr>
      <w:r>
        <w:rPr>
          <w:rFonts w:ascii="Arial" w:cs="Arial" w:eastAsia="Arial" w:hAnsi="Arial"/>
          <w:sz w:val="24"/>
          <w:szCs w:val="24"/>
        </w:rPr>
        <w:t xml:space="preserve">- в 2012 г. - 80%;</w:t>
      </w:r>
    </w:p>
    <w:p>
      <w:pPr>
        <w:spacing w:after="120"/>
        <w:jc w:val="both"/>
      </w:pPr>
      <w:r>
        <w:rPr>
          <w:rFonts w:ascii="Arial" w:cs="Arial" w:eastAsia="Arial" w:hAnsi="Arial"/>
          <w:sz w:val="24"/>
          <w:szCs w:val="24"/>
        </w:rPr>
        <w:t xml:space="preserve">- в 2013 г. - 90%;</w:t>
      </w:r>
    </w:p>
    <w:p>
      <w:pPr>
        <w:spacing w:after="120"/>
        <w:jc w:val="both"/>
      </w:pPr>
      <w:r>
        <w:rPr>
          <w:rFonts w:ascii="Arial" w:cs="Arial" w:eastAsia="Arial" w:hAnsi="Arial"/>
          <w:sz w:val="24"/>
          <w:szCs w:val="24"/>
        </w:rPr>
        <w:t xml:space="preserve">- в 2014 г. - 100%;</w:t>
      </w:r>
    </w:p>
    <w:p>
      <w:pPr>
        <w:spacing w:after="120"/>
        <w:jc w:val="both"/>
      </w:pPr>
      <w:r>
        <w:rPr>
          <w:rFonts w:ascii="Arial" w:cs="Arial" w:eastAsia="Arial" w:hAnsi="Arial"/>
          <w:sz w:val="24"/>
          <w:szCs w:val="24"/>
        </w:rPr>
        <w:t xml:space="preserve">4) уменьшение доли недоимок в общем объеме налоговых поступлений:</w:t>
      </w:r>
    </w:p>
    <w:p>
      <w:pPr>
        <w:spacing w:after="120"/>
        <w:jc w:val="both"/>
      </w:pPr>
      <w:r>
        <w:rPr>
          <w:rFonts w:ascii="Arial" w:cs="Arial" w:eastAsia="Arial" w:hAnsi="Arial"/>
          <w:sz w:val="24"/>
          <w:szCs w:val="24"/>
        </w:rPr>
        <w:t xml:space="preserve">- к концу 2012 г. - 3,7%;</w:t>
      </w:r>
    </w:p>
    <w:p>
      <w:pPr>
        <w:spacing w:after="120"/>
        <w:jc w:val="both"/>
      </w:pPr>
      <w:r>
        <w:rPr>
          <w:rFonts w:ascii="Arial" w:cs="Arial" w:eastAsia="Arial" w:hAnsi="Arial"/>
          <w:sz w:val="24"/>
          <w:szCs w:val="24"/>
        </w:rPr>
        <w:t xml:space="preserve">- к концу 2013 г. - 3,5 %;</w:t>
      </w:r>
    </w:p>
    <w:p>
      <w:pPr>
        <w:spacing w:after="120"/>
        <w:jc w:val="both"/>
      </w:pPr>
      <w:r>
        <w:rPr>
          <w:rFonts w:ascii="Arial" w:cs="Arial" w:eastAsia="Arial" w:hAnsi="Arial"/>
          <w:sz w:val="24"/>
          <w:szCs w:val="24"/>
        </w:rPr>
        <w:t xml:space="preserve">- к концу 2014 г. - 3,3 %.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dynx_2zaz2tcebajpogw">
      <w:r>
        <w:rPr>
          <w:rFonts w:ascii="Arial" w:cs="Arial" w:eastAsia="Arial" w:hAnsi="Arial"/>
          <w:color w:val="132D3F"/>
          <w:sz w:val="16"/>
          <w:szCs w:val="16"/>
          <w:u w:val="single"/>
        </w:rPr>
        <w:t xml:space="preserve">dalil.kg/document/92968</w:t>
      </w:r>
    </w:hyperlink>
  </w:p>
  <w:p>
    <w:pPr>
      <w:spacing w:after="0" w:before="40"/>
      <w:jc w:val="center"/>
    </w:pPr>
    <w:hyperlink w:history="1" r:id="rIdtrlwof98v7c5p7x4lsqt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4tzm6rligqv1fz6rugax" Type="http://schemas.openxmlformats.org/officeDocument/2006/relationships/hyperlink" Target="https://dalil.kg/document/98690" TargetMode="External"/><Relationship Id="rIde6ujhuudeb-ksbnmbvozm" Type="http://schemas.openxmlformats.org/officeDocument/2006/relationships/hyperlink" Target="https://dalil.kg/document/9485" TargetMode="External"/><Relationship Id="rIdhtdf-dfw-adnbeyjdpjq5" Type="http://schemas.openxmlformats.org/officeDocument/2006/relationships/hyperlink" Target="https://dalil.kg/document/92968#p1" TargetMode="External"/><Relationship Id="rIdjs7tig1uhazrx241vmztn" Type="http://schemas.openxmlformats.org/officeDocument/2006/relationships/hyperlink" Target="https://dalil.kg/document/92968#p2" TargetMode="External"/><Relationship Id="rIdq55qa5v4jqpyf1zlr8ke2" Type="http://schemas.openxmlformats.org/officeDocument/2006/relationships/hyperlink" Target="https://dalil.kg/document/9485" TargetMode="External"/><Relationship Id="rIdjnhnf-likk-zm5brexeud" Type="http://schemas.openxmlformats.org/officeDocument/2006/relationships/hyperlink" Target="https://dalil.kg/document/95246" TargetMode="External"/><Relationship Id="rId1ol_vktjxy6fio2kd4bj7" Type="http://schemas.openxmlformats.org/officeDocument/2006/relationships/hyperlink" Target="https://dalil.kg/document/9485" TargetMode="External"/><Relationship Id="rIdbokgzy9nr8dr5zhbsebyz" Type="http://schemas.openxmlformats.org/officeDocument/2006/relationships/hyperlink" Target="https://dalil.kg/document/9485" TargetMode="External"/><Relationship Id="rIdsvyplneht0z6t6r0jwit6" Type="http://schemas.openxmlformats.org/officeDocument/2006/relationships/hyperlink" Target="https://dalil.kg/document/9485" TargetMode="External"/><Relationship Id="rIdtq5mxiwpwmo61laffqam-" Type="http://schemas.openxmlformats.org/officeDocument/2006/relationships/hyperlink" Target="https://dalil.kg/document/9485" TargetMode="External"/><Relationship Id="rIdxgekkjlsxyfh3pohfqvc6" Type="http://schemas.openxmlformats.org/officeDocument/2006/relationships/hyperlink" Target="https://dalil.kg/document/92968#p2"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dynx_2zaz2tcebajpogw" Type="http://schemas.openxmlformats.org/officeDocument/2006/relationships/hyperlink" Target="https://dalil.kg/document/92968" TargetMode="External"/><Relationship Id="rIdtrlwof98v7c5p7x4lsqt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2026-09-24T00:02:09.971Z</dcterms:created>
  <dcterms:modified xsi:type="dcterms:W3CDTF">2026-09-24T00:02:09.971Z</dcterms:modified>
</cp:coreProperties>
</file>

<file path=docProps/custom.xml><?xml version="1.0" encoding="utf-8"?>
<Properties xmlns="http://schemas.openxmlformats.org/officeDocument/2006/custom-properties" xmlns:vt="http://schemas.openxmlformats.org/officeDocument/2006/docPropsVTypes"/>
</file>