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kqqewhtnpnrkmsuoxpzxb">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марта 2012 года № 198</w:t>
      </w:r>
    </w:p>
    <w:p>
      <w:pPr>
        <w:spacing w:after="120"/>
        <w:jc w:val="both"/>
      </w:pPr>
      <w:r>
        <w:rPr>
          <w:rFonts w:ascii="Arial" w:cs="Arial" w:eastAsia="Arial" w:hAnsi="Arial"/>
          <w:sz w:val="24"/>
          <w:szCs w:val="24"/>
        </w:rPr>
        <w:t xml:space="preserve">О Концепции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lmnxedcrttvki55ozfjk">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решения вопросов формирования в стране целостной и эффективной системы исполнительной власти, повышения вертикальной и горизонтальной управляемости, усиления кадрового потенциала государственной и муниципальной службы, совершенствования территориального управления, определенных в </w:t>
      </w:r>
      <w:hyperlink w:history="1" r:id="rId1igdczqkabvd1c1lrtqm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Указом Президента Кыргызской Республики "О </w:t>
      </w:r>
      <w:hyperlink w:history="1" r:id="rIdiulsedqafxnink1gpjpyp">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bxtjvx1srow3qngvbftk">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w:t>
      </w:r>
      <w:hyperlink w:history="1" r:id="rIdk3anxiigp3squasvn2bh7">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административно-территориальной реформы в Кыргызской Республике (далее - Концепция) согласно приложению 1;</w:t>
      </w:r>
    </w:p>
    <w:p>
      <w:pPr>
        <w:spacing w:after="120"/>
        <w:jc w:val="both"/>
      </w:pPr>
      <w:r>
        <w:rPr>
          <w:rFonts w:ascii="Arial" w:cs="Arial" w:eastAsia="Arial" w:hAnsi="Arial"/>
          <w:sz w:val="24"/>
          <w:szCs w:val="24"/>
        </w:rPr>
        <w:t xml:space="preserve">- </w:t>
      </w:r>
      <w:hyperlink w:history="1" r:id="rIddaocudx57w6bqo0jqjcr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Координационном совете по реализации Концепции административно-территориальной реформы в Кыргызской Республике согласно приложению 2.</w:t>
      </w:r>
    </w:p>
    <w:p>
      <w:pPr>
        <w:spacing w:after="120"/>
        <w:jc w:val="both"/>
      </w:pPr>
      <w:r>
        <w:rPr>
          <w:rFonts w:ascii="Arial" w:cs="Arial" w:eastAsia="Arial" w:hAnsi="Arial"/>
          <w:sz w:val="24"/>
          <w:szCs w:val="24"/>
        </w:rPr>
        <w:t xml:space="preserve">2. Государственному агентству по делам местного самоуправления и межэтнических отношений при Правительстве Кыргызской Республики в месячный срок в установленном порядке внести на утверждение в Координационный совет по реализации Концепции административно-территориальной реформы в Кыргызской Республике проект Плана мероприятий по реализации Концепции.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wwzhbivtgiscbuuqoatl">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и ведомствам, местным государственным администрациям, иным государственным органам и органам местного самоуправления:</w:t>
      </w:r>
    </w:p>
    <w:p>
      <w:pPr>
        <w:spacing w:after="120"/>
        <w:jc w:val="both"/>
      </w:pPr>
      <w:r>
        <w:rPr>
          <w:rFonts w:ascii="Arial" w:cs="Arial" w:eastAsia="Arial" w:hAnsi="Arial"/>
          <w:sz w:val="24"/>
          <w:szCs w:val="24"/>
        </w:rPr>
        <w:t xml:space="preserve">- оказывать всемерную поддержку в реализации Концепции;</w:t>
      </w:r>
    </w:p>
    <w:p>
      <w:pPr>
        <w:spacing w:after="120"/>
        <w:jc w:val="both"/>
      </w:pPr>
      <w:r>
        <w:rPr>
          <w:rFonts w:ascii="Arial" w:cs="Arial" w:eastAsia="Arial" w:hAnsi="Arial"/>
          <w:sz w:val="24"/>
          <w:szCs w:val="24"/>
        </w:rPr>
        <w:t xml:space="preserve">- (утратил силу в соответствии с </w:t>
      </w:r>
      <w:hyperlink w:history="1" r:id="rIdyxp1_igq_ei6av-p8vw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2013 года № 581)</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_xjkwyem-hb1o0eo625a">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(Утратил силу в соответствии с </w:t>
      </w:r>
      <w:hyperlink w:history="1" r:id="rIduy0upuk1idlleygghunh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октября 2013 года № 581)</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организационно-инспекторской работы и местного самоуправления и отдел государственного управления и кадровой работы Аппарата Правительства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uoaru9jmzegsvpdhgjhj">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
 Утверждено
 </w:t>
      </w:r>
      <w:hyperlink w:history="1" r:id="rIda22rvbeataqopk7sv5x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nraf21ptdoef8nvyvsy7v">
        <w:r>
          <w:rPr>
            <w:rFonts w:ascii="Arial" w:cs="Arial" w:eastAsia="Arial" w:hAnsi="Arial"/>
            <w:color w:val="1D4ED8"/>
            <w:sz w:val="24"/>
            <w:szCs w:val="24"/>
            <w:u w:val="single"/>
          </w:rPr>
          <w:t xml:space="preserve">28 октября 2013 года № 581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в Кыргызстане проводятся реформы во многих сферах государственной и общественной жизни. В обществе заметны тенденции в новом понимании роли государства, его функций, взаимоотношений между центром и регионами. Вместе с тем, эффективная государственная власть необходима для решения неотложных социально-экономических проблем, повышения уровня и качества жизни населения. Предстоящая административно-территориальная реформа направлена, в первую очередь, на создание оптимальной системы государственного управления. Опыт показывает, что это достаточно длительная, сложная работа, требующая усилий всего общества. В то же время поспешные и непродуманные решения могут привести к значительным экономическим и социальным потерям.</w:t>
      </w:r>
    </w:p>
    <w:p>
      <w:pPr>
        <w:spacing w:after="120"/>
        <w:jc w:val="both"/>
      </w:pPr>
      <w:r>
        <w:rPr>
          <w:rFonts w:ascii="Arial" w:cs="Arial" w:eastAsia="Arial" w:hAnsi="Arial"/>
          <w:sz w:val="24"/>
          <w:szCs w:val="24"/>
        </w:rPr>
        <w:t xml:space="preserve">В республике назрела необходимость проведения административно-территориальной реформы, в том числе с учетом укрупнения территориальных единиц, выбора мест управленческих центров, доступности оказываемых государственных и муниципальных услуг населению, финансового обеспечения новых административно-территориальных единиц.</w:t>
      </w:r>
    </w:p>
    <w:p>
      <w:pPr>
        <w:spacing w:after="120"/>
        <w:jc w:val="both"/>
      </w:pPr>
      <w:r>
        <w:rPr>
          <w:rFonts w:ascii="Arial" w:cs="Arial" w:eastAsia="Arial" w:hAnsi="Arial"/>
          <w:sz w:val="24"/>
          <w:szCs w:val="24"/>
        </w:rPr>
        <w:t xml:space="preserve">Целью разработки и реализации административно-территориальной реформы является создание эффективной системы государственного и муниципального управления, направленной на усиление потенциала регионов и повышение благосостояния населения.</w:t>
      </w:r>
    </w:p>
    <w:p>
      <w:pPr>
        <w:spacing w:after="120"/>
        <w:jc w:val="both"/>
      </w:pPr>
      <w:r>
        <w:rPr>
          <w:rFonts w:ascii="Arial" w:cs="Arial" w:eastAsia="Arial" w:hAnsi="Arial"/>
          <w:sz w:val="24"/>
          <w:szCs w:val="24"/>
        </w:rPr>
        <w:t xml:space="preserve">Для достижения данной цели предусматривается решение следующих задач:</w:t>
      </w:r>
    </w:p>
    <w:p>
      <w:pPr>
        <w:spacing w:after="120"/>
        <w:jc w:val="both"/>
      </w:pPr>
      <w:r>
        <w:rPr>
          <w:rFonts w:ascii="Arial" w:cs="Arial" w:eastAsia="Arial" w:hAnsi="Arial"/>
          <w:sz w:val="24"/>
          <w:szCs w:val="24"/>
        </w:rPr>
        <w:t xml:space="preserve">- устранение дублирования в структуре государственного и муниципального управления, повышение эффективности их деятельности, сокращение бюджетных расходов;</w:t>
      </w:r>
    </w:p>
    <w:p>
      <w:pPr>
        <w:spacing w:after="120"/>
        <w:jc w:val="both"/>
      </w:pPr>
      <w:r>
        <w:rPr>
          <w:rFonts w:ascii="Arial" w:cs="Arial" w:eastAsia="Arial" w:hAnsi="Arial"/>
          <w:sz w:val="24"/>
          <w:szCs w:val="24"/>
        </w:rPr>
        <w:t xml:space="preserve">- усиление потенциала регионов, укрепление их финансовой самостоятельности;</w:t>
      </w:r>
    </w:p>
    <w:p>
      <w:pPr>
        <w:spacing w:after="120"/>
        <w:jc w:val="both"/>
      </w:pPr>
      <w:r>
        <w:rPr>
          <w:rFonts w:ascii="Arial" w:cs="Arial" w:eastAsia="Arial" w:hAnsi="Arial"/>
          <w:sz w:val="24"/>
          <w:szCs w:val="24"/>
        </w:rPr>
        <w:t xml:space="preserve">- создание доступной и эффективной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 создание условий для эффективной деятельности народных курултаев;</w:t>
      </w:r>
    </w:p>
    <w:p>
      <w:pPr>
        <w:spacing w:after="120"/>
        <w:jc w:val="both"/>
      </w:pPr>
      <w:r>
        <w:rPr>
          <w:rFonts w:ascii="Arial" w:cs="Arial" w:eastAsia="Arial" w:hAnsi="Arial"/>
          <w:sz w:val="24"/>
          <w:szCs w:val="24"/>
        </w:rPr>
        <w:t xml:space="preserve">- совершенствование кадровой политики;</w:t>
      </w:r>
    </w:p>
    <w:p>
      <w:pPr>
        <w:spacing w:after="120"/>
        <w:jc w:val="both"/>
      </w:pPr>
      <w:r>
        <w:rPr>
          <w:rFonts w:ascii="Arial" w:cs="Arial" w:eastAsia="Arial" w:hAnsi="Arial"/>
          <w:sz w:val="24"/>
          <w:szCs w:val="24"/>
        </w:rPr>
        <w:t xml:space="preserve">- гармонизация нормативной правовой базы.</w:t>
      </w:r>
    </w:p>
    <w:p>
      <w:pPr>
        <w:spacing w:after="120"/>
        <w:jc w:val="both"/>
      </w:pPr>
      <w:r>
        <w:rPr>
          <w:rFonts w:ascii="Arial" w:cs="Arial" w:eastAsia="Arial" w:hAnsi="Arial"/>
          <w:sz w:val="24"/>
          <w:szCs w:val="24"/>
        </w:rPr>
        <w:t xml:space="preserve">При реализации административно-территориальной реформы будут учитываться следующие базовые принципы:</w:t>
      </w:r>
    </w:p>
    <w:p>
      <w:pPr>
        <w:spacing w:after="120"/>
        <w:jc w:val="both"/>
      </w:pPr>
      <w:r>
        <w:rPr>
          <w:rFonts w:ascii="Arial" w:cs="Arial" w:eastAsia="Arial" w:hAnsi="Arial"/>
          <w:sz w:val="24"/>
          <w:szCs w:val="24"/>
        </w:rPr>
        <w:t xml:space="preserve">- приоритет человека и гражданина, отношение к государству как инструменту для обеспечения прав человека, безопасности, нормальной жизнедеятельности, развития человека и общества;</w:t>
      </w:r>
    </w:p>
    <w:p>
      <w:pPr>
        <w:spacing w:after="120"/>
        <w:jc w:val="both"/>
      </w:pPr>
      <w:r>
        <w:rPr>
          <w:rFonts w:ascii="Arial" w:cs="Arial" w:eastAsia="Arial" w:hAnsi="Arial"/>
          <w:sz w:val="24"/>
          <w:szCs w:val="24"/>
        </w:rPr>
        <w:t xml:space="preserve">- единство, целостность и неделимость территории государства;</w:t>
      </w:r>
    </w:p>
    <w:p>
      <w:pPr>
        <w:spacing w:after="120"/>
        <w:jc w:val="both"/>
      </w:pPr>
      <w:r>
        <w:rPr>
          <w:rFonts w:ascii="Arial" w:cs="Arial" w:eastAsia="Arial" w:hAnsi="Arial"/>
          <w:sz w:val="24"/>
          <w:szCs w:val="24"/>
        </w:rPr>
        <w:t xml:space="preserve">- соблюдение демократических подходов при организации общественной жизни и государственного управления;</w:t>
      </w:r>
    </w:p>
    <w:p>
      <w:pPr>
        <w:spacing w:after="120"/>
        <w:jc w:val="both"/>
      </w:pPr>
      <w:r>
        <w:rPr>
          <w:rFonts w:ascii="Arial" w:cs="Arial" w:eastAsia="Arial" w:hAnsi="Arial"/>
          <w:sz w:val="24"/>
          <w:szCs w:val="24"/>
        </w:rPr>
        <w:t xml:space="preserve">- экономия и эффективность;</w:t>
      </w:r>
    </w:p>
    <w:p>
      <w:pPr>
        <w:spacing w:after="120"/>
        <w:jc w:val="both"/>
      </w:pPr>
      <w:r>
        <w:rPr>
          <w:rFonts w:ascii="Arial" w:cs="Arial" w:eastAsia="Arial" w:hAnsi="Arial"/>
          <w:sz w:val="24"/>
          <w:szCs w:val="24"/>
        </w:rPr>
        <w:t xml:space="preserve">- учет социальных, демографических, исторических, культурных и экологических особенностей регионов;</w:t>
      </w:r>
    </w:p>
    <w:p>
      <w:pPr>
        <w:spacing w:after="120"/>
        <w:jc w:val="both"/>
      </w:pPr>
      <w:r>
        <w:rPr>
          <w:rFonts w:ascii="Arial" w:cs="Arial" w:eastAsia="Arial" w:hAnsi="Arial"/>
          <w:sz w:val="24"/>
          <w:szCs w:val="24"/>
        </w:rPr>
        <w:t xml:space="preserve">- открытость реформы.</w:t>
      </w:r>
    </w:p>
    <w:p>
      <w:pPr>
        <w:spacing w:after="120"/>
        <w:jc w:val="both"/>
      </w:pPr>
      <w:r>
        <w:rPr>
          <w:rFonts w:ascii="Arial" w:cs="Arial" w:eastAsia="Arial" w:hAnsi="Arial"/>
          <w:sz w:val="24"/>
          <w:szCs w:val="24"/>
        </w:rPr>
        <w:t xml:space="preserve">II. Анализ существующей административно-территориальной системы</w:t>
      </w:r>
    </w:p>
    <w:p>
      <w:pPr>
        <w:spacing w:after="120"/>
        <w:jc w:val="both"/>
      </w:pPr>
      <w:r>
        <w:rPr>
          <w:rFonts w:ascii="Arial" w:cs="Arial" w:eastAsia="Arial" w:hAnsi="Arial"/>
          <w:sz w:val="24"/>
          <w:szCs w:val="24"/>
        </w:rPr>
        <w:t xml:space="preserve">Административно-территориальное устройство, территориальная организация власти играют важную роль в решении задач социально-экономического, политического, культурного развития страны, предоставления качественных государственных и муниципальных услуг населению и многих других проблем организации жизнедеятельности общества.</w:t>
      </w:r>
    </w:p>
    <w:p>
      <w:pPr>
        <w:spacing w:after="120"/>
        <w:jc w:val="both"/>
      </w:pPr>
      <w:r>
        <w:rPr>
          <w:rFonts w:ascii="Arial" w:cs="Arial" w:eastAsia="Arial" w:hAnsi="Arial"/>
          <w:sz w:val="24"/>
          <w:szCs w:val="24"/>
        </w:rPr>
        <w:t xml:space="preserve">В Кыргызстане административно-территориальное устройство складывалась в процессе исторического развития государства с учетом интересов населения в тот или иной период. Проведение административно-территориальных реформ в стране имеет длительную историю, со времени вхождения в состав Российской империи - и в дальнейшем - одной из республик Советского Союза.</w:t>
      </w:r>
    </w:p>
    <w:p>
      <w:pPr>
        <w:spacing w:after="120"/>
        <w:jc w:val="both"/>
      </w:pPr>
      <w:r>
        <w:rPr>
          <w:rFonts w:ascii="Arial" w:cs="Arial" w:eastAsia="Arial" w:hAnsi="Arial"/>
          <w:sz w:val="24"/>
          <w:szCs w:val="24"/>
        </w:rPr>
        <w:t xml:space="preserve">За годы независимости в Кыргызстане предпринимались попытки кардинального реформирования административно-территориальной системы страны в середине 90-х годов прошлого столетия и в 2007-2011 годы.</w:t>
      </w:r>
    </w:p>
    <w:p>
      <w:pPr>
        <w:spacing w:after="120"/>
        <w:jc w:val="both"/>
      </w:pPr>
      <w:r>
        <w:rPr>
          <w:rFonts w:ascii="Arial" w:cs="Arial" w:eastAsia="Arial" w:hAnsi="Arial"/>
          <w:sz w:val="24"/>
          <w:szCs w:val="24"/>
        </w:rPr>
        <w:t xml:space="preserve">Фактически процесс реформирования административно-территориального устройства носил перманентный характер в виде частичных изменений на тех или иных уровнях управления, проведения территориальных реорганизаций.</w:t>
      </w:r>
    </w:p>
    <w:p>
      <w:pPr>
        <w:spacing w:after="120"/>
        <w:jc w:val="both"/>
      </w:pPr>
      <w:r>
        <w:rPr>
          <w:rFonts w:ascii="Arial" w:cs="Arial" w:eastAsia="Arial" w:hAnsi="Arial"/>
          <w:sz w:val="24"/>
          <w:szCs w:val="24"/>
        </w:rPr>
        <w:t xml:space="preserve">К наиболее значимой попытке проведения административно-территориальной реформы последнего времени следует отнести принятие </w:t>
      </w:r>
      <w:hyperlink w:history="1" r:id="rIdcyytawsluaxu1xjevl6h1">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концептуальных подходах к реорганизации системы административно-территориального устройства в Кыргызской Республике" от 4 июля 2007 года № 333.</w:t>
      </w:r>
    </w:p>
    <w:p>
      <w:pPr>
        <w:spacing w:after="120"/>
        <w:jc w:val="both"/>
      </w:pPr>
      <w:r>
        <w:rPr>
          <w:rFonts w:ascii="Arial" w:cs="Arial" w:eastAsia="Arial" w:hAnsi="Arial"/>
          <w:sz w:val="24"/>
          <w:szCs w:val="24"/>
        </w:rPr>
        <w:t xml:space="preserve">Причиной издания данного </w:t>
      </w:r>
      <w:hyperlink w:history="1" r:id="rIdt62hmqlznmxydlrrulhhl">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послужила нелогичность существующего административно-территориального деления страны. Так, например, Кара-Суйский район Ошской области по численности населения превышает соответственно численность населения Таласской и Нарынской областей. В то же время имеются районы, население которых не превышает двадцати тысяч человек, что намного меньше, чем в ряде сел. Еще одной причиной реформирования стало наличие на разных уровнях управления значительного штата государственных чиновников, дублирующих функции друг друга.</w:t>
      </w:r>
    </w:p>
    <w:p>
      <w:pPr>
        <w:spacing w:after="120"/>
        <w:jc w:val="both"/>
      </w:pPr>
      <w:r>
        <w:rPr>
          <w:rFonts w:ascii="Arial" w:cs="Arial" w:eastAsia="Arial" w:hAnsi="Arial"/>
          <w:sz w:val="24"/>
          <w:szCs w:val="24"/>
        </w:rPr>
        <w:t xml:space="preserve">Предложенная </w:t>
      </w:r>
      <w:hyperlink w:history="1" r:id="rIduuxlqjv1uftbzj5ux-o1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административно-территориальная реформа включала 3 этапа. На первом этапе (2007-2008 годы) реформы были ликвидированы многие областные структуры управления, но затем отдельные из них трансформировались в межрегиональные структуры управления, а некоторые из них были восстановлены.</w:t>
      </w:r>
    </w:p>
    <w:p>
      <w:pPr>
        <w:spacing w:after="120"/>
        <w:jc w:val="both"/>
      </w:pPr>
      <w:r>
        <w:rPr>
          <w:rFonts w:ascii="Arial" w:cs="Arial" w:eastAsia="Arial" w:hAnsi="Arial"/>
          <w:sz w:val="24"/>
          <w:szCs w:val="24"/>
        </w:rPr>
        <w:t xml:space="preserve">Второй этап реформы (2009-2010 годы) должен был стать логическим продолжением первого этапа и на основе структурного анализа выполняемых функций органами государственного управления и местного самоуправления позволить вплотную подойти к укрупнению административно-территориальных единиц, посредством объединения отдельных районов и айылных аймаков. Фактически укрупнение коснулось только ряда айылных аймаков, вошедших в состав городов республиканского и областного значения.</w:t>
      </w:r>
    </w:p>
    <w:p>
      <w:pPr>
        <w:spacing w:after="120"/>
        <w:jc w:val="both"/>
      </w:pPr>
      <w:r>
        <w:rPr>
          <w:rFonts w:ascii="Arial" w:cs="Arial" w:eastAsia="Arial" w:hAnsi="Arial"/>
          <w:sz w:val="24"/>
          <w:szCs w:val="24"/>
        </w:rPr>
        <w:t xml:space="preserve">На третьем этапе реформы (2010-2011 годы) должны были быть развернуты процессы совершенствования административно-территориального устройства Кыргызской Республики с переходом от четырехуровневой системы управления к трехуровневой на основе перераспределения задач и функций.</w:t>
      </w:r>
    </w:p>
    <w:p>
      <w:pPr>
        <w:spacing w:after="120"/>
        <w:jc w:val="both"/>
      </w:pPr>
      <w:r>
        <w:rPr>
          <w:rFonts w:ascii="Arial" w:cs="Arial" w:eastAsia="Arial" w:hAnsi="Arial"/>
          <w:sz w:val="24"/>
          <w:szCs w:val="24"/>
        </w:rPr>
        <w:t xml:space="preserve">Однако данный </w:t>
      </w:r>
      <w:hyperlink w:history="1" r:id="rId9hmryxg5jf9j3urcviiz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не был реализован в полной мере, и в январе 2010 года был признан утратившим силу. В результате несистемных и не доведенных до завершения изменений не был решен ряд проблем, что послужило основанием для возобновления проведения реформы административно-территориального устройства республики.</w:t>
      </w:r>
    </w:p>
    <w:p>
      <w:pPr>
        <w:spacing w:after="120"/>
        <w:jc w:val="both"/>
      </w:pPr>
      <w:r>
        <w:rPr>
          <w:rFonts w:ascii="Arial" w:cs="Arial" w:eastAsia="Arial" w:hAnsi="Arial"/>
          <w:sz w:val="24"/>
          <w:szCs w:val="24"/>
        </w:rPr>
        <w:t xml:space="preserve">Определенные результаты по повышению эффективности государственного управления достигнуты на этапе реализации отдельных мероприятий Концепции административно-территориальной реформы в Кыргызской Республике, утвержденной </w:t>
      </w:r>
      <w:hyperlink w:history="1" r:id="rId6sxs2h-vzmzawseunrgo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марта 2012 года № 198, проведенных в 2012 году и за текущий период времени 2013 года:</w:t>
      </w:r>
    </w:p>
    <w:p>
      <w:pPr>
        <w:spacing w:after="120"/>
        <w:jc w:val="both"/>
      </w:pPr>
      <w:r>
        <w:rPr>
          <w:rFonts w:ascii="Arial" w:cs="Arial" w:eastAsia="Arial" w:hAnsi="Arial"/>
          <w:sz w:val="24"/>
          <w:szCs w:val="24"/>
        </w:rPr>
        <w:t xml:space="preserve">- образованы институты полномочных представителей Правительства Кыргызской Республики в областях с соответствующими аппаратами на базе государственных администраций областей;</w:t>
      </w:r>
    </w:p>
    <w:p>
      <w:pPr>
        <w:spacing w:after="120"/>
        <w:jc w:val="both"/>
      </w:pPr>
      <w:r>
        <w:rPr>
          <w:rFonts w:ascii="Arial" w:cs="Arial" w:eastAsia="Arial" w:hAnsi="Arial"/>
          <w:sz w:val="24"/>
          <w:szCs w:val="24"/>
        </w:rPr>
        <w:t xml:space="preserve">- преобразованы девятнадцать поселков городского типа, из них шесть - в города, тринадцать - в айылные аймаки;</w:t>
      </w:r>
    </w:p>
    <w:p>
      <w:pPr>
        <w:spacing w:after="120"/>
        <w:jc w:val="both"/>
      </w:pPr>
      <w:r>
        <w:rPr>
          <w:rFonts w:ascii="Arial" w:cs="Arial" w:eastAsia="Arial" w:hAnsi="Arial"/>
          <w:sz w:val="24"/>
          <w:szCs w:val="24"/>
        </w:rPr>
        <w:t xml:space="preserve">- с целью привлечения и удержания на государственной и муниципальной службе компетентных и квалифицированных специалистов с августа 2013 года в два и более раза повышена заработная плата государственных и муниципальных служащих местных государственных администраций и органов местного самоуправления. С октября 2013 года предусмотрено повышение заработной платы государственных служащих государственных органов управления с относительно низким уровнем оплаты труда;</w:t>
      </w:r>
    </w:p>
    <w:p>
      <w:pPr>
        <w:spacing w:after="120"/>
        <w:jc w:val="both"/>
      </w:pPr>
      <w:r>
        <w:rPr>
          <w:rFonts w:ascii="Arial" w:cs="Arial" w:eastAsia="Arial" w:hAnsi="Arial"/>
          <w:sz w:val="24"/>
          <w:szCs w:val="24"/>
        </w:rPr>
        <w:t xml:space="preserve">- в рамках оптимизации сферы предоставления государственных услуг сформирован и утвержден </w:t>
      </w:r>
      <w:hyperlink w:history="1" r:id="rId786d5thfbxlba0kuizt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 Единый реестр государственных услуг и </w:t>
      </w:r>
      <w:hyperlink w:history="1" r:id="rIdm9svbzh3tzdcebzhotug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сентября 2012 года № 603 Типовой стандарт государственных услуг, на основе которого разрабатываются стандарты качества предоставления государственных услуг. Проводится работа по формированию базового реестра муниципальных услуг и разработки проекта Типового стандарта муниципальных услуг.</w:t>
      </w:r>
    </w:p>
    <w:p>
      <w:pPr>
        <w:spacing w:after="120"/>
        <w:jc w:val="both"/>
      </w:pPr>
      <w:r>
        <w:rPr>
          <w:rFonts w:ascii="Arial" w:cs="Arial" w:eastAsia="Arial" w:hAnsi="Arial"/>
          <w:sz w:val="24"/>
          <w:szCs w:val="24"/>
        </w:rPr>
        <w:t xml:space="preserve">Вместе с тем, проведенный анализ эффективности деятельности местных органов власти и управления выявил ряд системных проблем в организации работы на местах и эффективного исполнения государственных программ. В частности:</w:t>
      </w:r>
    </w:p>
    <w:p>
      <w:pPr>
        <w:spacing w:after="120"/>
        <w:jc w:val="both"/>
      </w:pPr>
      <w:r>
        <w:rPr>
          <w:rFonts w:ascii="Arial" w:cs="Arial" w:eastAsia="Arial" w:hAnsi="Arial"/>
          <w:sz w:val="24"/>
          <w:szCs w:val="24"/>
        </w:rPr>
        <w:t xml:space="preserve">- концентрация функций и полномочий органов управления исполнительной власти - либо исключительно в Правительстве Кыргызской Республики и центральных государственных органах, либо на низовом уровне - в органах местного самоуправления, где, как правило, вследствие ограниченных возможностей не решается на должном уровне множество вопросов жизнедеятельности населения и территорий;</w:t>
      </w:r>
    </w:p>
    <w:p>
      <w:pPr>
        <w:spacing w:after="120"/>
        <w:jc w:val="both"/>
      </w:pPr>
      <w:r>
        <w:rPr>
          <w:rFonts w:ascii="Arial" w:cs="Arial" w:eastAsia="Arial" w:hAnsi="Arial"/>
          <w:sz w:val="24"/>
          <w:szCs w:val="24"/>
        </w:rPr>
        <w:t xml:space="preserve">- смешение функций политики и хозяйствования, когда отдельные государственные органы не реализуют в полной мере функции разработки политики, стратегического видения в соответствующих отраслях, вследствие преимущественного исполнения хозяйствующих функций, что не всегда оправданно и свойственно их функциональной принадлежности;</w:t>
      </w:r>
    </w:p>
    <w:p>
      <w:pPr>
        <w:spacing w:after="120"/>
        <w:jc w:val="both"/>
      </w:pPr>
      <w:r>
        <w:rPr>
          <w:rFonts w:ascii="Arial" w:cs="Arial" w:eastAsia="Arial" w:hAnsi="Arial"/>
          <w:sz w:val="24"/>
          <w:szCs w:val="24"/>
        </w:rPr>
        <w:t xml:space="preserve">- слабость местных государственных администраций в координации осуществления исполнительной государственной власти и сопровождения реализации на местах стратегических инициатив Президента Кыргызской Республики, Жогорку Кенеша Кыргызской Республики и Правительства Кыргызской Республики в решении комплексных вопросов социально-экономического развития территорий из-за функциональной и ресурсной ограниченности;</w:t>
      </w:r>
    </w:p>
    <w:p>
      <w:pPr>
        <w:spacing w:after="120"/>
        <w:jc w:val="both"/>
      </w:pPr>
      <w:r>
        <w:rPr>
          <w:rFonts w:ascii="Arial" w:cs="Arial" w:eastAsia="Arial" w:hAnsi="Arial"/>
          <w:sz w:val="24"/>
          <w:szCs w:val="24"/>
        </w:rPr>
        <w:t xml:space="preserve">- низкая ответственность местных органов власти, в том числе органов местного самоуправления, за решение исключительно местных проблем, вследствие чего эти вопросы адресуются вышестоящим уровням управления;</w:t>
      </w:r>
    </w:p>
    <w:p>
      <w:pPr>
        <w:spacing w:after="120"/>
        <w:jc w:val="both"/>
      </w:pPr>
      <w:r>
        <w:rPr>
          <w:rFonts w:ascii="Arial" w:cs="Arial" w:eastAsia="Arial" w:hAnsi="Arial"/>
          <w:sz w:val="24"/>
          <w:szCs w:val="24"/>
        </w:rPr>
        <w:t xml:space="preserve">- слабость организации и ведения системной кадровой работы в органах местного самоуправления и государственных органах на местах по формированию и обеспечению дальнейшего эффективного развития кадрового потенциала, отвечающего современным требованиям.</w:t>
      </w:r>
    </w:p>
    <w:p>
      <w:pPr>
        <w:spacing w:after="120"/>
        <w:jc w:val="both"/>
      </w:pPr>
      <w:r>
        <w:rPr>
          <w:rFonts w:ascii="Arial" w:cs="Arial" w:eastAsia="Arial" w:hAnsi="Arial"/>
          <w:sz w:val="24"/>
          <w:szCs w:val="24"/>
        </w:rPr>
        <w:t xml:space="preserve">Остается проблемой отсутствие единой, доступной и качественной системы оказания государственных услуг населению. Получение государственных услуг для населения стало затруднительным из-за бюрократизма и длительности сроков. Не выработана система мотивации государственных служащих, поэтому сохраняется высокий уровень коррупции.</w:t>
      </w:r>
    </w:p>
    <w:p>
      <w:pPr>
        <w:spacing w:after="120"/>
        <w:jc w:val="both"/>
      </w:pPr>
      <w:r>
        <w:rPr>
          <w:rFonts w:ascii="Arial" w:cs="Arial" w:eastAsia="Arial" w:hAnsi="Arial"/>
          <w:sz w:val="24"/>
          <w:szCs w:val="24"/>
        </w:rPr>
        <w:t xml:space="preserve">В числе важных вопросов местного развития остается функциональная и ресурсная слабость органов местного самоуправления как по выполнению вопросов местного значения, так и делегированных государственных полномочий.</w:t>
      </w:r>
    </w:p>
    <w:p>
      <w:pPr>
        <w:spacing w:after="120"/>
        <w:jc w:val="both"/>
      </w:pPr>
      <w:r>
        <w:rPr>
          <w:rFonts w:ascii="Arial" w:cs="Arial" w:eastAsia="Arial" w:hAnsi="Arial"/>
          <w:sz w:val="24"/>
          <w:szCs w:val="24"/>
        </w:rPr>
        <w:t xml:space="preserve">Таким образом, существующая система административно-территориального устройства не в полной мере соответствует новым отношениям, складывающимся в стране и обществе, не отвечает задачам налаживания эффективной системы управления, призванной обеспечить достойную жизнь населения и эффективное развитие территорий.</w:t>
      </w:r>
    </w:p>
    <w:p>
      <w:pPr>
        <w:spacing w:after="120"/>
        <w:jc w:val="both"/>
      </w:pPr>
      <w:r>
        <w:rPr>
          <w:rFonts w:ascii="Arial" w:cs="Arial" w:eastAsia="Arial" w:hAnsi="Arial"/>
          <w:sz w:val="24"/>
          <w:szCs w:val="24"/>
        </w:rPr>
        <w:t xml:space="preserve">Необходимо синхронизировать проведение административной, административно-территориальной реформ с вопросами оптимизации кадровой политики в сфере государственной и муниципальной службы в целях обеспечения последовательности действий по переходу к модели организации управления на территории страны, отвечающей целям ее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Основные направления административно-территориальной реформы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административное устройство страны включает 4 уровня управления: центральный, областной, районный и муниципальный (города и села).</w:t>
      </w:r>
    </w:p>
    <w:p>
      <w:pPr>
        <w:spacing w:after="120"/>
        <w:jc w:val="both"/>
      </w:pPr>
      <w:r>
        <w:rPr>
          <w:rFonts w:ascii="Arial" w:cs="Arial" w:eastAsia="Arial" w:hAnsi="Arial"/>
          <w:sz w:val="24"/>
          <w:szCs w:val="24"/>
        </w:rPr>
        <w:t xml:space="preserve">Предлагаемая модель административно-территориального устройства предполагает укрупнение отдельных административно-территориальных единиц и совершенствование деятельности государственных и муниципальных органов управления.</w:t>
      </w:r>
    </w:p>
    <w:p>
      <w:pPr>
        <w:spacing w:after="120"/>
        <w:jc w:val="both"/>
      </w:pPr>
      <w:r>
        <w:rPr>
          <w:rFonts w:ascii="Arial" w:cs="Arial" w:eastAsia="Arial" w:hAnsi="Arial"/>
          <w:sz w:val="24"/>
          <w:szCs w:val="24"/>
        </w:rPr>
        <w:t xml:space="preserve">Проведение реформы административно-территориального устройства следует неразрывно связывать с реализацией административной реформы, оптимизацией управления и перераспределением функций и полномочий между субъектами управления. Вопросы территориальной оптимизации как по рационализации территориального устройства и уровней управления страны, так и по укрупнению первичных территорий должны способствовать функциональной и ресурсной сбалансированности.</w:t>
      </w:r>
    </w:p>
    <w:p>
      <w:pPr>
        <w:spacing w:after="120"/>
        <w:jc w:val="both"/>
      </w:pPr>
      <w:r>
        <w:rPr>
          <w:rFonts w:ascii="Arial" w:cs="Arial" w:eastAsia="Arial" w:hAnsi="Arial"/>
          <w:sz w:val="24"/>
          <w:szCs w:val="24"/>
        </w:rPr>
        <w:t xml:space="preserve">В результате необходимо получить компактную, эффективно организованную устойчивую систему территориального управления с соответствующим объемом компетенции и с достаточным ресурсным обеспечением.</w:t>
      </w:r>
    </w:p>
    <w:p>
      <w:pPr>
        <w:spacing w:after="120"/>
        <w:jc w:val="both"/>
      </w:pPr>
      <w:r>
        <w:rPr>
          <w:rFonts w:ascii="Arial" w:cs="Arial" w:eastAsia="Arial" w:hAnsi="Arial"/>
          <w:sz w:val="24"/>
          <w:szCs w:val="24"/>
        </w:rPr>
        <w:t xml:space="preserve">Внедрение новой модели административно-территориального устройства требует последовательной реализации поэтапных шагов, направленной на внесение новых качественных изменений в систему управления, без допущения дисбаланса управляемости.</w:t>
      </w:r>
    </w:p>
    <w:p>
      <w:pPr>
        <w:spacing w:after="120"/>
        <w:jc w:val="both"/>
      </w:pPr>
      <w:r>
        <w:rPr>
          <w:rFonts w:ascii="Arial" w:cs="Arial" w:eastAsia="Arial" w:hAnsi="Arial"/>
          <w:sz w:val="24"/>
          <w:szCs w:val="24"/>
        </w:rPr>
        <w:t xml:space="preserve">В этой связи предстоит последовательно реализовать следующие поэтапные направления реформ.</w:t>
      </w:r>
    </w:p>
    <w:p>
      <w:pPr>
        <w:spacing w:after="120"/>
        <w:jc w:val="both"/>
      </w:pPr>
      <w:r>
        <w:rPr>
          <w:rFonts w:ascii="Arial" w:cs="Arial" w:eastAsia="Arial" w:hAnsi="Arial"/>
          <w:sz w:val="24"/>
          <w:szCs w:val="24"/>
        </w:rPr>
        <w:t xml:space="preserve">1. Первый этап (2013-2014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повышение ответственности и оптимизация функций на территориальных уровнях управления;</w:t>
      </w:r>
    </w:p>
    <w:p>
      <w:pPr>
        <w:spacing w:after="120"/>
        <w:jc w:val="both"/>
      </w:pPr>
      <w:r>
        <w:rPr>
          <w:rFonts w:ascii="Arial" w:cs="Arial" w:eastAsia="Arial" w:hAnsi="Arial"/>
          <w:sz w:val="24"/>
          <w:szCs w:val="24"/>
        </w:rPr>
        <w:t xml:space="preserve">- финансовая децентрализация;</w:t>
      </w:r>
    </w:p>
    <w:p>
      <w:pPr>
        <w:spacing w:after="120"/>
        <w:jc w:val="both"/>
      </w:pPr>
      <w:r>
        <w:rPr>
          <w:rFonts w:ascii="Arial" w:cs="Arial" w:eastAsia="Arial" w:hAnsi="Arial"/>
          <w:sz w:val="24"/>
          <w:szCs w:val="24"/>
        </w:rPr>
        <w:t xml:space="preserve">-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 обеспечение доступности государственных и муниципальных услуг;</w:t>
      </w:r>
    </w:p>
    <w:p>
      <w:pPr>
        <w:spacing w:after="120"/>
        <w:jc w:val="both"/>
      </w:pPr>
      <w:r>
        <w:rPr>
          <w:rFonts w:ascii="Arial" w:cs="Arial" w:eastAsia="Arial" w:hAnsi="Arial"/>
          <w:sz w:val="24"/>
          <w:szCs w:val="24"/>
        </w:rPr>
        <w:t xml:space="preserve">- создание устойчивой системы повышения кадрового потенциала.</w:t>
      </w:r>
    </w:p>
    <w:p>
      <w:pPr>
        <w:spacing w:after="120"/>
        <w:jc w:val="both"/>
      </w:pPr>
      <w:r>
        <w:rPr>
          <w:rFonts w:ascii="Arial" w:cs="Arial" w:eastAsia="Arial" w:hAnsi="Arial"/>
          <w:sz w:val="24"/>
          <w:szCs w:val="24"/>
        </w:rPr>
        <w:t xml:space="preserve">1.1. Повышение ответственности и оптимизация функций на уровнях управления</w:t>
      </w:r>
    </w:p>
    <w:p>
      <w:pPr>
        <w:spacing w:after="120"/>
        <w:jc w:val="both"/>
      </w:pPr>
      <w:r>
        <w:rPr>
          <w:rFonts w:ascii="Arial" w:cs="Arial" w:eastAsia="Arial" w:hAnsi="Arial"/>
          <w:sz w:val="24"/>
          <w:szCs w:val="24"/>
        </w:rPr>
        <w:t xml:space="preserve">Процессы функциональной и структурной оптимизации должны быть направлены на обеспечение единства вертикальных и горизонтальных связей и целостности системы управления, достижения структурной и функциональной стабильности системы исполнительной власти на долгосрочный период.</w:t>
      </w:r>
    </w:p>
    <w:p>
      <w:pPr>
        <w:spacing w:after="120"/>
        <w:jc w:val="both"/>
      </w:pPr>
      <w:r>
        <w:rPr>
          <w:rFonts w:ascii="Arial" w:cs="Arial" w:eastAsia="Arial" w:hAnsi="Arial"/>
          <w:sz w:val="24"/>
          <w:szCs w:val="24"/>
        </w:rPr>
        <w:t xml:space="preserve">Необходимо продолжить работу по разграничению функций и определению четких сфер ответственности на каждом уровне управления, по принципу исключения дублирования в их деятельности. Это будет достигнуто за счет типизации функций по видам государственных органов, с приоритетом отделения функций хозяйствования от политики. Для каждого уровня управления должен быть предусмотрен собственный объем компетенции и ответственности, исключающий принятие нескольких решений по одному и тому же вопросу.</w:t>
      </w:r>
    </w:p>
    <w:p>
      <w:pPr>
        <w:spacing w:after="120"/>
        <w:jc w:val="both"/>
      </w:pPr>
      <w:r>
        <w:rPr>
          <w:rFonts w:ascii="Arial" w:cs="Arial" w:eastAsia="Arial" w:hAnsi="Arial"/>
          <w:sz w:val="24"/>
          <w:szCs w:val="24"/>
        </w:rPr>
        <w:t xml:space="preserve">Следует разграничить функции и полномочия между центральными и территориальными органами управления, преимущественно сосредоточив функции хозяйствования и исполнения на районном уровне управления, где следует также усилить функции координации и мониторинга реализации стратегических инициатив.</w:t>
      </w:r>
    </w:p>
    <w:p>
      <w:pPr>
        <w:spacing w:after="120"/>
        <w:jc w:val="both"/>
      </w:pPr>
      <w:r>
        <w:rPr>
          <w:rFonts w:ascii="Arial" w:cs="Arial" w:eastAsia="Arial" w:hAnsi="Arial"/>
          <w:sz w:val="24"/>
          <w:szCs w:val="24"/>
        </w:rPr>
        <w:t xml:space="preserve">Предстоит конкретизировать и рационально распределить функции между государственными органами и органами местного самоуправления, особенно в вопросах разграничения ответственности между районными и муниципальными структурами управления. Необходимо на практике добиться запрета на вмешательство в собственные (исключительные) полномочия местного самоуправления и детально прописать процедуры осуществления государственного административного контроля за исполнением законодательства и делегированных государственных функций органами местного самоуправления на соответствующей территории.</w:t>
      </w:r>
    </w:p>
    <w:p>
      <w:pPr>
        <w:spacing w:after="120"/>
        <w:jc w:val="both"/>
      </w:pPr>
      <w:r>
        <w:rPr>
          <w:rFonts w:ascii="Arial" w:cs="Arial" w:eastAsia="Arial" w:hAnsi="Arial"/>
          <w:sz w:val="24"/>
          <w:szCs w:val="24"/>
        </w:rPr>
        <w:t xml:space="preserve">Политика децентрализации и деконцентрации функций и ответственности как внутри системы исполнительной власти, так и на уровень местного самоуправления должна быть рациональна сбалансированной с одновременной финансово-ресурсной обеспеченностью реализации этих мер.</w:t>
      </w:r>
    </w:p>
    <w:p>
      <w:pPr>
        <w:spacing w:after="120"/>
        <w:jc w:val="both"/>
      </w:pPr>
      <w:r>
        <w:rPr>
          <w:rFonts w:ascii="Arial" w:cs="Arial" w:eastAsia="Arial" w:hAnsi="Arial"/>
          <w:sz w:val="24"/>
          <w:szCs w:val="24"/>
        </w:rPr>
        <w:t xml:space="preserve">1.2. Финансовая децентрализация</w:t>
      </w:r>
    </w:p>
    <w:p>
      <w:pPr>
        <w:spacing w:after="120"/>
        <w:jc w:val="both"/>
      </w:pPr>
      <w:r>
        <w:rPr>
          <w:rFonts w:ascii="Arial" w:cs="Arial" w:eastAsia="Arial" w:hAnsi="Arial"/>
          <w:sz w:val="24"/>
          <w:szCs w:val="24"/>
        </w:rPr>
        <w:t xml:space="preserve">Полноценное развитие и эффективное выполнение задач на территории требует разграничения финансовых полномочий между органами управления и создание механизма их финансового обеспечения. Необходимо осуществить децентрализацию и деконцентрацию бюджетных и иных средств с передачей соответствующих полномочий на те уровни управления, где будет обеспечена их максимально эффективная реализация и создана адекватная доходная и расходная база.</w:t>
      </w:r>
    </w:p>
    <w:p>
      <w:pPr>
        <w:spacing w:after="120"/>
        <w:jc w:val="both"/>
      </w:pPr>
      <w:r>
        <w:rPr>
          <w:rFonts w:ascii="Arial" w:cs="Arial" w:eastAsia="Arial" w:hAnsi="Arial"/>
          <w:sz w:val="24"/>
          <w:szCs w:val="24"/>
        </w:rPr>
        <w:t xml:space="preserve">Местные органы власти, особенно первичного (муниципального) и районного уровня, должны обеспечивать взятые на себя обязательства самостоятельно и иметь для этого закрепленные за ними бюджетные и иные источники.</w:t>
      </w:r>
    </w:p>
    <w:p>
      <w:pPr>
        <w:spacing w:after="120"/>
        <w:jc w:val="both"/>
      </w:pPr>
      <w:r>
        <w:rPr>
          <w:rFonts w:ascii="Arial" w:cs="Arial" w:eastAsia="Arial" w:hAnsi="Arial"/>
          <w:sz w:val="24"/>
          <w:szCs w:val="24"/>
        </w:rPr>
        <w:t xml:space="preserve">Территориальные государственные органы районного уровня должны быть ответственны за проведение бюджетных и программных инициатив Правительства Кыргызской Республики. Необходимо нормативно закрепить требования к взаимодействию государственных органов с органами местного самоуправления по вопросам формирования и исполнения местных бюджетов.</w:t>
      </w:r>
    </w:p>
    <w:p>
      <w:pPr>
        <w:spacing w:after="120"/>
        <w:jc w:val="both"/>
      </w:pPr>
      <w:r>
        <w:rPr>
          <w:rFonts w:ascii="Arial" w:cs="Arial" w:eastAsia="Arial" w:hAnsi="Arial"/>
          <w:sz w:val="24"/>
          <w:szCs w:val="24"/>
        </w:rPr>
        <w:t xml:space="preserve">Необходимо завершить передачу администрирования отдельных видов налогов и сборов, поступающих в местный бюджет, проводить политику увеличения доходной базы регионов за счет улучшения налогового администрирования, обеспечения полноты прогнозирования и сборов местных налогов, расширения видов сборов на местах, с внесением соответствующих изменений в законодательство республики. Подготовить механизмы обеспечения самостоятельности местных органов власти по взиманию административных штрафов, с внесением изменений в нормативные правовые акты.</w:t>
      </w:r>
    </w:p>
    <w:p>
      <w:pPr>
        <w:spacing w:after="120"/>
        <w:jc w:val="both"/>
      </w:pPr>
      <w:r>
        <w:rPr>
          <w:rFonts w:ascii="Arial" w:cs="Arial" w:eastAsia="Arial" w:hAnsi="Arial"/>
          <w:sz w:val="24"/>
          <w:szCs w:val="24"/>
        </w:rPr>
        <w:t xml:space="preserve">Основой финансовой децентрализации должно стать определение финансово-бюджетной самостоятельности местных органов власти и управления с правом получать собственные доходы и определять направления их расходования, в целях повышения их ответственности в формировании и эффективном использовании бюджетных средств. Следует перестроить трансфертную политику в сторону предоставления большей ответственности и прав местным органам власти. Государственные трансферты должны быть ориентированы на социально-экономическое и стратегическое развитие территорий.</w:t>
      </w:r>
    </w:p>
    <w:p>
      <w:pPr>
        <w:spacing w:after="120"/>
        <w:jc w:val="both"/>
      </w:pPr>
      <w:r>
        <w:rPr>
          <w:rFonts w:ascii="Arial" w:cs="Arial" w:eastAsia="Arial" w:hAnsi="Arial"/>
          <w:sz w:val="24"/>
          <w:szCs w:val="24"/>
        </w:rPr>
        <w:t xml:space="preserve">Система планирования бюджета должна быть ориентирована на среднесрочный период (3 года), а его формирование практиковать в программном формате, направленном на достижение результата и стратегическое развитие территории.</w:t>
      </w:r>
    </w:p>
    <w:p>
      <w:pPr>
        <w:spacing w:after="120"/>
        <w:jc w:val="both"/>
      </w:pPr>
      <w:r>
        <w:rPr>
          <w:rFonts w:ascii="Arial" w:cs="Arial" w:eastAsia="Arial" w:hAnsi="Arial"/>
          <w:sz w:val="24"/>
          <w:szCs w:val="24"/>
        </w:rPr>
        <w:t xml:space="preserve">Предстоит обеспечить разработку и реализацию долгосрочных региональных планов развития, которые являются для инвесторов ориентиром в отношении развития различных отраслей, сфер деятельности и инфраструктуры на определенной территории.</w:t>
      </w:r>
    </w:p>
    <w:p>
      <w:pPr>
        <w:spacing w:after="120"/>
        <w:jc w:val="both"/>
      </w:pPr>
      <w:r>
        <w:rPr>
          <w:rFonts w:ascii="Arial" w:cs="Arial" w:eastAsia="Arial" w:hAnsi="Arial"/>
          <w:sz w:val="24"/>
          <w:szCs w:val="24"/>
        </w:rPr>
        <w:t xml:space="preserve">1.3. Совершенствование оценки и мониторинга реализации государственных программ и эффективности управления</w:t>
      </w:r>
    </w:p>
    <w:p>
      <w:pPr>
        <w:spacing w:after="120"/>
        <w:jc w:val="both"/>
      </w:pPr>
      <w:r>
        <w:rPr>
          <w:rFonts w:ascii="Arial" w:cs="Arial" w:eastAsia="Arial" w:hAnsi="Arial"/>
          <w:sz w:val="24"/>
          <w:szCs w:val="24"/>
        </w:rPr>
        <w:t xml:space="preserve">Предстоит создать систему оценки и мониторинга исполнения государственных программ, которая позволит определить качество и эффективность государственного и муниципального управления и его воздействие на изменение социально-экономической ситуации на территориях с учетом измерения удовлетворенности граждан результатами реализации этих программ. Мониторинг и оценка должны стать действенным механизмом идентификации причин низкой результативности государственных и территориальных программ (стратегий) с целью принятия своевременных мер решения проблем.</w:t>
      </w:r>
    </w:p>
    <w:p>
      <w:pPr>
        <w:spacing w:after="120"/>
        <w:jc w:val="both"/>
      </w:pPr>
      <w:r>
        <w:rPr>
          <w:rFonts w:ascii="Arial" w:cs="Arial" w:eastAsia="Arial" w:hAnsi="Arial"/>
          <w:sz w:val="24"/>
          <w:szCs w:val="24"/>
        </w:rPr>
        <w:t xml:space="preserve">Оценка государственных программ потребует совершенствования методов и инструментов оценки эффективности деятельности государственных органов и органов местного самоуправления, включая: совершенствование системы принятия управленческих решений с опорой на данные мониторинга и оценки, индикаторы результативности органов управления.</w:t>
      </w:r>
    </w:p>
    <w:p>
      <w:pPr>
        <w:spacing w:after="120"/>
        <w:jc w:val="both"/>
      </w:pPr>
      <w:r>
        <w:rPr>
          <w:rFonts w:ascii="Arial" w:cs="Arial" w:eastAsia="Arial" w:hAnsi="Arial"/>
          <w:sz w:val="24"/>
          <w:szCs w:val="24"/>
        </w:rPr>
        <w:t xml:space="preserve">Система оценки эффективности реализации государственных программ и деятельности органов управления должна быть также увязана с механизмом внедрения персональной оценки и ответственности должностных лиц государственных органов и органов местного самоуправления за результаты труда. Базовыми критериями персональной оценки должны стать достижение поставленных программных целей и задач, обеспечивающих развитие и качественное изменение жизни граждан, качество и доступность получения гражданами услуг; эффективность управления бюджетными средствами; применение информационно-коммуникационных технологий в управлении; создание рабочих мест на территории, ориентированное на развитие и повышение потенциала территории, и т.д.</w:t>
      </w:r>
    </w:p>
    <w:p>
      <w:pPr>
        <w:spacing w:after="120"/>
        <w:jc w:val="both"/>
      </w:pPr>
      <w:r>
        <w:rPr>
          <w:rFonts w:ascii="Arial" w:cs="Arial" w:eastAsia="Arial" w:hAnsi="Arial"/>
          <w:sz w:val="24"/>
          <w:szCs w:val="24"/>
        </w:rPr>
        <w:t xml:space="preserve">1.4. Обеспечение доступности государственных и муниципальных услуг для населения</w:t>
      </w:r>
    </w:p>
    <w:p>
      <w:pPr>
        <w:spacing w:after="120"/>
        <w:jc w:val="both"/>
      </w:pPr>
      <w:r>
        <w:rPr>
          <w:rFonts w:ascii="Arial" w:cs="Arial" w:eastAsia="Arial" w:hAnsi="Arial"/>
          <w:sz w:val="24"/>
          <w:szCs w:val="24"/>
        </w:rPr>
        <w:t xml:space="preserve">Доступность государственных и муниципальных услуг для населения является важной составной частью административно-территориальной реформы. Избыточное администрирование, несовершенство контрольно-надзорных и разрешительных функций органов власти - эти и многие другие факторы препятствуют развитию предпринимательства, снижают инвестиционную привлекательность, что в конечном итоге затрудняет динамичное развитие экономики.</w:t>
      </w:r>
    </w:p>
    <w:p>
      <w:pPr>
        <w:spacing w:after="120"/>
        <w:jc w:val="both"/>
      </w:pPr>
      <w:r>
        <w:rPr>
          <w:rFonts w:ascii="Arial" w:cs="Arial" w:eastAsia="Arial" w:hAnsi="Arial"/>
          <w:sz w:val="24"/>
          <w:szCs w:val="24"/>
        </w:rPr>
        <w:t xml:space="preserve">В целях продолжения работы по оптимизации государственных и муниципальных услуг и создания перечня государственных услуг необходимо разработать стандарты качества предоставляемых государственных и муниципальных услуг.</w:t>
      </w:r>
    </w:p>
    <w:p>
      <w:pPr>
        <w:spacing w:after="120"/>
        <w:jc w:val="both"/>
      </w:pPr>
      <w:r>
        <w:rPr>
          <w:rFonts w:ascii="Arial" w:cs="Arial" w:eastAsia="Arial" w:hAnsi="Arial"/>
          <w:sz w:val="24"/>
          <w:szCs w:val="24"/>
        </w:rPr>
        <w:t xml:space="preserve">Необходимо создание сети многофункциональных центров предоставления услуг, соответствующих установленным требованиям, формирование системы мониторинга качества и доступности государственных и муниципальных услуг (2013-2016 годы). Многофункциональные центры должны стать точкой доступа населения к электронным государственным и муниципальным услугам.</w:t>
      </w:r>
    </w:p>
    <w:p>
      <w:pPr>
        <w:spacing w:after="120"/>
        <w:jc w:val="both"/>
      </w:pPr>
      <w:r>
        <w:rPr>
          <w:rFonts w:ascii="Arial" w:cs="Arial" w:eastAsia="Arial" w:hAnsi="Arial"/>
          <w:sz w:val="24"/>
          <w:szCs w:val="24"/>
        </w:rPr>
        <w:t xml:space="preserve">Для повышения доступности услуг для граждан, особенно отдаленных территорий, следует практиковать внедрение мобильных передвижных центров предоставления услуг.</w:t>
      </w:r>
    </w:p>
    <w:p>
      <w:pPr>
        <w:spacing w:after="120"/>
        <w:jc w:val="both"/>
      </w:pPr>
      <w:r>
        <w:rPr>
          <w:rFonts w:ascii="Arial" w:cs="Arial" w:eastAsia="Arial" w:hAnsi="Arial"/>
          <w:sz w:val="24"/>
          <w:szCs w:val="24"/>
        </w:rPr>
        <w:t xml:space="preserve">Комплексная оптимизация государственных и муниципальных услуг направлена в целом на сокращение количества обращений, необходимых для получения конечного результата услуги (в том числе путем организации межведомственного взаимодействия), сокращение сроков предоставления услуги, определение нормативов материальных затрат заявителей.</w:t>
      </w:r>
    </w:p>
    <w:p>
      <w:pPr>
        <w:spacing w:after="120"/>
        <w:jc w:val="both"/>
      </w:pPr>
      <w:r>
        <w:rPr>
          <w:rFonts w:ascii="Arial" w:cs="Arial" w:eastAsia="Arial" w:hAnsi="Arial"/>
          <w:sz w:val="24"/>
          <w:szCs w:val="24"/>
        </w:rPr>
        <w:t xml:space="preserve">1.5. Создание устойчивой системы повышения кадрового потенциала</w:t>
      </w:r>
    </w:p>
    <w:p>
      <w:pPr>
        <w:spacing w:after="120"/>
        <w:jc w:val="both"/>
      </w:pPr>
      <w:r>
        <w:rPr>
          <w:rFonts w:ascii="Arial" w:cs="Arial" w:eastAsia="Arial" w:hAnsi="Arial"/>
          <w:sz w:val="24"/>
          <w:szCs w:val="24"/>
        </w:rPr>
        <w:t xml:space="preserve">Необходимо создать постоянно действующую систему подготовки и повышения квалификации кадрового потенциала, оперативно реагирующую на потребности государственных и муниципальных органов, способную обеспечить реализацию государственных программ и качественное оказание услуг населению. Повышение квалификации должно стать обязательным предварительным элементом системы продвижения кадров и начала осуществления должностных функций.</w:t>
      </w:r>
    </w:p>
    <w:p>
      <w:pPr>
        <w:spacing w:after="120"/>
        <w:jc w:val="both"/>
      </w:pPr>
      <w:r>
        <w:rPr>
          <w:rFonts w:ascii="Arial" w:cs="Arial" w:eastAsia="Arial" w:hAnsi="Arial"/>
          <w:sz w:val="24"/>
          <w:szCs w:val="24"/>
        </w:rPr>
        <w:t xml:space="preserve">Особого внимания требует совершенствование по всей системе управления системы подбора и продвижения кадров, в основе которой должен быть исключительно принцип профессионализма и установления адекватных квалификационных требований для занятия ответственных должностей. Необходимо проработать вопросы создания резервов кадров на государственные и муниципальные должности, их целевого предварительного обучения для последующего занятия соответствующих должностей.</w:t>
      </w:r>
    </w:p>
    <w:p>
      <w:pPr>
        <w:spacing w:after="120"/>
        <w:jc w:val="both"/>
      </w:pPr>
      <w:r>
        <w:rPr>
          <w:rFonts w:ascii="Arial" w:cs="Arial" w:eastAsia="Arial" w:hAnsi="Arial"/>
          <w:sz w:val="24"/>
          <w:szCs w:val="24"/>
        </w:rPr>
        <w:t xml:space="preserve">Предстоит интегрировать процедуры государственной и муниципальной службы для обеспечения карьерного роста и мотивации, построения вертикальной и горизонтальной кадровой ротации. Одним из инструментов повышения качества управления и кадрового потенциала, снижения факторов регионализма, коррупционности и других рисков должен стать постоянно действующий обязательный механизм ротации кадров по принципу "центр-регионы", "регион-регион", "регион-центр", практика проведения межведомственной и межтерриториальной ротации персонала, в том числе между подразделениями по системе ведомства.</w:t>
      </w:r>
    </w:p>
    <w:p>
      <w:pPr>
        <w:spacing w:after="120"/>
        <w:jc w:val="both"/>
      </w:pPr>
      <w:r>
        <w:rPr>
          <w:rFonts w:ascii="Arial" w:cs="Arial" w:eastAsia="Arial" w:hAnsi="Arial"/>
          <w:sz w:val="24"/>
          <w:szCs w:val="24"/>
        </w:rPr>
        <w:t xml:space="preserve">В целях научной обоснованности принимаемых мер по повышению кадрового потенциала государственных органов и органов местного самоуправления, в данной сфере вопросов необходимо также обеспечить проведение фундаментальных прикладных исследований и наладить действенную систему научно-исследовательских и аналитических изысканий.</w:t>
      </w:r>
    </w:p>
    <w:p>
      <w:pPr>
        <w:spacing w:after="120"/>
        <w:jc w:val="both"/>
      </w:pPr>
      <w:r>
        <w:rPr>
          <w:rFonts w:ascii="Arial" w:cs="Arial" w:eastAsia="Arial" w:hAnsi="Arial"/>
          <w:sz w:val="24"/>
          <w:szCs w:val="24"/>
        </w:rPr>
        <w:t xml:space="preserve">2. Второй этап (2015-2016 годы)</w:t>
      </w:r>
    </w:p>
    <w:p>
      <w:pPr>
        <w:spacing w:after="120"/>
        <w:jc w:val="both"/>
      </w:pPr>
      <w:r>
        <w:rPr>
          <w:rFonts w:ascii="Arial" w:cs="Arial" w:eastAsia="Arial" w:hAnsi="Arial"/>
          <w:sz w:val="24"/>
          <w:szCs w:val="24"/>
        </w:rPr>
        <w:t xml:space="preserve">На данном этапе предусматривается следующее:</w:t>
      </w:r>
    </w:p>
    <w:p>
      <w:pPr>
        <w:spacing w:after="120"/>
        <w:jc w:val="both"/>
      </w:pPr>
      <w:r>
        <w:rPr>
          <w:rFonts w:ascii="Arial" w:cs="Arial" w:eastAsia="Arial" w:hAnsi="Arial"/>
          <w:sz w:val="24"/>
          <w:szCs w:val="24"/>
        </w:rPr>
        <w:t xml:space="preserve">- укрупнение айылных аймаков;</w:t>
      </w:r>
    </w:p>
    <w:p>
      <w:pPr>
        <w:spacing w:after="120"/>
        <w:jc w:val="both"/>
      </w:pPr>
      <w:r>
        <w:rPr>
          <w:rFonts w:ascii="Arial" w:cs="Arial" w:eastAsia="Arial" w:hAnsi="Arial"/>
          <w:sz w:val="24"/>
          <w:szCs w:val="24"/>
        </w:rPr>
        <w:t xml:space="preserve">- укрупнение районов;</w:t>
      </w:r>
    </w:p>
    <w:p>
      <w:pPr>
        <w:spacing w:after="120"/>
        <w:jc w:val="both"/>
      </w:pPr>
      <w:r>
        <w:rPr>
          <w:rFonts w:ascii="Arial" w:cs="Arial" w:eastAsia="Arial" w:hAnsi="Arial"/>
          <w:sz w:val="24"/>
          <w:szCs w:val="24"/>
        </w:rPr>
        <w:t xml:space="preserve">- оптимизация органов управления на областном уровне.</w:t>
      </w:r>
    </w:p>
    <w:p>
      <w:pPr>
        <w:spacing w:after="120"/>
        <w:jc w:val="both"/>
      </w:pPr>
      <w:r>
        <w:rPr>
          <w:rFonts w:ascii="Arial" w:cs="Arial" w:eastAsia="Arial" w:hAnsi="Arial"/>
          <w:sz w:val="24"/>
          <w:szCs w:val="24"/>
        </w:rPr>
        <w:t xml:space="preserve">2.1. Укрупнение айылных аймаков</w:t>
      </w:r>
    </w:p>
    <w:p>
      <w:pPr>
        <w:spacing w:after="120"/>
        <w:jc w:val="both"/>
      </w:pPr>
      <w:r>
        <w:rPr>
          <w:rFonts w:ascii="Arial" w:cs="Arial" w:eastAsia="Arial" w:hAnsi="Arial"/>
          <w:sz w:val="24"/>
          <w:szCs w:val="24"/>
        </w:rPr>
        <w:t xml:space="preserve">В соответствии с административно-территориальным делением на муниципальном уровне в Кыргызстане имеется 31 городских и 453 сельских административно-территориальных единиц, объединяющих более 1800 сел. Существующее деление айылных аймаков требует оптимизации. Так, в республике функционирует 57 айылных аймаков, состоящих только из одного села; многие из них незначительны по численности населения. В то же время существуют айылные аймаки, в состав которых входит более 15 сел, и население составляет более 20 тысяч человек.</w:t>
      </w:r>
    </w:p>
    <w:p>
      <w:pPr>
        <w:spacing w:after="120"/>
        <w:jc w:val="both"/>
      </w:pPr>
      <w:r>
        <w:rPr>
          <w:rFonts w:ascii="Arial" w:cs="Arial" w:eastAsia="Arial" w:hAnsi="Arial"/>
          <w:sz w:val="24"/>
          <w:szCs w:val="24"/>
        </w:rPr>
        <w:t xml:space="preserve">Для проведения укрупнения айылных аймаков потребуется детальное обоснование, проведение научной экспертизы и экономических расчетов, подготовка не только организационных схем укрупнения, но и мер бюджетно-экономического стимулирования для осуществления этих процессов.</w:t>
      </w:r>
    </w:p>
    <w:p>
      <w:pPr>
        <w:spacing w:after="120"/>
        <w:jc w:val="both"/>
      </w:pPr>
      <w:r>
        <w:rPr>
          <w:rFonts w:ascii="Arial" w:cs="Arial" w:eastAsia="Arial" w:hAnsi="Arial"/>
          <w:sz w:val="24"/>
          <w:szCs w:val="24"/>
        </w:rPr>
        <w:t xml:space="preserve">В целях оптимизации айылных аймаков предлагается провести укрупнение муниципальных административно-территориальных единиц по следующим основным критериям:</w:t>
      </w:r>
    </w:p>
    <w:p>
      <w:pPr>
        <w:spacing w:after="120"/>
        <w:jc w:val="both"/>
      </w:pPr>
      <w:r>
        <w:rPr>
          <w:rFonts w:ascii="Arial" w:cs="Arial" w:eastAsia="Arial" w:hAnsi="Arial"/>
          <w:sz w:val="24"/>
          <w:szCs w:val="24"/>
        </w:rPr>
        <w:t xml:space="preserve">- природно-ландшафтные условия;</w:t>
      </w:r>
    </w:p>
    <w:p>
      <w:pPr>
        <w:spacing w:after="120"/>
        <w:jc w:val="both"/>
      </w:pPr>
      <w:r>
        <w:rPr>
          <w:rFonts w:ascii="Arial" w:cs="Arial" w:eastAsia="Arial" w:hAnsi="Arial"/>
          <w:sz w:val="24"/>
          <w:szCs w:val="24"/>
        </w:rPr>
        <w:t xml:space="preserve">- необходимость объединения айылных аймаков, где численность населения до 5000 человек, за исключением высокогорных, отдаленных, труднодоступных и приграничных населенных пунктов;</w:t>
      </w:r>
    </w:p>
    <w:p>
      <w:pPr>
        <w:spacing w:after="120"/>
        <w:jc w:val="both"/>
      </w:pPr>
      <w:r>
        <w:rPr>
          <w:rFonts w:ascii="Arial" w:cs="Arial" w:eastAsia="Arial" w:hAnsi="Arial"/>
          <w:sz w:val="24"/>
          <w:szCs w:val="24"/>
        </w:rPr>
        <w:t xml:space="preserve">- сохранение качества и доступности предоставления муниципальных услуг;</w:t>
      </w:r>
    </w:p>
    <w:p>
      <w:pPr>
        <w:spacing w:after="120"/>
        <w:jc w:val="both"/>
      </w:pPr>
      <w:r>
        <w:rPr>
          <w:rFonts w:ascii="Arial" w:cs="Arial" w:eastAsia="Arial" w:hAnsi="Arial"/>
          <w:sz w:val="24"/>
          <w:szCs w:val="24"/>
        </w:rPr>
        <w:t xml:space="preserve">- оптимизация муниципального управления;</w:t>
      </w:r>
    </w:p>
    <w:p>
      <w:pPr>
        <w:spacing w:after="120"/>
        <w:jc w:val="both"/>
      </w:pPr>
      <w:r>
        <w:rPr>
          <w:rFonts w:ascii="Arial" w:cs="Arial" w:eastAsia="Arial" w:hAnsi="Arial"/>
          <w:sz w:val="24"/>
          <w:szCs w:val="24"/>
        </w:rPr>
        <w:t xml:space="preserve">- близость к центру (доступность для населения государственных и муниципальных услуг);</w:t>
      </w:r>
    </w:p>
    <w:p>
      <w:pPr>
        <w:spacing w:after="120"/>
        <w:jc w:val="both"/>
      </w:pPr>
      <w:r>
        <w:rPr>
          <w:rFonts w:ascii="Arial" w:cs="Arial" w:eastAsia="Arial" w:hAnsi="Arial"/>
          <w:sz w:val="24"/>
          <w:szCs w:val="24"/>
        </w:rPr>
        <w:t xml:space="preserve">- наличие экономической базы.</w:t>
      </w:r>
    </w:p>
    <w:p>
      <w:pPr>
        <w:spacing w:after="120"/>
        <w:jc w:val="both"/>
      </w:pPr>
      <w:r>
        <w:rPr>
          <w:rFonts w:ascii="Arial" w:cs="Arial" w:eastAsia="Arial" w:hAnsi="Arial"/>
          <w:sz w:val="24"/>
          <w:szCs w:val="24"/>
        </w:rPr>
        <w:t xml:space="preserve">При этом необходимо проведение широкой разъяснительной работы среди населения и внесение изменения в законодательство, которые позволят исключить юридические барьеры для укрупнения административно-территориальных единиц.</w:t>
      </w:r>
    </w:p>
    <w:p>
      <w:pPr>
        <w:spacing w:after="120"/>
        <w:jc w:val="both"/>
      </w:pPr>
      <w:r>
        <w:rPr>
          <w:rFonts w:ascii="Arial" w:cs="Arial" w:eastAsia="Arial" w:hAnsi="Arial"/>
          <w:sz w:val="24"/>
          <w:szCs w:val="24"/>
        </w:rPr>
        <w:t xml:space="preserve">В случае имеющихся соответствующих предпосылок укрупнения отдельных айылных аймаков, данный процесс необходимо ускоренно претворять на практике.</w:t>
      </w:r>
    </w:p>
    <w:p>
      <w:pPr>
        <w:spacing w:after="120"/>
        <w:jc w:val="both"/>
      </w:pPr>
      <w:r>
        <w:rPr>
          <w:rFonts w:ascii="Arial" w:cs="Arial" w:eastAsia="Arial" w:hAnsi="Arial"/>
          <w:sz w:val="24"/>
          <w:szCs w:val="24"/>
        </w:rPr>
        <w:t xml:space="preserve">2.2. Укрупнение районов</w:t>
      </w:r>
    </w:p>
    <w:p>
      <w:pPr>
        <w:spacing w:after="120"/>
        <w:jc w:val="both"/>
      </w:pPr>
      <w:r>
        <w:rPr>
          <w:rFonts w:ascii="Arial" w:cs="Arial" w:eastAsia="Arial" w:hAnsi="Arial"/>
          <w:sz w:val="24"/>
          <w:szCs w:val="24"/>
        </w:rPr>
        <w:t xml:space="preserve">В настоящее время в республике имеется 40 районов с многочисленными структурами государственного управления. Оптимальное укрупнение районов приведет к сокращению государственных затрат, включая затраты региональных подразделений министерств и ведомств, минимализации административных функций, совершенствованию управляемости региональными государственными органами, более эффективному использованию природных, производственных, человеческих, материальных и других ресурсов.</w:t>
      </w:r>
    </w:p>
    <w:p>
      <w:pPr>
        <w:spacing w:after="120"/>
        <w:jc w:val="both"/>
      </w:pPr>
      <w:r>
        <w:rPr>
          <w:rFonts w:ascii="Arial" w:cs="Arial" w:eastAsia="Arial" w:hAnsi="Arial"/>
          <w:sz w:val="24"/>
          <w:szCs w:val="24"/>
        </w:rPr>
        <w:t xml:space="preserve">Для проведения оптимизации количества районов потребуется принятие мер по детальному обоснованию, проведению научной экспертизы и экономических расчетов с учетом определения принципов и критериев оптимизации.</w:t>
      </w:r>
    </w:p>
    <w:p>
      <w:pPr>
        <w:spacing w:after="120"/>
        <w:jc w:val="both"/>
      </w:pPr>
      <w:r>
        <w:rPr>
          <w:rFonts w:ascii="Arial" w:cs="Arial" w:eastAsia="Arial" w:hAnsi="Arial"/>
          <w:sz w:val="24"/>
          <w:szCs w:val="24"/>
        </w:rPr>
        <w:t xml:space="preserve">2.3. Оптимизация органов управления на областном уровне</w:t>
      </w:r>
    </w:p>
    <w:p>
      <w:pPr>
        <w:spacing w:after="120"/>
        <w:jc w:val="both"/>
      </w:pPr>
      <w:r>
        <w:rPr>
          <w:rFonts w:ascii="Arial" w:cs="Arial" w:eastAsia="Arial" w:hAnsi="Arial"/>
          <w:sz w:val="24"/>
          <w:szCs w:val="24"/>
        </w:rPr>
        <w:t xml:space="preserve">Необходимо провести оптимизацию областных структур управления с учетом итогов проведения укрупнения низовых территорий.</w:t>
      </w:r>
    </w:p>
    <w:p>
      <w:pPr>
        <w:spacing w:after="120"/>
        <w:jc w:val="both"/>
      </w:pPr>
      <w:r>
        <w:rPr>
          <w:rFonts w:ascii="Arial" w:cs="Arial" w:eastAsia="Arial" w:hAnsi="Arial"/>
          <w:sz w:val="24"/>
          <w:szCs w:val="24"/>
        </w:rPr>
        <w:t xml:space="preserve">2.4. Создание устойчивых механизмов взаимодействия органов управления с гражданским обществом</w:t>
      </w:r>
    </w:p>
    <w:p>
      <w:pPr>
        <w:spacing w:after="120"/>
        <w:jc w:val="both"/>
      </w:pPr>
      <w:r>
        <w:rPr>
          <w:rFonts w:ascii="Arial" w:cs="Arial" w:eastAsia="Arial" w:hAnsi="Arial"/>
          <w:sz w:val="24"/>
          <w:szCs w:val="24"/>
        </w:rPr>
        <w:t xml:space="preserve">Совершенствование государственного и муниципального управления требует создания партнерских отношений между органами управления и гражданским сообществом.</w:t>
      </w:r>
    </w:p>
    <w:p>
      <w:pPr>
        <w:spacing w:after="120"/>
        <w:jc w:val="both"/>
      </w:pPr>
      <w:r>
        <w:rPr>
          <w:rFonts w:ascii="Arial" w:cs="Arial" w:eastAsia="Arial" w:hAnsi="Arial"/>
          <w:sz w:val="24"/>
          <w:szCs w:val="24"/>
        </w:rPr>
        <w:t xml:space="preserve">Необходимо создать механизмы и процедуры "повседневной демократии", обеспечивающие участие граждан в принятии жизненно важных решений.</w:t>
      </w:r>
    </w:p>
    <w:p>
      <w:pPr>
        <w:spacing w:after="120"/>
        <w:jc w:val="both"/>
      </w:pPr>
      <w:r>
        <w:rPr>
          <w:rFonts w:ascii="Arial" w:cs="Arial" w:eastAsia="Arial" w:hAnsi="Arial"/>
          <w:sz w:val="24"/>
          <w:szCs w:val="24"/>
        </w:rPr>
        <w:t xml:space="preserve">Следует повысить значимость и роль народных курултаев, сходов, собраний и других форм общественного участия.</w:t>
      </w:r>
    </w:p>
    <w:p>
      <w:pPr>
        <w:spacing w:after="120"/>
        <w:jc w:val="both"/>
      </w:pPr>
      <w:r>
        <w:rPr>
          <w:rFonts w:ascii="Arial" w:cs="Arial" w:eastAsia="Arial" w:hAnsi="Arial"/>
          <w:sz w:val="24"/>
          <w:szCs w:val="24"/>
        </w:rPr>
        <w:t xml:space="preserve">3. Третий этап (2017 год)</w:t>
      </w:r>
    </w:p>
    <w:p>
      <w:pPr>
        <w:spacing w:after="120"/>
        <w:jc w:val="both"/>
      </w:pPr>
      <w:r>
        <w:rPr>
          <w:rFonts w:ascii="Arial" w:cs="Arial" w:eastAsia="Arial" w:hAnsi="Arial"/>
          <w:sz w:val="24"/>
          <w:szCs w:val="24"/>
        </w:rPr>
        <w:t xml:space="preserve">На данном этапе необходимо законодательное закрепление нового административно-территориального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Ожидаемые результаты и возможные риски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административно-территориальной реформы в предлагаемом варианте обеспечит:</w:t>
      </w:r>
    </w:p>
    <w:p>
      <w:pPr>
        <w:spacing w:after="120"/>
        <w:jc w:val="both"/>
      </w:pPr>
      <w:r>
        <w:rPr>
          <w:rFonts w:ascii="Arial" w:cs="Arial" w:eastAsia="Arial" w:hAnsi="Arial"/>
          <w:sz w:val="24"/>
          <w:szCs w:val="24"/>
        </w:rPr>
        <w:t xml:space="preserve">- ликвидацию лишних звеньев управления, что позволит достичь соответствующих результатов, улучшение управления, сокращение управленческих расходов;</w:t>
      </w:r>
    </w:p>
    <w:p>
      <w:pPr>
        <w:spacing w:after="120"/>
        <w:jc w:val="both"/>
      </w:pPr>
      <w:r>
        <w:rPr>
          <w:rFonts w:ascii="Arial" w:cs="Arial" w:eastAsia="Arial" w:hAnsi="Arial"/>
          <w:sz w:val="24"/>
          <w:szCs w:val="24"/>
        </w:rPr>
        <w:t xml:space="preserve">- оптимизацию количества айылных аймаков;</w:t>
      </w:r>
    </w:p>
    <w:p>
      <w:pPr>
        <w:spacing w:after="120"/>
        <w:jc w:val="both"/>
      </w:pPr>
      <w:r>
        <w:rPr>
          <w:rFonts w:ascii="Arial" w:cs="Arial" w:eastAsia="Arial" w:hAnsi="Arial"/>
          <w:sz w:val="24"/>
          <w:szCs w:val="24"/>
        </w:rPr>
        <w:t xml:space="preserve">- повышение качества государственного управления и местного самоуправления;</w:t>
      </w:r>
    </w:p>
    <w:p>
      <w:pPr>
        <w:spacing w:after="120"/>
        <w:jc w:val="both"/>
      </w:pPr>
      <w:r>
        <w:rPr>
          <w:rFonts w:ascii="Arial" w:cs="Arial" w:eastAsia="Arial" w:hAnsi="Arial"/>
          <w:sz w:val="24"/>
          <w:szCs w:val="24"/>
        </w:rPr>
        <w:t xml:space="preserve">- повышение качества и доступности государственных и муниципальных услуг, ограничение возможностей для коррупции;</w:t>
      </w:r>
    </w:p>
    <w:p>
      <w:pPr>
        <w:spacing w:after="120"/>
        <w:jc w:val="both"/>
      </w:pPr>
      <w:r>
        <w:rPr>
          <w:rFonts w:ascii="Arial" w:cs="Arial" w:eastAsia="Arial" w:hAnsi="Arial"/>
          <w:sz w:val="24"/>
          <w:szCs w:val="24"/>
        </w:rPr>
        <w:t xml:space="preserve">- экономию финансовых средств, эффективное использование человеческих, материальных и других ресурсов;</w:t>
      </w:r>
    </w:p>
    <w:p>
      <w:pPr>
        <w:spacing w:after="120"/>
        <w:jc w:val="both"/>
      </w:pPr>
      <w:r>
        <w:rPr>
          <w:rFonts w:ascii="Arial" w:cs="Arial" w:eastAsia="Arial" w:hAnsi="Arial"/>
          <w:sz w:val="24"/>
          <w:szCs w:val="24"/>
        </w:rPr>
        <w:t xml:space="preserve">- восстановление доверия граждан к системе государственного управления.</w:t>
      </w:r>
    </w:p>
    <w:p>
      <w:pPr>
        <w:spacing w:after="120"/>
        <w:jc w:val="both"/>
      </w:pPr>
      <w:r>
        <w:rPr>
          <w:rFonts w:ascii="Arial" w:cs="Arial" w:eastAsia="Arial" w:hAnsi="Arial"/>
          <w:sz w:val="24"/>
          <w:szCs w:val="24"/>
        </w:rPr>
        <w:t xml:space="preserve">Новая система административно-территориального устройства, и, особенно, переход к ней, будут сопровождаться определенными рисками. Наиболее существенным из них является противодействие реформе и новым отношениям со стороны определенных групп общества. Законодательные риски являются одним из основных барьеров, возникающих при реализации настоящей Концепции. На начальном этапе может произойти незначительное увеличение финансовых затрат (переименование, реорганизация, создание новых служб и прочее), которое компенсируется за счет последующей экономии средств.</w:t>
      </w:r>
    </w:p>
    <w:p>
      <w:pPr>
        <w:spacing w:after="120"/>
        <w:jc w:val="both"/>
      </w:pPr>
      <w:r>
        <w:rPr>
          <w:rFonts w:ascii="Arial" w:cs="Arial" w:eastAsia="Arial" w:hAnsi="Arial"/>
          <w:sz w:val="24"/>
          <w:szCs w:val="24"/>
        </w:rPr>
        <w:t xml:space="preserve">Проблемой будет соответствие уровня подготовки кадров требованиям работы в новой системе, особенно специалистов органов местного самоуправления. Ощутимой угрозы для снижения уровня управляемости работой систем жизнеобеспечения и системы государственных и муниципальных услуг не существует, однако возможны временные сбои в оказании тех или иных государственных и муниципальных услуг при переходе к новой системе.</w:t>
      </w:r>
    </w:p>
    <w:p>
      <w:pPr>
        <w:spacing w:after="120"/>
        <w:jc w:val="both"/>
      </w:pPr>
      <w:r>
        <w:rPr>
          <w:rFonts w:ascii="Arial" w:cs="Arial" w:eastAsia="Arial" w:hAnsi="Arial"/>
          <w:sz w:val="24"/>
          <w:szCs w:val="24"/>
        </w:rPr>
        <w:t xml:space="preserve">Для минимизации этого риска необходимо практиковать пилотные отработки тех или иных компонентов системы оказания государственных и муниципальных услуг населению. Наиболее вероятно возникновение вопросов, связанных с перераспределением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Механизмы реализации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практической реализации настоящей Концепции запланировано утверждение плана мероприятий, предусматривающего конкретные меры, ответственных исполнителей и сроки их выполнения. Координация процесса реализации Концепции будет возложена на специально созданный коллегиальный орган, имеющий статус Координационного совета, в состав которого войдут представители органов государственной власти и органов местного самоуправления, общественных организаций, гражданского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htyqn6bn8ay-gzrv-bmz">
      <w:r>
        <w:rPr>
          <w:rFonts w:ascii="Arial" w:cs="Arial" w:eastAsia="Arial" w:hAnsi="Arial"/>
          <w:color w:val="132D3F"/>
          <w:sz w:val="16"/>
          <w:szCs w:val="16"/>
          <w:u w:val="single"/>
        </w:rPr>
        <w:t xml:space="preserve">dalil.kg/document/92981</w:t>
      </w:r>
    </w:hyperlink>
  </w:p>
  <w:p>
    <w:pPr>
      <w:spacing w:after="0" w:before="40"/>
      <w:jc w:val="center"/>
    </w:pPr>
    <w:hyperlink w:history="1" r:id="rId-dnu_cpalnazwxn3co0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qqewhtnpnrkmsuoxpzxb" Type="http://schemas.openxmlformats.org/officeDocument/2006/relationships/hyperlink" Target="https://dalil.kg/document/158975" TargetMode="External"/><Relationship Id="rIdvlmnxedcrttvki55ozfjk" Type="http://schemas.openxmlformats.org/officeDocument/2006/relationships/hyperlink" Target="https://dalil.kg/document/7589" TargetMode="External"/><Relationship Id="rId1igdczqkabvd1c1lrtqmg" Type="http://schemas.openxmlformats.org/officeDocument/2006/relationships/hyperlink" Target="https://dalil.kg/document/61542" TargetMode="External"/><Relationship Id="rIdiulsedqafxnink1gpjpyp" Type="http://schemas.openxmlformats.org/officeDocument/2006/relationships/hyperlink" Target="https://dalil.kg/document/61542" TargetMode="External"/><Relationship Id="rIdsbxtjvx1srow3qngvbftk" Type="http://schemas.openxmlformats.org/officeDocument/2006/relationships/hyperlink" Target="https://dalil.kg/document/7589" TargetMode="External"/><Relationship Id="rIdk3anxiigp3squasvn2bh7" Type="http://schemas.openxmlformats.org/officeDocument/2006/relationships/hyperlink" Target="https://dalil.kg/document/92981#p1" TargetMode="External"/><Relationship Id="rIddaocudx57w6bqo0jqjcrl" Type="http://schemas.openxmlformats.org/officeDocument/2006/relationships/hyperlink" Target="https://dalil.kg/document/93911" TargetMode="External"/><Relationship Id="rIdywwzhbivtgiscbuuqoatl" Type="http://schemas.openxmlformats.org/officeDocument/2006/relationships/hyperlink" Target="https://dalil.kg/document/7589" TargetMode="External"/><Relationship Id="rIdyxp1_igq_ei6av-p8vwhn" Type="http://schemas.openxmlformats.org/officeDocument/2006/relationships/hyperlink" Target="https://dalil.kg/document/7589" TargetMode="External"/><Relationship Id="rIdg_xjkwyem-hb1o0eo625a" Type="http://schemas.openxmlformats.org/officeDocument/2006/relationships/hyperlink" Target="https://dalil.kg/document/7589" TargetMode="External"/><Relationship Id="rIduy0upuk1idlleygghunhy" Type="http://schemas.openxmlformats.org/officeDocument/2006/relationships/hyperlink" Target="https://dalil.kg/document/7589" TargetMode="External"/><Relationship Id="rIdauoaru9jmzegsvpdhgjhj" Type="http://schemas.openxmlformats.org/officeDocument/2006/relationships/hyperlink" Target="https://dalil.kg/document/7589" TargetMode="External"/><Relationship Id="rIda22rvbeataqopk7sv5xwx" Type="http://schemas.openxmlformats.org/officeDocument/2006/relationships/hyperlink" Target="https://dalil.kg/document/92981" TargetMode="External"/><Relationship Id="rIdnraf21ptdoef8nvyvsy7v" Type="http://schemas.openxmlformats.org/officeDocument/2006/relationships/hyperlink" Target="https://dalil.kg/document/7589" TargetMode="External"/><Relationship Id="rIdcyytawsluaxu1xjevl6h1" Type="http://schemas.openxmlformats.org/officeDocument/2006/relationships/hyperlink" Target="https://dalil.kg/document/4626" TargetMode="External"/><Relationship Id="rIdt62hmqlznmxydlrrulhhl" Type="http://schemas.openxmlformats.org/officeDocument/2006/relationships/hyperlink" Target="https://dalil.kg/document/4626" TargetMode="External"/><Relationship Id="rIduuxlqjv1uftbzj5ux-o1l" Type="http://schemas.openxmlformats.org/officeDocument/2006/relationships/hyperlink" Target="https://dalil.kg/document/4626" TargetMode="External"/><Relationship Id="rId9hmryxg5jf9j3urcviizm" Type="http://schemas.openxmlformats.org/officeDocument/2006/relationships/hyperlink" Target="https://dalil.kg/document/4626" TargetMode="External"/><Relationship Id="rId6sxs2h-vzmzawseunrgod" Type="http://schemas.openxmlformats.org/officeDocument/2006/relationships/hyperlink" Target="https://dalil.kg/document/92981" TargetMode="External"/><Relationship Id="rId786d5thfbxlba0kuiztby" Type="http://schemas.openxmlformats.org/officeDocument/2006/relationships/hyperlink" Target="https://dalil.kg/document/93449" TargetMode="External"/><Relationship Id="rIdm9svbzh3tzdcebzhotugt" Type="http://schemas.openxmlformats.org/officeDocument/2006/relationships/hyperlink" Target="https://dalil.kg/document/93029"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htyqn6bn8ay-gzrv-bmz" Type="http://schemas.openxmlformats.org/officeDocument/2006/relationships/hyperlink" Target="https://dalil.kg/document/92981" TargetMode="External"/><Relationship Id="rId-dnu_cpalnazwxn3co0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2026-09-24T20:46:47.517Z</dcterms:created>
  <dcterms:modified xsi:type="dcterms:W3CDTF">2026-09-24T20:46:47.517Z</dcterms:modified>
</cp:coreProperties>
</file>

<file path=docProps/custom.xml><?xml version="1.0" encoding="utf-8"?>
<Properties xmlns="http://schemas.openxmlformats.org/officeDocument/2006/custom-properties" xmlns:vt="http://schemas.openxmlformats.org/officeDocument/2006/docPropsVTypes"/>
</file>