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mnw9yzhk4h88tcqd8trvv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марта 2012 года № 204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государственной поддержке развития текстильной, швейной и мебельной отраслей 
 Кыргызской Республики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конкурентоспособности отечественной текстильной, швейной и мебельной продукции и развития экспортного потенциала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</w:t>
      </w:r>
      <w:r>
        <w:rPr>
          <w:rFonts w:ascii="Arial" w:cs="Arial" w:eastAsia="Arial" w:hAnsi="Arial"/>
          <w:sz w:val="24"/>
          <w:szCs w:val="24"/>
        </w:rPr>
        <w:t xml:space="preserve">частью 3 статьи 239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pu3_heumwmt6ljymjf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Таможенного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от уплаты таможенных сборов за таможенное оформление оборудование, ввозимое на таможенную территорию Кыргызской Республики хозяйствующими субъектами непосредственно для собственных производственных целей, классифицируемое в товарных позициях ТНВЭД 8414 40 100 0, 8414 40 900 0, 8444 00 100 0, 8444 00 900 0, 8445 11 000 0 - 8445 90 000 9, 8446 10 000 0 - 8446 30 000 0, 8447 11 100 1 - 8447 90 000 9, 8448 11 000 0 - 8449 00 000 0, 8451 10 000 0 - 8451 90 000 0, 8452 10 110 0 - 8452 90 000 0, 8462 21 100, 8462 41 100, 8465 10 100 0, 8465 10 900 0, 8515 11 000 0 - 8515 90 000 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ydc3natnqwrlntcxin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dalil.kg/document/92987</w:t>
      </w:r>
    </w:hyperlink>
  </w:p>
  <w:p>
    <w:pPr>
      <w:spacing w:after="0" w:before="40"/>
      <w:jc w:val="center"/>
    </w:pPr>
    <w:hyperlink w:history="1" r:id="rIdygpodcjno_zcfm-wiixf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w9yzhk4h88tcqd8trvv" Type="http://schemas.openxmlformats.org/officeDocument/2006/relationships/hyperlink" Target="https://dalil.kg/document/158975" TargetMode="External"/><Relationship Id="rId6pu3_heumwmt6ljymjfny" Type="http://schemas.openxmlformats.org/officeDocument/2006/relationships/hyperlink" Target="https://dalil.kg/document/15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ydc3natnqwrlntcxinil" Type="http://schemas.openxmlformats.org/officeDocument/2006/relationships/hyperlink" Target="https://dalil.kg/document/92987" TargetMode="External"/><Relationship Id="rIdygpodcjno_zcfm-wiixf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2026-09-24T03:43:56.946Z</dcterms:created>
  <dcterms:modified xsi:type="dcterms:W3CDTF">2026-09-24T03:43:56.946Z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