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hkrnsh9haj06jyolome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 февраля 2014 года № 62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25 июня 2012 года № 438  </w:t>
      </w:r>
    </w:p>
    <w:p>
      <w:pPr>
        <w:spacing w:after="480" w:before="200"/>
        <w:jc w:val="center"/>
      </w:pPr>
      <w:r>
        <w:rPr>
          <w:rFonts w:ascii="Arial" w:cs="Arial" w:eastAsia="Arial" w:hAnsi="Arial"/>
          <w:b/>
          <w:bCs/>
          <w:sz w:val="28"/>
          <w:szCs w:val="28"/>
        </w:rPr>
        <w:t xml:space="preserve">Об итогах социально-экономического развития КР за январь - март 2012 года</w:t>
      </w:r>
    </w:p>
    <w:p>
      <w:pPr>
        <w:spacing w:after="120"/>
        <w:jc w:val="both"/>
      </w:pPr>
      <w:r>
        <w:rPr>
          <w:rFonts w:ascii="Arial" w:cs="Arial" w:eastAsia="Arial" w:hAnsi="Arial"/>
          <w:sz w:val="24"/>
          <w:szCs w:val="24"/>
        </w:rPr>
        <w:t xml:space="preserve">В целях создания базовых условий для устойчивого экономического развития страны в среднесрочной перспективе и определения перспективных направлений деятельности органов государственной власти по реализации задач, поставленных на 2012 год,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w:t>
      </w:r>
      <w:hyperlink w:history="1" r:id="rIdhzmwhyhex7zongoxmtu1i">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январь - март 2012 года (прилагается).</w:t>
      </w:r>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 Министерству сельского хозяйства и мелиорации Кыргызской Республики, Министерству транспорта и коммуникаций Кыргызской Республики, Министерству культуры и туризма Кыргызской Республики, Государственному агентству по геологии и минеральным ресурсам при Правительстве Кыргызской Республики, Государственному агентству по строительству и региональному развитию при Правительстве Кыргызской Республики, Государственному агентству связи при Правительстве Кыргызской Республики, Фонду по управлению государственным имуществом при Правительстве Кыргызской Республики, местным государственным администрациям и мэриям городов Бишкек и Ош:</w:t>
      </w:r>
    </w:p>
    <w:p>
      <w:pPr>
        <w:spacing w:after="120"/>
        <w:jc w:val="both"/>
      </w:pPr>
      <w:r>
        <w:rPr>
          <w:rFonts w:ascii="Arial" w:cs="Arial" w:eastAsia="Arial" w:hAnsi="Arial"/>
          <w:sz w:val="24"/>
          <w:szCs w:val="24"/>
        </w:rPr>
        <w:t xml:space="preserve">- принять безотлагательные меры по восполнению снижения производства по итогам I квартала 2012 года, изыскать дополнительные резервы отраслей для экономического роста путем принятия мер по введению в эксплуатацию месторождений, запуска имеющихся простаивающих и не полностью загруженных предприятий, своевременному проведению полевых работ в сельском хозяйстве, наращиванию объемов строительства и сферы услуг;</w:t>
      </w:r>
    </w:p>
    <w:p>
      <w:pPr>
        <w:spacing w:after="120"/>
        <w:jc w:val="both"/>
      </w:pPr>
      <w:r>
        <w:rPr>
          <w:rFonts w:ascii="Arial" w:cs="Arial" w:eastAsia="Arial" w:hAnsi="Arial"/>
          <w:sz w:val="24"/>
          <w:szCs w:val="24"/>
        </w:rPr>
        <w:t xml:space="preserve">- представить в Министерство экономики и антимонопольной политики Кыргызской Республики в недельный срок оперативный план компенсационных мер в связи со снижением экономического роста, с четким указанием сроков и расчетных данных (ожидаемых объемов за счет мер) для мониторинга.</w:t>
      </w:r>
    </w:p>
    <w:p>
      <w:pPr>
        <w:spacing w:after="120"/>
        <w:jc w:val="both"/>
      </w:pPr>
      <w:r>
        <w:rPr>
          <w:rFonts w:ascii="Arial" w:cs="Arial" w:eastAsia="Arial" w:hAnsi="Arial"/>
          <w:sz w:val="24"/>
          <w:szCs w:val="24"/>
        </w:rPr>
        <w:t xml:space="preserve">3. Министерству финансов Кыргызской Республики,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Социальному фонду Кыргызской Республики принять меры по исполнению доходной части государственного бюджета для полного и своевременного финансирования социальных гарантий государства.</w:t>
      </w:r>
    </w:p>
    <w:p>
      <w:pPr>
        <w:spacing w:after="120"/>
        <w:jc w:val="both"/>
      </w:pPr>
      <w:r>
        <w:rPr>
          <w:rFonts w:ascii="Arial" w:cs="Arial" w:eastAsia="Arial" w:hAnsi="Arial"/>
          <w:sz w:val="24"/>
          <w:szCs w:val="24"/>
        </w:rPr>
        <w:t xml:space="preserve">4. Министерству экономики и антимонопольной политики Кыргызской Республики, Министерству финансов Кыргызской Республики совместно с Национальным банком Кыргызской Республики проводить согласованную, единую денежно-кредитную и бюджетно-налоговую политику, направленную на снижение уровня инфляции.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w:t>
      </w:r>
    </w:p>
    <w:p>
      <w:pPr>
        <w:spacing w:after="120"/>
        <w:jc w:val="both"/>
      </w:pPr>
      <w:r>
        <w:rPr>
          <w:rFonts w:ascii="Arial" w:cs="Arial" w:eastAsia="Arial" w:hAnsi="Arial"/>
          <w:sz w:val="24"/>
          <w:szCs w:val="24"/>
        </w:rPr>
        <w:t xml:space="preserve">Кыргызской Республики за январь-март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1.1. Объем валового внутреннего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объемов его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В 1 квартале 2012 года экономический рост замедлился за счет резкого падения объемов производства на предприятиях месторождения "Кумтор", против прогнозируемых значений роста, где добыча значительно снизилась, составив 45,4% по сравнению с соответствующим периодом 2011 года. По итогам за январь-март 2012 года объем валового внутреннего продукта (ВВП), по предварительной оценке НСК, сложился в сумме 50,8 млрд. сомов, где спад объема ВВП составил 6,8% (93,2%), против реального роста на 0,6% в январе-марте 2011 года. Без учета предприятий по разработке месторождения "Кумтор" рост реального ВВП составил 104,5%, в то время как за соответствующий период 2011 года аналогичный показатель составлял 102,1%.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объемов ВВП стало усиление движения льда и пустой породы в юго-восточной части карьера на месторождении "Кумтор", что привело к задержке запланированного доступа к участку с высоким содержанием золота - зоне SB.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составив 37,5%.</w:t>
      </w:r>
    </w:p>
    <w:p>
      <w:pPr>
        <w:spacing w:after="120"/>
        <w:jc w:val="both"/>
      </w:pPr>
      <w:r>
        <w:rPr>
          <w:rFonts w:ascii="Arial" w:cs="Arial" w:eastAsia="Arial" w:hAnsi="Arial"/>
          <w:sz w:val="24"/>
          <w:szCs w:val="24"/>
        </w:rPr>
        <w:t xml:space="preserve">Как показали итоги трех месяцев,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и повышение благосостояния граждан.</w:t>
      </w:r>
    </w:p>
    <w:p>
      <w:pPr>
        <w:spacing w:after="120"/>
        <w:jc w:val="both"/>
      </w:pPr>
      <w:r>
        <w:rPr>
          <w:rFonts w:ascii="Arial" w:cs="Arial" w:eastAsia="Arial" w:hAnsi="Arial"/>
          <w:sz w:val="24"/>
          <w:szCs w:val="24"/>
        </w:rPr>
        <w:t xml:space="preserve">Крайне важно в сложившейся ситуации, благодаря диверсификации экономики, снизить доминирующую долю "Кумтора" в структуре ВВП.</w:t>
      </w:r>
    </w:p>
    <w:p>
      <w:pPr>
        <w:spacing w:after="120"/>
        <w:jc w:val="both"/>
      </w:pPr>
      <w:r>
        <w:rPr>
          <w:rFonts w:ascii="Arial" w:cs="Arial" w:eastAsia="Arial" w:hAnsi="Arial"/>
          <w:sz w:val="24"/>
          <w:szCs w:val="24"/>
        </w:rPr>
        <w:t xml:space="preserve">Рост физического объема производства продукции достигнут во всех секторах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в металлургическом секторе.</w:t>
      </w:r>
    </w:p>
    <w:p>
      <w:pPr>
        <w:spacing w:after="120"/>
        <w:jc w:val="both"/>
      </w:pPr>
      <w:r>
        <w:rPr>
          <w:rFonts w:ascii="Arial" w:cs="Arial" w:eastAsia="Arial" w:hAnsi="Arial"/>
          <w:sz w:val="24"/>
          <w:szCs w:val="24"/>
        </w:rPr>
        <w:t xml:space="preserve">Отрицательный вклад промышленности в ВВП оценивается в (-) 8,6 процентных пункта. Положительный вклад сферы услуг, которая занимает более 50% в объеме ВВП, оценивается в 2,1 процентных пункта. Суммарный положительный вклад в ВВП сельского хозяйства и строительства составляет 0,45 процентных пункта, где столь низкий показатель вклада данных секторов охарактеризован сезонной составляющей (см. 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Структура и темпы роста по секторам, формирующим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Январь-март │      Январь-март 2012 года         │</w:t>
      </w:r>
    </w:p>
    <w:p>
      <w:pPr>
        <w:spacing w:after="120"/>
        <w:jc w:val="center"/>
      </w:pPr>
      <w:r>
        <w:rPr>
          <w:rFonts w:ascii="Arial" w:cs="Arial" w:eastAsia="Arial" w:hAnsi="Arial"/>
          <w:sz w:val="24"/>
          <w:szCs w:val="24"/>
        </w:rPr>
        <w:t xml:space="preserve">│                  │  2011 года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│в % к│ Факт. │в % к│Прогноз│ Откл. │ Доля │</w:t>
      </w:r>
    </w:p>
    <w:p>
      <w:pPr>
        <w:spacing w:after="120"/>
        <w:jc w:val="center"/>
      </w:pPr>
      <w:r>
        <w:rPr>
          <w:rFonts w:ascii="Arial" w:cs="Arial" w:eastAsia="Arial" w:hAnsi="Arial"/>
          <w:sz w:val="24"/>
          <w:szCs w:val="24"/>
        </w:rPr>
        <w:t xml:space="preserve">│                  │       │ ВВП │       │ ВВП │       │ (+/-) │вклада│</w:t>
      </w:r>
    </w:p>
    <w:p>
      <w:pPr>
        <w:spacing w:after="120"/>
        <w:jc w:val="center"/>
      </w:pPr>
      <w:r>
        <w:rPr>
          <w:rFonts w:ascii="Arial" w:cs="Arial" w:eastAsia="Arial" w:hAnsi="Arial"/>
          <w:sz w:val="24"/>
          <w:szCs w:val="24"/>
        </w:rPr>
        <w:t xml:space="preserve">│                  │       │     │       │     │       │       │в рост│</w:t>
      </w:r>
    </w:p>
    <w:p>
      <w:pPr>
        <w:spacing w:after="120"/>
        <w:jc w:val="center"/>
      </w:pPr>
      <w:r>
        <w:rPr>
          <w:rFonts w:ascii="Arial" w:cs="Arial" w:eastAsia="Arial" w:hAnsi="Arial"/>
          <w:sz w:val="24"/>
          <w:szCs w:val="24"/>
        </w:rPr>
        <w:t xml:space="preserve">│                  │       │     │       │     │       │       │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млн. сомов   │47660,0│100  │50751,6│100  │48799,5│ 1952,1│ -6,8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100,6│     │   93,2│     │   93,3│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4041,0│  8,5│ 5800,4│ 11,4│ 4927,7│ -872,7│  0,09│</w:t>
      </w:r>
    </w:p>
    <w:p>
      <w:pPr>
        <w:spacing w:after="120"/>
        <w:jc w:val="center"/>
      </w:pPr>
      <w:r>
        <w:rPr>
          <w:rFonts w:ascii="Arial" w:cs="Arial" w:eastAsia="Arial" w:hAnsi="Arial"/>
          <w:sz w:val="24"/>
          <w:szCs w:val="24"/>
        </w:rPr>
        <w:t xml:space="preserve">│хозяйство,        │       │     │       │     │       │       │      │</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100,4│     │  101,0│     │  101,1│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│13898,2│ 29,2│ 9983,4│ 19,7│10943,4│ -960  │ -8,59│</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102,4│     │   70,6│     │   68,8│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1461,1│  3,1│ 1741,1│  3,4│ 1869,0│ -127,9│  0,37│</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79,3│     │  112,0│     │  120,2│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млн. сомов│22631,5│ 47,5│25632,5│ 50,5│26634,9│-1002,4│  2,14│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101,2│     │  104,5│     │  105,3│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на  │ 5628,2│ 11,8│ 7594,2│ 15,0│ 6030,5│ 1563,7│ -0,80│</w:t>
      </w:r>
    </w:p>
    <w:p>
      <w:pPr>
        <w:spacing w:after="120"/>
        <w:jc w:val="center"/>
      </w:pPr>
      <w:r>
        <w:rPr>
          <w:rFonts w:ascii="Arial" w:cs="Arial" w:eastAsia="Arial" w:hAnsi="Arial"/>
          <w:sz w:val="24"/>
          <w:szCs w:val="24"/>
        </w:rPr>
        <w:t xml:space="preserve">│продукты,         │       │     │       │     │       │       │      │</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w:t>
      </w:r>
    </w:p>
    <w:p>
      <w:pPr>
        <w:spacing w:after="120"/>
        <w:jc w:val="both"/>
      </w:pPr>
      <w:r>
        <w:rPr>
          <w:rFonts w:ascii="Arial" w:cs="Arial" w:eastAsia="Arial" w:hAnsi="Arial"/>
          <w:sz w:val="24"/>
          <w:szCs w:val="24"/>
        </w:rPr>
        <w:t xml:space="preserve">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Следует отметить, что фактически сложившийся реальный рост ВВП за январь-март 2012 года не достиг прогнозируемого уровня на 0,1 п.п.</w:t>
      </w:r>
    </w:p>
    <w:p>
      <w:pPr>
        <w:spacing w:after="120"/>
        <w:jc w:val="both"/>
      </w:pPr>
      <w:r>
        <w:rPr>
          <w:rFonts w:ascii="Arial" w:cs="Arial" w:eastAsia="Arial" w:hAnsi="Arial"/>
          <w:sz w:val="24"/>
          <w:szCs w:val="24"/>
        </w:rPr>
        <w:t xml:space="preserve">К числу основных факторов, на фоне которых складывались основные макроэкономические показатели в отчетном периоде, следует отнести следующие:</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- 4,1%; Казахстан - 4,6%; Узбекистан - 7,5%, Китай - 8,1%);</w:t>
      </w:r>
    </w:p>
    <w:p>
      <w:pPr>
        <w:spacing w:after="120"/>
        <w:jc w:val="both"/>
      </w:pPr>
      <w:r>
        <w:rPr>
          <w:rFonts w:ascii="Arial" w:cs="Arial" w:eastAsia="Arial" w:hAnsi="Arial"/>
          <w:sz w:val="24"/>
          <w:szCs w:val="24"/>
        </w:rPr>
        <w:t xml:space="preserve">- рост цен на золото с 1598 до 1662,5 долл.США за тройскую унцию (январь-март 2012 г.), рост по сравнению с аналогичным периодом 2011 года на 22%;</w:t>
      </w:r>
    </w:p>
    <w:p>
      <w:pPr>
        <w:spacing w:after="120"/>
        <w:jc w:val="both"/>
      </w:pPr>
      <w:r>
        <w:rPr>
          <w:rFonts w:ascii="Arial" w:cs="Arial" w:eastAsia="Arial" w:hAnsi="Arial"/>
          <w:sz w:val="24"/>
          <w:szCs w:val="24"/>
        </w:rPr>
        <w:t xml:space="preserve">- стабилизация долгового рынка стран Евросоюза, что повлекло за собой рост спроса на отечественную продукцию (рост экспорта в страны Дальнего зарубежья без учета золота по предварительным данным на 14%, а именно Германия - в 2,5 раза, Болгария - в 1,3 раза, Франция - в 5 раз);</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муку и высокое производство масличных культур в странах торговых партнерах;</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(Казахстан - 1,1%, Россия - 1,5%, Китай - 3,6%, Еврозона 2,7%).</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 рост цен на нефть с 107,1 долл.США за баррель до 122,8 долл.США (по сравнению с аналогичным периодом 2011 года составляет около 12,2%).</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низкий уровень инфляции, что обусловило реальный рост доходов населения (ИПЦ - 100,6% к декабрю предыдущего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35,0%; рост потребительских кредитов на 47%);</w:t>
      </w:r>
    </w:p>
    <w:p>
      <w:pPr>
        <w:spacing w:after="120"/>
        <w:jc w:val="both"/>
      </w:pPr>
      <w:r>
        <w:rPr>
          <w:rFonts w:ascii="Arial" w:cs="Arial" w:eastAsia="Arial" w:hAnsi="Arial"/>
          <w:sz w:val="24"/>
          <w:szCs w:val="24"/>
        </w:rPr>
        <w:t xml:space="preserve">- рост кредитов в экономику на 5%, реализация программы "Доступные кредиты фермерам - 2";</w:t>
      </w:r>
    </w:p>
    <w:p>
      <w:pPr>
        <w:spacing w:after="120"/>
        <w:jc w:val="both"/>
      </w:pPr>
      <w:r>
        <w:rPr>
          <w:rFonts w:ascii="Arial" w:cs="Arial" w:eastAsia="Arial" w:hAnsi="Arial"/>
          <w:sz w:val="24"/>
          <w:szCs w:val="24"/>
        </w:rPr>
        <w:t xml:space="preserve">- стабильный уровень цен на энергоносители, кроме цен на газ;</w:t>
      </w:r>
    </w:p>
    <w:p>
      <w:pPr>
        <w:spacing w:after="120"/>
        <w:jc w:val="both"/>
      </w:pPr>
      <w:r>
        <w:rPr>
          <w:rFonts w:ascii="Arial" w:cs="Arial" w:eastAsia="Arial" w:hAnsi="Arial"/>
          <w:sz w:val="24"/>
          <w:szCs w:val="24"/>
        </w:rPr>
        <w:t xml:space="preserve">- налоговые преференции для субъектов предпринимательства (например, поэтапное снижение ставок налога с продаж для плательщиков НДС и предоставление преференций для промышленных предприятий, осуществляющих деятельность в дотационных и преференциальных регионах, а также предоставление налоговых льгот в отношении средств, вкладываемых предпринимателями в развитие частных дошкольных учреждений, образовательных учреждений, учреждений здравоохранения; освобождение от уплаты таможенных сборов при ввозе оборудования, используемого в текстильной, швейной и мебельной отрасли хозяйствующими субъектами, непосредственно для собственных производственных целей и т.д.);</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государственного материального резерва.</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природно-климатические условия, которые оказали негативное воздействие на развитие агропромышленного комплекса (отставание весенне-полевых работ на 15-20 дней, падеж скота), промышленного производства (в металлургической промышленности снижен почти в 2,6 раза из-за усиления движения льда и пустой породы в юго-восточной части карьера на месторождении "Кумтор");</w:t>
      </w:r>
    </w:p>
    <w:p>
      <w:pPr>
        <w:spacing w:after="120"/>
        <w:jc w:val="both"/>
      </w:pPr>
      <w:r>
        <w:rPr>
          <w:rFonts w:ascii="Arial" w:cs="Arial" w:eastAsia="Arial" w:hAnsi="Arial"/>
          <w:sz w:val="24"/>
          <w:szCs w:val="24"/>
        </w:rPr>
        <w:t xml:space="preserve">- высокие процентные ставки по кредитам для развития бизнеса (19,5% - средневзвешенная процентная ставка);</w:t>
      </w:r>
    </w:p>
    <w:p>
      <w:pPr>
        <w:spacing w:after="120"/>
        <w:jc w:val="both"/>
      </w:pPr>
      <w:r>
        <w:rPr>
          <w:rFonts w:ascii="Arial" w:cs="Arial" w:eastAsia="Arial" w:hAnsi="Arial"/>
          <w:sz w:val="24"/>
          <w:szCs w:val="24"/>
        </w:rPr>
        <w:t xml:space="preserve">- задержка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за январь-март 2012 года (март 2012 года в % к декабрю 2011 года), составил 100,9%, тогда как за аналогичный период 2011 года составлял 106,4%. Среднегодовое значение инфляции составило 102,1% (январь-март 2012 г. к январю-марту 2011 г.), в 2011 году аналогичный показатель составил 120,3%.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показателя│Ед. │Январь-│Январь-│Отк. от│Прогнозные│ Отк.│</w:t>
      </w:r>
    </w:p>
    <w:p>
      <w:pPr>
        <w:spacing w:after="120"/>
        <w:jc w:val="center"/>
      </w:pPr>
      <w:r>
        <w:rPr>
          <w:rFonts w:ascii="Arial" w:cs="Arial" w:eastAsia="Arial" w:hAnsi="Arial"/>
          <w:sz w:val="24"/>
          <w:szCs w:val="24"/>
        </w:rPr>
        <w:t xml:space="preserve">│                       │изм.│  март │  март │ факт. │показатели│ от  │</w:t>
      </w:r>
    </w:p>
    <w:p>
      <w:pPr>
        <w:spacing w:after="120"/>
        <w:jc w:val="center"/>
      </w:pPr>
      <w:r>
        <w:rPr>
          <w:rFonts w:ascii="Arial" w:cs="Arial" w:eastAsia="Arial" w:hAnsi="Arial"/>
          <w:sz w:val="24"/>
          <w:szCs w:val="24"/>
        </w:rPr>
        <w:t xml:space="preserve">│                       │    │2012 г.│2011 г.│ (+,-) │на квартал│факт.│</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потребительских │ %  │ 100,9 │ 106,4 │  5,5  │   103,6  │ -2,7│</w:t>
      </w:r>
    </w:p>
    <w:p>
      <w:pPr>
        <w:spacing w:after="120"/>
        <w:jc w:val="center"/>
      </w:pPr>
      <w:r>
        <w:rPr>
          <w:rFonts w:ascii="Arial" w:cs="Arial" w:eastAsia="Arial" w:hAnsi="Arial"/>
          <w:sz w:val="24"/>
          <w:szCs w:val="24"/>
        </w:rPr>
        <w:t xml:space="preserve">│цен (в % к декабрю     │    │       │       │       │          │     │</w:t>
      </w:r>
    </w:p>
    <w:p>
      <w:pPr>
        <w:spacing w:after="120"/>
        <w:jc w:val="center"/>
      </w:pPr>
      <w:r>
        <w:rPr>
          <w:rFonts w:ascii="Arial" w:cs="Arial" w:eastAsia="Arial" w:hAnsi="Arial"/>
          <w:sz w:val="24"/>
          <w:szCs w:val="24"/>
        </w:rPr>
        <w:t xml:space="preserve">│предыдущего года)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целом сложившийся уровень цен формировался под воздействием таких основных факторов как:</w:t>
      </w:r>
    </w:p>
    <w:p>
      <w:pPr>
        <w:spacing w:after="120"/>
        <w:jc w:val="both"/>
      </w:pPr>
      <w:r>
        <w:rPr>
          <w:rFonts w:ascii="Arial" w:cs="Arial" w:eastAsia="Arial" w:hAnsi="Arial"/>
          <w:sz w:val="24"/>
          <w:szCs w:val="24"/>
        </w:rPr>
        <w:t xml:space="preserve">- снижение цен на внутреннем рынке на основные продовольственные товары (хлебобулочные изделия и крупы, масло и жиры, сахар);</w:t>
      </w:r>
    </w:p>
    <w:p>
      <w:pPr>
        <w:spacing w:after="120"/>
        <w:jc w:val="both"/>
      </w:pPr>
      <w:r>
        <w:rPr>
          <w:rFonts w:ascii="Arial" w:cs="Arial" w:eastAsia="Arial" w:hAnsi="Arial"/>
          <w:sz w:val="24"/>
          <w:szCs w:val="24"/>
        </w:rPr>
        <w:t xml:space="preserve">- умеренный рост цен на непродовольственные товары и услуги на внутреннем рынке;</w:t>
      </w:r>
    </w:p>
    <w:p>
      <w:pPr>
        <w:spacing w:after="120"/>
        <w:jc w:val="both"/>
      </w:pPr>
      <w:r>
        <w:rPr>
          <w:rFonts w:ascii="Arial" w:cs="Arial" w:eastAsia="Arial" w:hAnsi="Arial"/>
          <w:sz w:val="24"/>
          <w:szCs w:val="24"/>
        </w:rPr>
        <w:t xml:space="preserve">- стабильные цены на мировых продовольственных рынках, импортозависимых для Кыргызской Республики (Россия, Казахстан), за счет хороших урожаев сельскохозяйственных культур;</w:t>
      </w:r>
    </w:p>
    <w:p>
      <w:pPr>
        <w:spacing w:after="120"/>
        <w:jc w:val="both"/>
      </w:pPr>
      <w:r>
        <w:rPr>
          <w:rFonts w:ascii="Arial" w:cs="Arial" w:eastAsia="Arial" w:hAnsi="Arial"/>
          <w:sz w:val="24"/>
          <w:szCs w:val="24"/>
        </w:rPr>
        <w:t xml:space="preserve">- умеренный рост цен на мировом рынке продовольственных товаров (по данным ФАО, мировые цены на продовольствие в марте 2012 года остались практически неизменными с февраля. Индекс в марте составил 216 пунктов, что на 1 пункт выше февральского показателя);</w:t>
      </w:r>
    </w:p>
    <w:p>
      <w:pPr>
        <w:spacing w:after="120"/>
        <w:jc w:val="both"/>
      </w:pPr>
      <w:r>
        <w:rPr>
          <w:rFonts w:ascii="Arial" w:cs="Arial" w:eastAsia="Arial" w:hAnsi="Arial"/>
          <w:sz w:val="24"/>
          <w:szCs w:val="24"/>
        </w:rPr>
        <w:t xml:space="preserve">- стабильный уровень цен на коммунальные услуги, кроме цен на газ;</w:t>
      </w:r>
    </w:p>
    <w:p>
      <w:pPr>
        <w:spacing w:after="120"/>
        <w:jc w:val="both"/>
      </w:pPr>
      <w:r>
        <w:rPr>
          <w:rFonts w:ascii="Arial" w:cs="Arial" w:eastAsia="Arial" w:hAnsi="Arial"/>
          <w:sz w:val="24"/>
          <w:szCs w:val="24"/>
        </w:rPr>
        <w:t xml:space="preserve">- снижение цен на внутреннем рынке на бензин и увеличение цен на дизельное топливо (причиной повышения оптовых и розничных цен реализации дизтоплива на рынке Кыргызской Республики является повышение отпускных цен заводами-изготовителей);</w:t>
      </w:r>
    </w:p>
    <w:p>
      <w:pPr>
        <w:spacing w:after="120"/>
        <w:jc w:val="both"/>
      </w:pPr>
      <w:r>
        <w:rPr>
          <w:rFonts w:ascii="Arial" w:cs="Arial" w:eastAsia="Arial" w:hAnsi="Arial"/>
          <w:sz w:val="24"/>
          <w:szCs w:val="24"/>
        </w:rPr>
        <w:t xml:space="preserve">- рост мировых цен на сырую нефть (Urals) по итогам марта до 117,2 долл.США за баррель, марки Brent - до 122,8 долл.США за баррель, что связано с событиями в Ливии и эмбарго на вывоз нефти из Ирана;</w:t>
      </w:r>
    </w:p>
    <w:p>
      <w:pPr>
        <w:spacing w:after="120"/>
        <w:jc w:val="both"/>
      </w:pPr>
      <w:r>
        <w:rPr>
          <w:rFonts w:ascii="Arial" w:cs="Arial" w:eastAsia="Arial" w:hAnsi="Arial"/>
          <w:sz w:val="24"/>
          <w:szCs w:val="24"/>
        </w:rPr>
        <w:t xml:space="preserve">- сезонные колебания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умеренный рост инфляции в странах - основных торговых партнерах.</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 Казахстан - 1,1%, Россия - 1,5%, Китай - 3,6%, Еврозона - 2,7%).</w:t>
      </w:r>
    </w:p>
    <w:p>
      <w:pPr>
        <w:spacing w:after="120"/>
        <w:jc w:val="both"/>
      </w:pPr>
      <w:r>
        <w:rPr>
          <w:rFonts w:ascii="Arial" w:cs="Arial" w:eastAsia="Arial" w:hAnsi="Arial"/>
          <w:sz w:val="24"/>
          <w:szCs w:val="24"/>
        </w:rPr>
        <w:t xml:space="preserve">За январь-март 2012 года наблюдалось замедление цен на продовольственные товары (хлебобулочные изделия и крупы, масло и жиры, сахар). Немонетарные факторы являются ключевыми факторами, определившими динамику цен, - снижение цен на пищевые и безалкогольные напитки, которые занимают основную долю в общей потребительской корзине - 46,2%.</w:t>
      </w:r>
    </w:p>
    <w:p>
      <w:pPr>
        <w:spacing w:after="120"/>
        <w:jc w:val="both"/>
      </w:pPr>
      <w:r>
        <w:rPr>
          <w:rFonts w:ascii="Arial" w:cs="Arial" w:eastAsia="Arial" w:hAnsi="Arial"/>
          <w:sz w:val="24"/>
          <w:szCs w:val="24"/>
        </w:rPr>
        <w:t xml:space="preserve">Индекс цен на пищевые и безалкогольные напитки снизился на 0,6% (март 2012 г. к декабрю 2011 года), за аналогичный период в 2011 году данный показатель повысился на 12,2%. Влияние на формирование цен в данной группе товаров оказало снижение цен на пшеницу и продукты ее переработки. Так, цены на группу "хлебобулочные изделия и крупы" снизились на 3,8%, что произошло за счет снижения цен на муку первого сорта на - 9,2%, муку высшего сорта - на 3,5%, хлеб - на 1,9%, в связи с богатым урожаем в странах-производителях (Россия, где валовой сбор зерновых и зернобобовых культур в 2011 году составил более 93,8 млн. тонн; Казахстан, где в 2011 году был собран рекордный урожай - почти 27 млн. тонн зерна в чистом весе). Цены на масло и жиры снизились на 1,0%, сахар - на 0,2% за счет отмены таможенных пошлин на импортируемые сахар, растительное масло, рис и муку и высокого производства масличных культур в странах-торговых партнерах.</w:t>
      </w:r>
    </w:p>
    <w:p>
      <w:pPr>
        <w:spacing w:after="120"/>
        <w:jc w:val="both"/>
      </w:pPr>
      <w:r>
        <w:rPr>
          <w:rFonts w:ascii="Arial" w:cs="Arial" w:eastAsia="Arial" w:hAnsi="Arial"/>
          <w:sz w:val="24"/>
          <w:szCs w:val="24"/>
        </w:rPr>
        <w:t xml:space="preserve">При этом наблюдается повышение цен на плодоовощную продукцию на 3,2% (фрукты - на 1,6%, овощи - 3,9%), которое произошло под влиянием сезонных колебаний; мясо - на 0,3% и молочная продукция - на 1,1% за счет увеличения цен на корм животноводства и сезонного фактора.</w:t>
      </w:r>
    </w:p>
    <w:p>
      <w:pPr>
        <w:spacing w:after="120"/>
        <w:jc w:val="both"/>
      </w:pPr>
      <w:r>
        <w:rPr>
          <w:rFonts w:ascii="Arial" w:cs="Arial" w:eastAsia="Arial" w:hAnsi="Arial"/>
          <w:sz w:val="24"/>
          <w:szCs w:val="24"/>
        </w:rPr>
        <w:t xml:space="preserve">Индекс цен на алкогольные напитки и табачные изделия (удельный вес в потребительской корзине составляет 9,6%) повысился на 1,2%, в том числе алкогольные напитки - на 1,2%, табачные изделия - на 1,2%.</w:t>
      </w:r>
    </w:p>
    <w:p>
      <w:pPr>
        <w:spacing w:after="120"/>
        <w:jc w:val="both"/>
      </w:pPr>
      <w:r>
        <w:rPr>
          <w:rFonts w:ascii="Arial" w:cs="Arial" w:eastAsia="Arial" w:hAnsi="Arial"/>
          <w:sz w:val="24"/>
          <w:szCs w:val="24"/>
        </w:rPr>
        <w:t xml:space="preserve">Наблюдался умеренный рост цен на непродовольственные товары (удельный вес в потребительской корзине составляет 29,7%), которые повысились на 2,6% (в 2011 году повысились на 1,5%). В целом, рост цен на непродовольственные товары сложился, в основном, за счет удорожания группы "одежда и обувь" - на 4,2%, предметы домашнего обихода - на 2,7%.</w:t>
      </w:r>
    </w:p>
    <w:p>
      <w:pPr>
        <w:spacing w:after="120"/>
        <w:jc w:val="both"/>
      </w:pPr>
      <w:r>
        <w:rPr>
          <w:rFonts w:ascii="Arial" w:cs="Arial" w:eastAsia="Arial" w:hAnsi="Arial"/>
          <w:sz w:val="24"/>
          <w:szCs w:val="24"/>
        </w:rPr>
        <w:t xml:space="preserve">Цены на горюче-смазочные материалы за январь-март 2012 года (к декабрю 2011 года) снизились - на 2,4%, в том числе бензин на 2,7%, при этом дизельное топливо подорожало - на 1,4%, что обусловлено повышением отпускных цен заводами-изготовителями из-за дефицита летнего дизельного топлива на рынке России, образовавшегося в связи с возросшим спросом при осуществлении весенне-полевых работ, где для фермерских и крестьянских хозяйств РФ летнее дизельное топливо реализуется со значительной скидкой (около 30%), поэтому данные потери компенсируются за счет экспорта на внешние рынки, в том числе и Кыргызской Республики.</w:t>
      </w:r>
    </w:p>
    <w:p>
      <w:pPr>
        <w:spacing w:after="120"/>
        <w:jc w:val="both"/>
      </w:pPr>
      <w:r>
        <w:rPr>
          <w:rFonts w:ascii="Arial" w:cs="Arial" w:eastAsia="Arial" w:hAnsi="Arial"/>
          <w:sz w:val="24"/>
          <w:szCs w:val="24"/>
        </w:rPr>
        <w:t xml:space="preserve">За рассматриваемый период цены на услуги (удельный вес в потребительской корзине составляет - 14,5%) в целом возросли на 1,6%, за аналогичный период в 2011 году данный показатель составил 2,5%. Наибольший вклад в рост общего уровня цен данной группы внесло удорожание услуг ресторанов и гостиниц - на 5,5%, организация отдыха и культурных мероприятий - на 2,6%. Отмечался рост цен на амбулаторные услуги - на 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Правительства и Национального банка Кыргызской Республики были направлены на сдерживание монетарных факторов инфляции посредством применения инструментов денежно-кредитной политики, где первоочередной задачей являлось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По данным аналитического баланса НБКР, денежная база за январь-март 2012 года уменьшилась на 1,9% и на конец марта 2012 года составила 53,8 млрд. сомов (уменьшение денежной базы за аналогичный период 2011 года составляло 7,2%). Объем денег в обращении на конец I квартала 2012 года составил 48,3 млрд. сомов, сократившись с начала текущего года на 3,1% (за аналогичный период 2011 года объем денег в обращении сократился на 5,6%).</w:t>
      </w:r>
    </w:p>
    <w:p>
      <w:pPr>
        <w:spacing w:after="120"/>
        <w:jc w:val="both"/>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на конец марта 2012 года составил 62,6 млрд. сомов, увеличившись за рассматриваемый период на 0,7% (в январе-марте 2011 года денежный агрегат М2 сократился на 4,8%).</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с начала 2012 года увеличился на 1,8%, составив на конец марта 81,0 млрд. сомов, (в сопоставимом периоде 2011 года наблюдалось сокращение М2Х на 3,7%). При этом, объем депозитов вырос(1) на 8,1%, до 34,9 млрд. сомов, а объем денег вне банков сократился на 2,5%, до 46,0 млрд. сомов (объем денег вне банков за январь-март 2011 года уменьшился на 5,9%, а объем депозитов - на 0,4%).</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январе-марте 2011 года кредит в экономику вырос на 2,8%).</w:t>
      </w:r>
    </w:p>
    <w:p>
      <w:pPr>
        <w:spacing w:after="120"/>
        <w:jc w:val="both"/>
      </w:pPr>
      <w:r>
        <w:rPr>
          <w:rFonts w:ascii="Arial" w:cs="Arial" w:eastAsia="Arial" w:hAnsi="Arial"/>
          <w:sz w:val="24"/>
          <w:szCs w:val="24"/>
        </w:rPr>
        <w:t xml:space="preserve">По состоянию на 31 марта 2012 года, средневзвешенные процентные ставки по кредитам на конец периода составили 19,5% (в т.ч. в национальной валюте - 21,9%, в иностранной - 17,6%). В январе-марте 2012 года по вновь выданным кредитам средневзвешенные процентные ставки составили - 21,2% (в т.ч. в национальной валюте - 22,1%, в иностранной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денежно-кредитной политики на конец периода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  │Фактические│Показатели│Абсолютное│  Откл. │</w:t>
      </w:r>
    </w:p>
    <w:p>
      <w:pPr>
        <w:spacing w:after="120"/>
        <w:jc w:val="center"/>
      </w:pPr>
      <w:r>
        <w:rPr>
          <w:rFonts w:ascii="Arial" w:cs="Arial" w:eastAsia="Arial" w:hAnsi="Arial"/>
          <w:sz w:val="24"/>
          <w:szCs w:val="24"/>
        </w:rPr>
        <w:t xml:space="preserve">│    показателя    │измере-│показатели │   пред.  │изменение │от факт.│</w:t>
      </w:r>
    </w:p>
    <w:p>
      <w:pPr>
        <w:spacing w:after="120"/>
        <w:jc w:val="center"/>
      </w:pPr>
      <w:r>
        <w:rPr>
          <w:rFonts w:ascii="Arial" w:cs="Arial" w:eastAsia="Arial" w:hAnsi="Arial"/>
          <w:sz w:val="24"/>
          <w:szCs w:val="24"/>
        </w:rPr>
        <w:t xml:space="preserve">│                  │  ния  │   март    │  периода │          │  (+,-) │</w:t>
      </w:r>
    </w:p>
    <w:p>
      <w:pPr>
        <w:spacing w:after="120"/>
        <w:jc w:val="center"/>
      </w:pPr>
      <w:r>
        <w:rPr>
          <w:rFonts w:ascii="Arial" w:cs="Arial" w:eastAsia="Arial" w:hAnsi="Arial"/>
          <w:sz w:val="24"/>
          <w:szCs w:val="24"/>
        </w:rPr>
        <w:t xml:space="preserve">│                  │       │  2012 г.  │ дек. 2011│          │   в %  │</w:t>
      </w:r>
    </w:p>
    <w:p>
      <w:pPr>
        <w:spacing w:after="120"/>
        <w:jc w:val="center"/>
      </w:pPr>
      <w:r>
        <w:rPr>
          <w:rFonts w:ascii="Arial" w:cs="Arial" w:eastAsia="Arial" w:hAnsi="Arial"/>
          <w:sz w:val="24"/>
          <w:szCs w:val="24"/>
        </w:rPr>
        <w:t xml:space="preserve">│                  │       │           │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│Денежная база     │млн.   │  53781,6  │  54803,2 │  -1021,6 │  -1,9  │</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│Деньги в обращении│млн.   │  48339,4  │  49866,9 │  -1527,6 │  -3,1  │</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│Деньги вне банков │млн.   │  46029,9  │  47219,6 │  -1189,7 │  -2,5  │</w:t>
      </w:r>
    </w:p>
    <w:p>
      <w:pPr>
        <w:spacing w:after="120"/>
        <w:jc w:val="center"/>
      </w:pPr>
      <w:r>
        <w:rPr>
          <w:rFonts w:ascii="Arial" w:cs="Arial" w:eastAsia="Arial" w:hAnsi="Arial"/>
          <w:sz w:val="24"/>
          <w:szCs w:val="24"/>
        </w:rPr>
        <w:t xml:space="preserve">│(МО)(*)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│Денежная масса    │млн.   │  62557,5  │  62125,3 │    432,2 │   0,7  │</w:t>
      </w:r>
    </w:p>
    <w:p>
      <w:pPr>
        <w:spacing w:after="120"/>
        <w:jc w:val="center"/>
      </w:pPr>
      <w:r>
        <w:rPr>
          <w:rFonts w:ascii="Arial" w:cs="Arial" w:eastAsia="Arial" w:hAnsi="Arial"/>
          <w:sz w:val="24"/>
          <w:szCs w:val="24"/>
        </w:rPr>
        <w:t xml:space="preserve">│(М2)(*)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│Денежная масса    │млн.   │  80950,0  │  79527,8 │   1422,2 │   1,8  │</w:t>
      </w:r>
    </w:p>
    <w:p>
      <w:pPr>
        <w:spacing w:after="120"/>
        <w:jc w:val="center"/>
      </w:pPr>
      <w:r>
        <w:rPr>
          <w:rFonts w:ascii="Arial" w:cs="Arial" w:eastAsia="Arial" w:hAnsi="Arial"/>
          <w:sz w:val="24"/>
          <w:szCs w:val="24"/>
        </w:rPr>
        <w:t xml:space="preserve">│(М2Х)(*)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│Депозиты,         │млн.   │  34920,2  │  32308,2 │   2612,0 │   8,1  │</w:t>
      </w:r>
    </w:p>
    <w:p>
      <w:pPr>
        <w:spacing w:after="120"/>
        <w:jc w:val="center"/>
      </w:pPr>
      <w:r>
        <w:rPr>
          <w:rFonts w:ascii="Arial" w:cs="Arial" w:eastAsia="Arial" w:hAnsi="Arial"/>
          <w:sz w:val="24"/>
          <w:szCs w:val="24"/>
        </w:rPr>
        <w:t xml:space="preserve">│включаемые в      │сомов  │           │          │          │        │</w:t>
      </w:r>
    </w:p>
    <w:p>
      <w:pPr>
        <w:spacing w:after="120"/>
        <w:jc w:val="center"/>
      </w:pPr>
      <w:r>
        <w:rPr>
          <w:rFonts w:ascii="Arial" w:cs="Arial" w:eastAsia="Arial" w:hAnsi="Arial"/>
          <w:sz w:val="24"/>
          <w:szCs w:val="24"/>
        </w:rPr>
        <w:t xml:space="preserve">│М2Х(*)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 в          │млн.   │  34998,8  │  33321,9 │   1676,9 │   5,0  │</w:t>
      </w:r>
    </w:p>
    <w:p>
      <w:pPr>
        <w:spacing w:after="120"/>
        <w:jc w:val="center"/>
      </w:pPr>
      <w:r>
        <w:rPr>
          <w:rFonts w:ascii="Arial" w:cs="Arial" w:eastAsia="Arial" w:hAnsi="Arial"/>
          <w:sz w:val="24"/>
          <w:szCs w:val="24"/>
        </w:rPr>
        <w:t xml:space="preserve">│экономику(*)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│Обменный курс     │сом/   │  46,8275  │  46,4847 │  0,3428  │   0,7  │</w:t>
      </w:r>
    </w:p>
    <w:p>
      <w:pPr>
        <w:spacing w:after="120"/>
        <w:jc w:val="center"/>
      </w:pPr>
      <w:r>
        <w:rPr>
          <w:rFonts w:ascii="Arial" w:cs="Arial" w:eastAsia="Arial" w:hAnsi="Arial"/>
          <w:sz w:val="24"/>
          <w:szCs w:val="24"/>
        </w:rPr>
        <w:t xml:space="preserve">│                  │долл.  │           │          │          │        │</w:t>
      </w:r>
    </w:p>
    <w:p>
      <w:pPr>
        <w:spacing w:after="120"/>
        <w:jc w:val="center"/>
      </w:pPr>
      <w:r>
        <w:rPr>
          <w:rFonts w:ascii="Arial" w:cs="Arial" w:eastAsia="Arial" w:hAnsi="Arial"/>
          <w:sz w:val="24"/>
          <w:szCs w:val="24"/>
        </w:rPr>
        <w:t xml:space="preserve">│                  │США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предварительные данные.</w:t>
      </w:r>
    </w:p>
    <w:p>
      <w:pPr>
        <w:spacing w:after="120"/>
        <w:jc w:val="both"/>
      </w:pPr>
      <w:r>
        <w:rPr>
          <w:rFonts w:ascii="Arial" w:cs="Arial" w:eastAsia="Arial" w:hAnsi="Arial"/>
          <w:sz w:val="24"/>
          <w:szCs w:val="24"/>
        </w:rPr>
        <w:t xml:space="preserve">Объем международных резервов по состоянию на 31 марта 2012 года, составил 1862,1 млрд. долл.США, увеличившись с начала 2012 года на 27,6 млн. долл.США или на 1,5%. За период с начала 2012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операции по покупке золота на внутреннем рынке Кыргызстана;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Обменный курс. За январь-март 2012 года объем покупок Национального банка Кыргызской Республики составил 4,8 млн. долл.США, а объем продажи - 35,1 млн. долл.США. Чистая продажа на межбанковском валютном рынке составила 30,3 млн. долл.США (в I квартале 2011 года объем чистой продажи иностранной валюты составлял 62,5 млн. долл.США).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2012 года повысился на 0,7% с 46,4847 сома за 1 доллар США в начале января до 46,8275 сома за 1 доллар США на конец марта 2012 года.</w:t>
      </w:r>
    </w:p>
    <w:p>
      <w:pPr>
        <w:spacing w:after="120"/>
        <w:jc w:val="both"/>
      </w:pPr>
      <w:r>
        <w:rPr>
          <w:rFonts w:ascii="Arial" w:cs="Arial" w:eastAsia="Arial" w:hAnsi="Arial"/>
          <w:sz w:val="24"/>
          <w:szCs w:val="24"/>
        </w:rPr>
        <w:t xml:space="preserve">Национальный банк Кыргызской Республики намерен придерживаться практики предотвращения резких колебаний обменного курса сома к доллару США и при необходимости участвовать на внутреннем валютном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банковской системы(2)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29 февраля 2012 года(3), на территории Кыргызской Республики действовало 22 коммерческих банка(4) (включая Бишкекский филиал Национального банка Пакистана) и 254 филиала коммерческих банков. В аналогичном периоде 2011 года осуществляли деятельность также 22 коммерческих банка.</w:t>
      </w:r>
    </w:p>
    <w:p>
      <w:pPr>
        <w:spacing w:after="120"/>
        <w:jc w:val="both"/>
      </w:pPr>
      <w:r>
        <w:rPr>
          <w:rFonts w:ascii="Arial" w:cs="Arial" w:eastAsia="Arial" w:hAnsi="Arial"/>
          <w:sz w:val="24"/>
          <w:szCs w:val="24"/>
        </w:rPr>
        <w:t xml:space="preserve">На 29 февраля 2012 года банковской системой в целом получена чистая прибыль в размере 308,1 млн. сомов (в 2011 году прибыль - 191,0 млн. сомов). Суммарные активы банковской системы увеличились с начала года на 3,4% и составили 69,0 млрд. сомов.</w:t>
      </w:r>
    </w:p>
    <w:p>
      <w:pPr>
        <w:spacing w:after="120"/>
        <w:jc w:val="both"/>
      </w:pPr>
      <w:r>
        <w:rPr>
          <w:rFonts w:ascii="Arial" w:cs="Arial" w:eastAsia="Arial" w:hAnsi="Arial"/>
          <w:sz w:val="24"/>
          <w:szCs w:val="24"/>
        </w:rPr>
        <w:t xml:space="preserve">Общая депозитная база(5) банковской системы в целом составила 41,63 млрд. сомов, увеличившись с начала года на 3,3%, в том числе:</w:t>
      </w:r>
    </w:p>
    <w:p>
      <w:pPr>
        <w:spacing w:after="120"/>
        <w:jc w:val="both"/>
      </w:pPr>
      <w:r>
        <w:rPr>
          <w:rFonts w:ascii="Arial" w:cs="Arial" w:eastAsia="Arial" w:hAnsi="Arial"/>
          <w:sz w:val="24"/>
          <w:szCs w:val="24"/>
        </w:rPr>
        <w:t xml:space="preserve">- депозиты предприятий и населения составили 33,44 млрд. сомов, прирост с начала года - на 4,0%;</w:t>
      </w:r>
    </w:p>
    <w:p>
      <w:pPr>
        <w:spacing w:after="120"/>
        <w:jc w:val="both"/>
      </w:pPr>
      <w:r>
        <w:rPr>
          <w:rFonts w:ascii="Arial" w:cs="Arial" w:eastAsia="Arial" w:hAnsi="Arial"/>
          <w:sz w:val="24"/>
          <w:szCs w:val="24"/>
        </w:rPr>
        <w:t xml:space="preserve">- депозиты банков и других ФКУ составили 3,51 млрд. сомов, прирост с начала года - на 4,0%;</w:t>
      </w:r>
    </w:p>
    <w:p>
      <w:pPr>
        <w:spacing w:after="120"/>
        <w:jc w:val="both"/>
      </w:pPr>
      <w:r>
        <w:rPr>
          <w:rFonts w:ascii="Arial" w:cs="Arial" w:eastAsia="Arial" w:hAnsi="Arial"/>
          <w:sz w:val="24"/>
          <w:szCs w:val="24"/>
        </w:rPr>
        <w:t xml:space="preserve">- депозиты органов власти составили 4,68 млрд. сомов, снизившись с начала года - на 1,7%.</w:t>
      </w:r>
    </w:p>
    <w:p>
      <w:pPr>
        <w:spacing w:after="120"/>
        <w:jc w:val="both"/>
      </w:pPr>
      <w:r>
        <w:rPr>
          <w:rFonts w:ascii="Arial" w:cs="Arial" w:eastAsia="Arial" w:hAnsi="Arial"/>
          <w:sz w:val="24"/>
          <w:szCs w:val="24"/>
        </w:rPr>
        <w:t xml:space="preserve">Общий объем депозитной базы(6) в кредитных союзах по сравнению с итогом 2010 г.(7), увеличился на 486,2 тыс. сомов или на 1,4% и на конец периода составил 35461,5 тыс. сомов (за 2010 год объем депозитов составил 34975,30 тыс. сомов).</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Уровень "долларизации" депозитов физических и юридических лиц банковской системы в целом, по состоянию на 29 февраля 2012 года, составил 53,6% (снижение с начала года на 0,6 процентных пункта).</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29 февраля 2012 года, составил 31,42 млрд. сомов, увеличившись с начала года на 0,9% (на конец 2011 года - 31,14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29 февраля 2012 года, составила 10,4% или 3,27 млрд. сомов (на конец 2011 года - 10,2% или 3,17 млрд. сомов). Кроме этого, в феврале 2012 года отмечается продолжение роста просроченных кредитов - с 2,42 млрд. сомов на начало года до 3,15 млрд. сомов или на 30,1%.</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29 февраля 2012 года, составил 55,9%, увеличившись с начала года на 0,7 процентных пункта.</w:t>
      </w:r>
    </w:p>
    <w:p>
      <w:pPr>
        <w:spacing w:after="120"/>
        <w:jc w:val="both"/>
      </w:pPr>
      <w:r>
        <w:rPr>
          <w:rFonts w:ascii="Arial" w:cs="Arial" w:eastAsia="Arial" w:hAnsi="Arial"/>
          <w:sz w:val="24"/>
          <w:szCs w:val="24"/>
        </w:rPr>
        <w:t xml:space="preserve">Кредитный портфель небанковских финансово-кредитных учреждений составил 15,7 млрд. сомов и по сравнению с итогами 2010 года(8) (кредитный портфель на 31.12.2010 г. - 11,1 млрд. сомов) увеличился на 4,6 млрд. сомов или на 42%.</w:t>
      </w:r>
    </w:p>
    <w:p>
      <w:pPr>
        <w:spacing w:after="120"/>
        <w:jc w:val="both"/>
      </w:pPr>
      <w:r>
        <w:rPr>
          <w:rFonts w:ascii="Arial" w:cs="Arial" w:eastAsia="Arial" w:hAnsi="Arial"/>
          <w:sz w:val="24"/>
          <w:szCs w:val="24"/>
        </w:rPr>
        <w:t xml:space="preserve">Средневзвешенная процентная ставка по кредитам НФКУ за 2011 год составляла: по кредитам Финансовой компании по поддержке кредитных союзов (ФКПРКС) - 15,8%, по кредитам микрофинансовых организаций (МФО) 38,3% и кредитам кредитных союзов (КС) - 29,0%. Средневзвешенная процентная ставка за 2010 год соответственно составляла: ФКПРКС - 15,5%, МФО - 38,8% и КС - 30,7%.</w:t>
      </w:r>
    </w:p>
    <w:p>
      <w:pPr>
        <w:spacing w:after="120"/>
        <w:jc w:val="both"/>
      </w:pPr>
      <w:r>
        <w:rPr>
          <w:rFonts w:ascii="Arial" w:cs="Arial" w:eastAsia="Arial" w:hAnsi="Arial"/>
          <w:sz w:val="24"/>
          <w:szCs w:val="24"/>
        </w:rPr>
        <w:t xml:space="preserve">Показатель чистого суммарного капитала (ЧСК) банковской системы в целом, применяемый для расчета установленных НБКР экономических нормативов, на 29 февраля 2012 года составил 13,80 млрд. сомов, увеличившись с начала года на 0,4 млрд. сомов или на 2,8% (на конец 2011 года ЧСК составлял 13,43 млрд. сомов).</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Формирование чистой прибыли банковской системы сопровождалось следующим: суммарные доходы коммерческих банков к 29 февраля 2012 года составили 3,56 млрд. сомов, суммарные расходы - 1,38 млрд. сомов. При этом, в суммарных доходах(9) процентные доходы составили 31,6%, и непроцентные - 68,4% (в аналогичном периоде 2011 года это соотношение составляло 72,1% и 27,9%, соответственно). Такое радикальное изменение структуры суммарных доходов произошло в связи с тем, что значительно (более чем в 19 раз) выросли доходы от операций с инвалютой (у ОАО "Казкоммерцбанк-Кыргызстан" - 58,4% всего прироста в банковской системе и ЗАО "Демир КИБ" - 18,0%). В суммарных расходах наибольшую долю составили административные и операционные расходы (62,9%), а также процентные расходы (26,7%). Непроцентные расходы в суммарных расходах банковской системы составили 2,9%. Удельный вес расходов на РППУ и налога на прибыль в структуре суммарных расходов составили 4,7% и 2,8%, соответственно.</w:t>
      </w:r>
    </w:p>
    <w:p>
      <w:pPr>
        <w:spacing w:after="120"/>
        <w:jc w:val="both"/>
      </w:pPr>
      <w:r>
        <w:rPr>
          <w:rFonts w:ascii="Arial" w:cs="Arial" w:eastAsia="Arial" w:hAnsi="Arial"/>
          <w:sz w:val="24"/>
          <w:szCs w:val="24"/>
        </w:rPr>
        <w:t xml:space="preserve">По сравнению с аналогичным периодом 2011 года отмечается увеличение доходов на 26,8% и расходов - на 20,7%. Увеличение расходов в целом связано с увеличением административных и операционных расходов на 12,5%.</w:t>
      </w:r>
    </w:p>
    <w:p>
      <w:pPr>
        <w:spacing w:after="120"/>
        <w:jc w:val="both"/>
      </w:pPr>
      <w:r>
        <w:rPr>
          <w:rFonts w:ascii="Arial" w:cs="Arial" w:eastAsia="Arial" w:hAnsi="Arial"/>
          <w:sz w:val="24"/>
          <w:szCs w:val="24"/>
        </w:rPr>
        <w:t xml:space="preserve">Доходность активов банковской системы (ROA), по состоянию на 29 февраля 2012 года, составила 2,7%, а доходность на вложенный капитал (ROE) - 14,0%.</w:t>
      </w:r>
    </w:p>
    <w:p>
      <w:pPr>
        <w:spacing w:after="120"/>
        <w:jc w:val="both"/>
      </w:pPr>
      <w:r>
        <w:rPr>
          <w:rFonts w:ascii="Arial" w:cs="Arial" w:eastAsia="Arial" w:hAnsi="Arial"/>
          <w:sz w:val="24"/>
          <w:szCs w:val="24"/>
        </w:rPr>
        <w:t xml:space="preserve">По состоянию на 29 февраля 2012 года, общий уровень финансового посредничества (активы/ВВП) составил 25,0% (на начало 2012 года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2.1. Промышленность(10)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январь-март 2012 года промышленными предприятиями произведено продукции на сумму 28,2 млрд. сомов, где объем производства по сравнению с соответствующим периодом 2011 года снизился и составил 72,3%. Без учета предприятий по разработке месторождения "Кумтор" - 17,6 млрд. сомов, или реальный рост составил 117,2%.</w:t>
      </w:r>
    </w:p>
    <w:p>
      <w:pPr>
        <w:spacing w:after="120"/>
        <w:jc w:val="both"/>
      </w:pPr>
      <w:r>
        <w:rPr>
          <w:rFonts w:ascii="Arial" w:cs="Arial" w:eastAsia="Arial" w:hAnsi="Arial"/>
          <w:sz w:val="24"/>
          <w:szCs w:val="24"/>
        </w:rPr>
        <w:t xml:space="preserve">Отрицательный вклад в формирование ВВП со стороны промышленного производства является весомым и оценивается на уровне (-) 8,6 процентных пункта включая предприятия по разработке месторождения "Кумтор" (отрицательный вклад (-) 10,5 процентных пункта). Удельный вес промышленности в структуре производства ВВП составил 19,7%, снизившись на 9,5 процентных пункта по сравнению с соответствующим периодом 2011 года.</w:t>
      </w:r>
    </w:p>
    <w:p>
      <w:pPr>
        <w:spacing w:after="120"/>
        <w:jc w:val="both"/>
      </w:pPr>
      <w:r>
        <w:rPr>
          <w:rFonts w:ascii="Arial" w:cs="Arial" w:eastAsia="Arial" w:hAnsi="Arial"/>
          <w:sz w:val="24"/>
          <w:szCs w:val="24"/>
        </w:rPr>
        <w:t xml:space="preserve">Рост физического объема промышленной продукции достигнут во всех регионах республики, за исключением Иссык-Кульской области. Реальный рост объема промышленной продукции в январе-марте 2012 года обеспечен хозяйствующими субъектами Джалал-Абадской (113,7%), Нарынской (115,2%), Таласской (132,5%) областей и гг. Бишкек (117,8%) и Ош (136,4%). Основной вклад в объем промышленного производства традиционно внесен Иссык-Кульской (19,8%), Чуйской (35,1%), Джалал-Абадской (12,1%) областями и г.Бишкек (23,8%), доля которых по итогам за январь-март 2012 года составила 90,8%. В Иссык-Кульской области объем производства промышленной продукции снизился и составил 38,8%, за счет падения производства на предприятиях по разработке месторождения "Кумтор", удельный вес которого в промышленности республики продолжает оставаться высоким, составив 37,5%.</w:t>
      </w:r>
    </w:p>
    <w:p>
      <w:pPr>
        <w:spacing w:after="120"/>
        <w:jc w:val="both"/>
      </w:pPr>
      <w:r>
        <w:rPr>
          <w:rFonts w:ascii="Arial" w:cs="Arial" w:eastAsia="Arial" w:hAnsi="Arial"/>
          <w:sz w:val="24"/>
          <w:szCs w:val="24"/>
        </w:rPr>
        <w:t xml:space="preserve">Поэтому, по-прежнему влияние "Кумтора" на развитие промышленного производства велико.</w:t>
      </w:r>
    </w:p>
    <w:p>
      <w:pPr>
        <w:spacing w:after="120"/>
        <w:jc w:val="both"/>
      </w:pPr>
      <w:r>
        <w:rPr>
          <w:rFonts w:ascii="Arial" w:cs="Arial" w:eastAsia="Arial" w:hAnsi="Arial"/>
          <w:sz w:val="24"/>
          <w:szCs w:val="24"/>
        </w:rPr>
        <w:t xml:space="preserve">В основных секторах промышленности в январе-марте 2012 года ситуация сложилась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Уд.  │Январь-│Январь-│Откл.│Прогнозные│ Откл.│</w:t>
      </w:r>
    </w:p>
    <w:p>
      <w:pPr>
        <w:spacing w:after="120"/>
        <w:jc w:val="center"/>
      </w:pPr>
      <w:r>
        <w:rPr>
          <w:rFonts w:ascii="Arial" w:cs="Arial" w:eastAsia="Arial" w:hAnsi="Arial"/>
          <w:sz w:val="24"/>
          <w:szCs w:val="24"/>
        </w:rPr>
        <w:t xml:space="preserve">│                     │ вес в │ март  │ март  │ от  │показатели│  от  │</w:t>
      </w:r>
    </w:p>
    <w:p>
      <w:pPr>
        <w:spacing w:after="120"/>
        <w:jc w:val="center"/>
      </w:pPr>
      <w:r>
        <w:rPr>
          <w:rFonts w:ascii="Arial" w:cs="Arial" w:eastAsia="Arial" w:hAnsi="Arial"/>
          <w:sz w:val="24"/>
          <w:szCs w:val="24"/>
        </w:rPr>
        <w:t xml:space="preserve">│                     │ общем │2012 г.│2011 г.│факт.│на январь-│прогн.│</w:t>
      </w:r>
    </w:p>
    <w:p>
      <w:pPr>
        <w:spacing w:after="120"/>
        <w:jc w:val="center"/>
      </w:pPr>
      <w:r>
        <w:rPr>
          <w:rFonts w:ascii="Arial" w:cs="Arial" w:eastAsia="Arial" w:hAnsi="Arial"/>
          <w:sz w:val="24"/>
          <w:szCs w:val="24"/>
        </w:rPr>
        <w:t xml:space="preserve">│                     │объеме │ пред. │ факт. │(+,-)│   март   │ (+,-)│</w:t>
      </w:r>
    </w:p>
    <w:p>
      <w:pPr>
        <w:spacing w:after="120"/>
        <w:jc w:val="center"/>
      </w:pPr>
      <w:r>
        <w:rPr>
          <w:rFonts w:ascii="Arial" w:cs="Arial" w:eastAsia="Arial" w:hAnsi="Arial"/>
          <w:sz w:val="24"/>
          <w:szCs w:val="24"/>
        </w:rPr>
        <w:t xml:space="preserve">│                     │ пром.,│ факт. │       │     │  2012 г. │      │</w:t>
      </w:r>
    </w:p>
    <w:p>
      <w:pPr>
        <w:spacing w:after="120"/>
        <w:jc w:val="center"/>
      </w:pPr>
      <w:r>
        <w:rPr>
          <w:rFonts w:ascii="Arial" w:cs="Arial" w:eastAsia="Arial" w:hAnsi="Arial"/>
          <w:sz w:val="24"/>
          <w:szCs w:val="24"/>
        </w:rPr>
        <w:t xml:space="preserve">│                     │январь-│       │       │     │          │      │</w:t>
      </w:r>
    </w:p>
    <w:p>
      <w:pPr>
        <w:spacing w:after="120"/>
        <w:jc w:val="center"/>
      </w:pPr>
      <w:r>
        <w:rPr>
          <w:rFonts w:ascii="Arial" w:cs="Arial" w:eastAsia="Arial" w:hAnsi="Arial"/>
          <w:sz w:val="24"/>
          <w:szCs w:val="24"/>
        </w:rPr>
        <w:t xml:space="preserve">│                     │ март  │       │       │     │          │      │</w:t>
      </w:r>
    </w:p>
    <w:p>
      <w:pPr>
        <w:spacing w:after="120"/>
        <w:jc w:val="center"/>
      </w:pPr>
      <w:r>
        <w:rPr>
          <w:rFonts w:ascii="Arial" w:cs="Arial" w:eastAsia="Arial" w:hAnsi="Arial"/>
          <w:sz w:val="24"/>
          <w:szCs w:val="24"/>
        </w:rPr>
        <w:t xml:space="preserve">│                     │2012 г.│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всего│ 100,0 │  72,3 │ 101,4 │-29,1│    72,4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без учета│  62,5 │ 117,2 │ 111,9 │  5,3│   118,2  │ -1,0 │</w:t>
      </w:r>
    </w:p>
    <w:p>
      <w:pPr>
        <w:spacing w:after="120"/>
        <w:jc w:val="center"/>
      </w:pPr>
      <w:r>
        <w:rPr>
          <w:rFonts w:ascii="Arial" w:cs="Arial" w:eastAsia="Arial" w:hAnsi="Arial"/>
          <w:sz w:val="24"/>
          <w:szCs w:val="24"/>
        </w:rPr>
        <w:t xml:space="preserve">│предприятий по       │       │       │       │     │          │      │</w:t>
      </w:r>
    </w:p>
    <w:p>
      <w:pPr>
        <w:spacing w:after="120"/>
        <w:jc w:val="center"/>
      </w:pPr>
      <w:r>
        <w:rPr>
          <w:rFonts w:ascii="Arial" w:cs="Arial" w:eastAsia="Arial" w:hAnsi="Arial"/>
          <w:sz w:val="24"/>
          <w:szCs w:val="24"/>
        </w:rPr>
        <w:t xml:space="preserve">│разработке           │       │       │       │     │          │      │</w:t>
      </w:r>
    </w:p>
    <w:p>
      <w:pPr>
        <w:spacing w:after="120"/>
        <w:jc w:val="center"/>
      </w:pPr>
      <w:r>
        <w:rPr>
          <w:rFonts w:ascii="Arial" w:cs="Arial" w:eastAsia="Arial" w:hAnsi="Arial"/>
          <w:sz w:val="24"/>
          <w:szCs w:val="24"/>
        </w:rPr>
        <w:t xml:space="preserve">│месторождения        │       │       │       │     │          │      │</w:t>
      </w:r>
    </w:p>
    <w:p>
      <w:pPr>
        <w:spacing w:after="120"/>
        <w:jc w:val="center"/>
      </w:pPr>
      <w:r>
        <w:rPr>
          <w:rFonts w:ascii="Arial" w:cs="Arial" w:eastAsia="Arial" w:hAnsi="Arial"/>
          <w:sz w:val="24"/>
          <w:szCs w:val="24"/>
        </w:rPr>
        <w:t xml:space="preserve">│"Кумтор"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│Предприятия по       │  37,5 │  34,2 │  92,6 │-58,4│    40,3  │ -6,1 │</w:t>
      </w:r>
    </w:p>
    <w:p>
      <w:pPr>
        <w:spacing w:after="120"/>
        <w:jc w:val="center"/>
      </w:pPr>
      <w:r>
        <w:rPr>
          <w:rFonts w:ascii="Arial" w:cs="Arial" w:eastAsia="Arial" w:hAnsi="Arial"/>
          <w:sz w:val="24"/>
          <w:szCs w:val="24"/>
        </w:rPr>
        <w:t xml:space="preserve">│разработке           │       │       │       │     │          │      │</w:t>
      </w:r>
    </w:p>
    <w:p>
      <w:pPr>
        <w:spacing w:after="120"/>
        <w:jc w:val="center"/>
      </w:pPr>
      <w:r>
        <w:rPr>
          <w:rFonts w:ascii="Arial" w:cs="Arial" w:eastAsia="Arial" w:hAnsi="Arial"/>
          <w:sz w:val="24"/>
          <w:szCs w:val="24"/>
        </w:rPr>
        <w:t xml:space="preserve">│месторождения        │       │       │       │     │          │      │</w:t>
      </w:r>
    </w:p>
    <w:p>
      <w:pPr>
        <w:spacing w:after="120"/>
        <w:jc w:val="center"/>
      </w:pPr>
      <w:r>
        <w:rPr>
          <w:rFonts w:ascii="Arial" w:cs="Arial" w:eastAsia="Arial" w:hAnsi="Arial"/>
          <w:sz w:val="24"/>
          <w:szCs w:val="24"/>
        </w:rPr>
        <w:t xml:space="preserve">│"Кумтор"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  66,9 │  57,3 │  95,7 │-38,4│    62,7  │ -5,4 │</w:t>
      </w:r>
    </w:p>
    <w:p>
      <w:pPr>
        <w:spacing w:after="120"/>
        <w:jc w:val="center"/>
      </w:pPr>
      <w:r>
        <w:rPr>
          <w:rFonts w:ascii="Arial" w:cs="Arial" w:eastAsia="Arial" w:hAnsi="Arial"/>
          <w:sz w:val="24"/>
          <w:szCs w:val="24"/>
        </w:rPr>
        <w:t xml:space="preserve">│промышленность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и       │  30,4 │ 124,0 │ 127,7 │ -3,7│   119,7  │  4,3 │</w:t>
      </w:r>
    </w:p>
    <w:p>
      <w:pPr>
        <w:spacing w:after="120"/>
        <w:jc w:val="center"/>
      </w:pPr>
      <w:r>
        <w:rPr>
          <w:rFonts w:ascii="Arial" w:cs="Arial" w:eastAsia="Arial" w:hAnsi="Arial"/>
          <w:sz w:val="24"/>
          <w:szCs w:val="24"/>
        </w:rPr>
        <w:t xml:space="preserve">│распределение        │       │       │       │     │          │      │</w:t>
      </w:r>
    </w:p>
    <w:p>
      <w:pPr>
        <w:spacing w:after="120"/>
        <w:jc w:val="center"/>
      </w:pPr>
      <w:r>
        <w:rPr>
          <w:rFonts w:ascii="Arial" w:cs="Arial" w:eastAsia="Arial" w:hAnsi="Arial"/>
          <w:sz w:val="24"/>
          <w:szCs w:val="24"/>
        </w:rPr>
        <w:t xml:space="preserve">│электроэнергии, газа │       │       │       │     │          │      │</w:t>
      </w:r>
    </w:p>
    <w:p>
      <w:pPr>
        <w:spacing w:after="120"/>
        <w:jc w:val="center"/>
      </w:pPr>
      <w:r>
        <w:rPr>
          <w:rFonts w:ascii="Arial" w:cs="Arial" w:eastAsia="Arial" w:hAnsi="Arial"/>
          <w:sz w:val="24"/>
          <w:szCs w:val="24"/>
        </w:rPr>
        <w:t xml:space="preserve">│и 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   2,7 │  96,3 │ 126,6 │-30,3│   103,2  │ -6,9 │</w:t>
      </w:r>
    </w:p>
    <w:p>
      <w:pPr>
        <w:spacing w:after="120"/>
        <w:jc w:val="center"/>
      </w:pPr>
      <w:r>
        <w:rPr>
          <w:rFonts w:ascii="Arial" w:cs="Arial" w:eastAsia="Arial" w:hAnsi="Arial"/>
          <w:sz w:val="24"/>
          <w:szCs w:val="24"/>
        </w:rPr>
        <w:t xml:space="preserve">│промышленность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Фактический объем производства промышленности не достиг прогнозируемого уровня на январь-март 2012 г. на 0,1% (см. табл. 4).</w:t>
      </w:r>
    </w:p>
    <w:p>
      <w:pPr>
        <w:spacing w:after="120"/>
        <w:jc w:val="both"/>
      </w:pPr>
      <w:r>
        <w:rPr>
          <w:rFonts w:ascii="Arial" w:cs="Arial" w:eastAsia="Arial" w:hAnsi="Arial"/>
          <w:sz w:val="24"/>
          <w:szCs w:val="24"/>
        </w:rPr>
        <w:t xml:space="preserve">Значительное снижение объемов производства промышленной продукции по сравнению с соответствующим периодом 2011 года обусловлено сокращением объемов производства в обрабатывающей промышленности.</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(66,9%) в производстве промышленной продукции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(сокращение на 61,4%);</w:t>
      </w:r>
    </w:p>
    <w:p>
      <w:pPr>
        <w:spacing w:after="120"/>
        <w:jc w:val="both"/>
      </w:pPr>
      <w:r>
        <w:rPr>
          <w:rFonts w:ascii="Arial" w:cs="Arial" w:eastAsia="Arial" w:hAnsi="Arial"/>
          <w:sz w:val="24"/>
          <w:szCs w:val="24"/>
        </w:rPr>
        <w:t xml:space="preserve">- производство прочих неметаллических минеральных продуктов (сокращение на 13,3%).</w:t>
      </w:r>
    </w:p>
    <w:p>
      <w:pPr>
        <w:spacing w:after="120"/>
        <w:jc w:val="both"/>
      </w:pPr>
      <w:r>
        <w:rPr>
          <w:rFonts w:ascii="Arial" w:cs="Arial" w:eastAsia="Arial" w:hAnsi="Arial"/>
          <w:sz w:val="24"/>
          <w:szCs w:val="24"/>
        </w:rPr>
        <w:t xml:space="preserve">Основными причинами, повлиявшими на снижение объемов металлургического производства, которое занимает наибольший удельный вес в общем объеме промышленности (38,9%), стали:</w:t>
      </w:r>
    </w:p>
    <w:p>
      <w:pPr>
        <w:spacing w:after="120"/>
        <w:jc w:val="both"/>
      </w:pPr>
      <w:r>
        <w:rPr>
          <w:rFonts w:ascii="Arial" w:cs="Arial" w:eastAsia="Arial" w:hAnsi="Arial"/>
          <w:sz w:val="24"/>
          <w:szCs w:val="24"/>
        </w:rPr>
        <w:t xml:space="preserve">- усиление движения льда и пустой породы в юго-восточной части карьера на месторождении "Кумтор", что привело к задержке запланированного доступа к участку с высоким содержанием золота - зоне SB, где добыча значительно снизилась, составив 45,4% по сравнению с соответствующим периодом 2011 года;</w:t>
      </w:r>
    </w:p>
    <w:p>
      <w:pPr>
        <w:spacing w:after="120"/>
        <w:jc w:val="both"/>
      </w:pPr>
      <w:r>
        <w:rPr>
          <w:rFonts w:ascii="Arial" w:cs="Arial" w:eastAsia="Arial" w:hAnsi="Arial"/>
          <w:sz w:val="24"/>
          <w:szCs w:val="24"/>
        </w:rPr>
        <w:t xml:space="preserve">- отставание горно-подготовительных работ прошлых лет и низкое содержание металла в перерабатываемой руде на месторождении "Макмал";</w:t>
      </w:r>
    </w:p>
    <w:p>
      <w:pPr>
        <w:spacing w:after="120"/>
        <w:jc w:val="both"/>
      </w:pPr>
      <w:r>
        <w:rPr>
          <w:rFonts w:ascii="Arial" w:cs="Arial" w:eastAsia="Arial" w:hAnsi="Arial"/>
          <w:sz w:val="24"/>
          <w:szCs w:val="24"/>
        </w:rPr>
        <w:t xml:space="preserve">- тяжелые горногеологические условия на подземном участке месторождения "Терек", просачивание воды из выработок кровли, самообрушение и заваливание горных выработок;</w:t>
      </w:r>
    </w:p>
    <w:p>
      <w:pPr>
        <w:spacing w:after="120"/>
        <w:jc w:val="both"/>
      </w:pPr>
      <w:r>
        <w:rPr>
          <w:rFonts w:ascii="Arial" w:cs="Arial" w:eastAsia="Arial" w:hAnsi="Arial"/>
          <w:sz w:val="24"/>
          <w:szCs w:val="24"/>
        </w:rPr>
        <w:t xml:space="preserve">- физический износ оборудования, необходимость капитального ремонта и обновления горной техники и автосамосвалов КрАЗ на руднике "Солтон-Сары".</w:t>
      </w:r>
    </w:p>
    <w:p>
      <w:pPr>
        <w:spacing w:after="120"/>
        <w:jc w:val="both"/>
      </w:pPr>
      <w:r>
        <w:rPr>
          <w:rFonts w:ascii="Arial" w:cs="Arial" w:eastAsia="Arial" w:hAnsi="Arial"/>
          <w:sz w:val="24"/>
          <w:szCs w:val="24"/>
        </w:rPr>
        <w:t xml:space="preserve">В отрасли строительных материалов (удельный вес - 2,8%) сокращение производства на 13,3% произошло за счет уменьшения заказов на строительные материалы со стороны строительного комплекса и населения, исходя из их реальной потребности, которая охарактеризована сезонной составляющей. Производство цемента снижено на 31,3 тыс. тонн, составив 73,2% по сравнению с соответствующим периодом 2011 года, асбестоцементных изделий - на 303,4 тыс. листов (35,9%).</w:t>
      </w:r>
    </w:p>
    <w:p>
      <w:pPr>
        <w:spacing w:after="120"/>
        <w:jc w:val="both"/>
      </w:pPr>
      <w:r>
        <w:rPr>
          <w:rFonts w:ascii="Arial" w:cs="Arial" w:eastAsia="Arial" w:hAnsi="Arial"/>
          <w:sz w:val="24"/>
          <w:szCs w:val="24"/>
        </w:rPr>
        <w:t xml:space="preserve">К числу факторов, положительно повлиявших на результаты работы предприятий обрабатывающей промышленности, необходимо отнести устойчивую работу предприятий текстильного и швейного производств (удельный вес в общем объеме промышленности - 4,1%), выпускаемая которыми продукция выросла в реальном выражении на 37,6%. Наибольший удельный вес в текстильно-швейном производстве занимает швейное производство - 76,2%, где в январе-марте т.г. производство увеличилось в 1,4 раза за счет роста производства белья нижнего, трикотажного, машинного или ручного вязания - в 15,7 раза, свитеров, джемперов, пуловеров, кардиганов, жилетов и аналогичных изделий, трикотажных, машинного или ручного вязания - в 1,6 раза.</w:t>
      </w:r>
    </w:p>
    <w:p>
      <w:pPr>
        <w:spacing w:after="120"/>
        <w:jc w:val="both"/>
      </w:pPr>
      <w:r>
        <w:rPr>
          <w:rFonts w:ascii="Arial" w:cs="Arial" w:eastAsia="Arial" w:hAnsi="Arial"/>
          <w:sz w:val="24"/>
          <w:szCs w:val="24"/>
        </w:rPr>
        <w:t xml:space="preserve">Наблюдается реальный рост выпуска продукции в производстве пищевых продуктов, включая напитки и табак (удельный вес - 12,5%), - на 3,0% за счет роста выпуска сахара - в 4,4 раза, этилового спирта - в 2,8 раза, сыра всех видов - в 1,6 раза, свежего хлеба - на 2,6%.</w:t>
      </w:r>
    </w:p>
    <w:p>
      <w:pPr>
        <w:spacing w:after="120"/>
        <w:jc w:val="both"/>
      </w:pPr>
      <w:r>
        <w:rPr>
          <w:rFonts w:ascii="Arial" w:cs="Arial" w:eastAsia="Arial" w:hAnsi="Arial"/>
          <w:sz w:val="24"/>
          <w:szCs w:val="24"/>
        </w:rPr>
        <w:t xml:space="preserve">В химическом производстве увеличены объемы производства на 27,7% за счет роста производства краски и лаков на основе полимеров - на 12,2% и диоксида углерода - в 1,6 раза. Увеличение объемов производства в данной отрасли связано с возобновлением производства монокристаллического кремния с приходом новых инвесторов на ОАО "Кыргызский химико-металлургический завод", простаивающее с января 2009 года.</w:t>
      </w:r>
    </w:p>
    <w:p>
      <w:pPr>
        <w:spacing w:after="120"/>
        <w:jc w:val="both"/>
      </w:pPr>
      <w:r>
        <w:rPr>
          <w:rFonts w:ascii="Arial" w:cs="Arial" w:eastAsia="Arial" w:hAnsi="Arial"/>
          <w:sz w:val="24"/>
          <w:szCs w:val="24"/>
        </w:rPr>
        <w:t xml:space="preserve">Отмечается также рост объемов в производстве электрического, электронного и оптического оборудования на 4,5% за счет роста выпуска производства трансформаторов малой мощности - в 1,5 раза и ламп накаливания - на 6,0%, в производстве машин и оборудования - в 1,7 раза, резиновых и пластмассовых изделий - на 26,2%, кожи, изделий из кожи и производства обуви - на 27,3%.</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30,4%) по итогам за январь-март 2012 года объем продукции составил 8,6 млрд. сомов с реальным темпом роста на 24,0% за счет повышения выработки электроэнергии на 19,5%, услуг по передаче электроэнергии - на 47,8%.</w:t>
      </w:r>
    </w:p>
    <w:p>
      <w:pPr>
        <w:spacing w:after="120"/>
        <w:jc w:val="both"/>
      </w:pPr>
      <w:r>
        <w:rPr>
          <w:rFonts w:ascii="Arial" w:cs="Arial" w:eastAsia="Arial" w:hAnsi="Arial"/>
          <w:sz w:val="24"/>
          <w:szCs w:val="24"/>
        </w:rPr>
        <w:t xml:space="preserve">Выработка электроэнергии за январь-март 2012 г. составила 5643,2 млн. кВтч, что на 919,3 млн. кВтч больше по сравнению с соответствующим периодом 2011 года.</w:t>
      </w:r>
    </w:p>
    <w:p>
      <w:pPr>
        <w:spacing w:after="120"/>
        <w:jc w:val="both"/>
      </w:pPr>
      <w:r>
        <w:rPr>
          <w:rFonts w:ascii="Arial" w:cs="Arial" w:eastAsia="Arial" w:hAnsi="Arial"/>
          <w:sz w:val="24"/>
          <w:szCs w:val="24"/>
        </w:rPr>
        <w:t xml:space="preserve">Объем выработанной тепловой энергии за январь-март 2012 года составил 1539,6 тыс. Гкал, что на 93,2 тыс. Гкал (на 6,4%) больше по сравнению с соответствующим периодом 2011 года.</w:t>
      </w:r>
    </w:p>
    <w:p>
      <w:pPr>
        <w:spacing w:after="120"/>
        <w:jc w:val="both"/>
      </w:pPr>
      <w:r>
        <w:rPr>
          <w:rFonts w:ascii="Arial" w:cs="Arial" w:eastAsia="Arial" w:hAnsi="Arial"/>
          <w:sz w:val="24"/>
          <w:szCs w:val="24"/>
        </w:rPr>
        <w:t xml:space="preserve">Экспорт электроэнергии за январь-март 2012 года составил 237 млн. кВтч и вырос на 13% по сравнению с аналогичным периодом 2011 года, в т.ч. в Республику Казахстан - 0,07 млн. кВтч, в КНР - 0,2 млн. кВтч, в Республику Узбекистан - 236,8 млн. кВтч.</w:t>
      </w:r>
    </w:p>
    <w:p>
      <w:pPr>
        <w:spacing w:after="120"/>
        <w:jc w:val="both"/>
      </w:pPr>
      <w:r>
        <w:rPr>
          <w:rFonts w:ascii="Arial" w:cs="Arial" w:eastAsia="Arial" w:hAnsi="Arial"/>
          <w:sz w:val="24"/>
          <w:szCs w:val="24"/>
        </w:rPr>
        <w:t xml:space="preserve">Полезный отпуск электроэнергии ОАО "Электрические станции" за январь-март 2012 года составил 5,05 млрд. кВтч, что на 0,84 млрд. кВтч больше показателя 1 квартала 2011 года, в том числе:</w:t>
      </w:r>
    </w:p>
    <w:p>
      <w:pPr>
        <w:spacing w:after="120"/>
        <w:jc w:val="both"/>
      </w:pPr>
      <w:r>
        <w:rPr>
          <w:rFonts w:ascii="Arial" w:cs="Arial" w:eastAsia="Arial" w:hAnsi="Arial"/>
          <w:sz w:val="24"/>
          <w:szCs w:val="24"/>
        </w:rPr>
        <w:t xml:space="preserve">- экспорт - 0,23 млрд. кВтч;</w:t>
      </w:r>
    </w:p>
    <w:p>
      <w:pPr>
        <w:spacing w:after="120"/>
        <w:jc w:val="both"/>
      </w:pPr>
      <w:r>
        <w:rPr>
          <w:rFonts w:ascii="Arial" w:cs="Arial" w:eastAsia="Arial" w:hAnsi="Arial"/>
          <w:sz w:val="24"/>
          <w:szCs w:val="24"/>
        </w:rPr>
        <w:t xml:space="preserve">- собственным потребителям - 4,8 млрд. кВтч.</w:t>
      </w:r>
    </w:p>
    <w:p>
      <w:pPr>
        <w:spacing w:after="120"/>
        <w:jc w:val="both"/>
      </w:pPr>
      <w:r>
        <w:rPr>
          <w:rFonts w:ascii="Arial" w:cs="Arial" w:eastAsia="Arial" w:hAnsi="Arial"/>
          <w:sz w:val="24"/>
          <w:szCs w:val="24"/>
        </w:rPr>
        <w:t xml:space="preserve">Полезный отпуск теплоэнергии ОАО "Электрические станции" за январь-март 2012 года составил 1,064 млн. Гкал, что на 0,05 млрд. кВтч больше показателя 1 квартала 2011 года.</w:t>
      </w:r>
    </w:p>
    <w:p>
      <w:pPr>
        <w:spacing w:after="120"/>
        <w:jc w:val="both"/>
      </w:pPr>
      <w:r>
        <w:rPr>
          <w:rFonts w:ascii="Arial" w:cs="Arial" w:eastAsia="Arial" w:hAnsi="Arial"/>
          <w:sz w:val="24"/>
          <w:szCs w:val="24"/>
        </w:rPr>
        <w:t xml:space="preserve">Потери электроэнергии в сетях РЭК за I квартал 2012 года составили 1144 млн. кВтч или 25,2% от поступления, что меньше на 1,5% чем в 2011 году.</w:t>
      </w:r>
    </w:p>
    <w:p>
      <w:pPr>
        <w:spacing w:after="120"/>
        <w:jc w:val="both"/>
      </w:pPr>
      <w:r>
        <w:rPr>
          <w:rFonts w:ascii="Arial" w:cs="Arial" w:eastAsia="Arial" w:hAnsi="Arial"/>
          <w:sz w:val="24"/>
          <w:szCs w:val="24"/>
        </w:rPr>
        <w:t xml:space="preserve">За счет сокращения общих потерь электроэнергии товарная продукция увеличилась на 462 млн. сомов по сравнению с соответствующим периодом 2011 года и составила 2943 млн. сомов.</w:t>
      </w:r>
    </w:p>
    <w:p>
      <w:pPr>
        <w:spacing w:after="120"/>
        <w:jc w:val="both"/>
      </w:pPr>
      <w:r>
        <w:rPr>
          <w:rFonts w:ascii="Arial" w:cs="Arial" w:eastAsia="Arial" w:hAnsi="Arial"/>
          <w:sz w:val="24"/>
          <w:szCs w:val="24"/>
        </w:rPr>
        <w:t xml:space="preserve">Сбор платежей за электроэнергию составил 2537 млн. сомов, что на 575 млн. сомов больше, чем за I квартал 2011 года. По отношению к товарной продукции сбор платежей за указанный период составил 86%, что на 7% больше, чем за соответствующий период 2011 года.</w:t>
      </w:r>
    </w:p>
    <w:p>
      <w:pPr>
        <w:spacing w:after="120"/>
        <w:jc w:val="both"/>
      </w:pPr>
      <w:r>
        <w:rPr>
          <w:rFonts w:ascii="Arial" w:cs="Arial" w:eastAsia="Arial" w:hAnsi="Arial"/>
          <w:sz w:val="24"/>
          <w:szCs w:val="24"/>
        </w:rPr>
        <w:t xml:space="preserve">Дебиторская задолженность потребителей на 1 апреля 2012 года перед распределительными электрокомпаниями составляет 1624 млн. сомов и с начала года возросла на 359 млн. сомов или на 28,4%.</w:t>
      </w:r>
    </w:p>
    <w:p>
      <w:pPr>
        <w:spacing w:after="120"/>
        <w:jc w:val="both"/>
      </w:pPr>
      <w:r>
        <w:rPr>
          <w:rFonts w:ascii="Arial" w:cs="Arial" w:eastAsia="Arial" w:hAnsi="Arial"/>
          <w:sz w:val="24"/>
          <w:szCs w:val="24"/>
        </w:rPr>
        <w:t xml:space="preserve">Всего в Кыргызскую Республику в I квартале 2012 года поступило 120,3 млн. куб.м природного газа, что на 14,8 млн. куб.м (14,0%) больше соответствующего периода 2011 года. Основными поставщиками газа являлись АК "Узтрансгаз" - 33,3 млн. куб.м и АО "КазТрансГаз" - 86,0 млн. куб.м.</w:t>
      </w:r>
    </w:p>
    <w:p>
      <w:pPr>
        <w:spacing w:after="120"/>
        <w:jc w:val="both"/>
      </w:pPr>
      <w:r>
        <w:rPr>
          <w:rFonts w:ascii="Arial" w:cs="Arial" w:eastAsia="Arial" w:hAnsi="Arial"/>
          <w:sz w:val="24"/>
          <w:szCs w:val="24"/>
        </w:rPr>
        <w:t xml:space="preserve">Потери природного газа по сравнению с аналогичным периодом 2011 года снижены на 4,54 млн. куб.м и составили 10,0 млн. куб.м (8,3%) от объема поступившего газа.</w:t>
      </w:r>
    </w:p>
    <w:p>
      <w:pPr>
        <w:spacing w:after="120"/>
        <w:jc w:val="both"/>
      </w:pPr>
      <w:r>
        <w:rPr>
          <w:rFonts w:ascii="Arial" w:cs="Arial" w:eastAsia="Arial" w:hAnsi="Arial"/>
          <w:sz w:val="24"/>
          <w:szCs w:val="24"/>
        </w:rPr>
        <w:t xml:space="preserve">Сбор платежей за отпущенный природный газ составил 1337,4 млн. сомов и по сравнению с аналогичным периодам 2011 г. увеличился на 137,2 млн. сомов (11,4%) или 85,3% от товарной продукции.</w:t>
      </w:r>
    </w:p>
    <w:p>
      <w:pPr>
        <w:spacing w:after="120"/>
        <w:jc w:val="both"/>
      </w:pPr>
      <w:r>
        <w:rPr>
          <w:rFonts w:ascii="Arial" w:cs="Arial" w:eastAsia="Arial" w:hAnsi="Arial"/>
          <w:sz w:val="24"/>
          <w:szCs w:val="24"/>
        </w:rPr>
        <w:t xml:space="preserve">Дебиторская задолженность потребителей природного газа перед ОАО "Кыргызгаз" на 01.04.12 г. составила 635,4 млн. сомов, которая увеличилась на 57,4% или 231,8 млн. сомов, по сравнению с началом года, по причине неплатежеспособности бюджетных организаций, финансируемых местным и республиканским бюджетами.</w:t>
      </w:r>
    </w:p>
    <w:p>
      <w:pPr>
        <w:spacing w:after="120"/>
        <w:jc w:val="both"/>
      </w:pPr>
      <w:r>
        <w:rPr>
          <w:rFonts w:ascii="Arial" w:cs="Arial" w:eastAsia="Arial" w:hAnsi="Arial"/>
          <w:sz w:val="24"/>
          <w:szCs w:val="24"/>
        </w:rPr>
        <w:t xml:space="preserve">Для обеспечения энергетической безопасности страны и увеличения выработки электроэнергии проводились следующие мероприятия:</w:t>
      </w:r>
    </w:p>
    <w:p>
      <w:pPr>
        <w:spacing w:after="120"/>
        <w:jc w:val="both"/>
      </w:pPr>
      <w:r>
        <w:rPr>
          <w:rFonts w:ascii="Arial" w:cs="Arial" w:eastAsia="Arial" w:hAnsi="Arial"/>
          <w:sz w:val="24"/>
          <w:szCs w:val="24"/>
        </w:rPr>
        <w:t xml:space="preserve">- найден альтернативный источник по поставкам газа. В целях бесперебойного обеспечения природным газом потребителей Кыргызской Республики, ОАО "Кыргызгаз" заключен договор с Казахстаном на поставку природного газа в объеме 240 млн. куб.м с дальнейшим доведением до 300 млн. куб.м в 2012 году (в 2011 году получено газа - 105 млн. куб.м по цене 195 долл.США/тыс. куб.м; остаток - 135 млн. куб.м по цене 224 долл.США/тыс. куб.м). Также, в конце декабря 2011 года заключен Контракт на поставку природного газа с АК "Узтрансгаз" на объем 100 млн. куб.м по цене 290 долл.США;</w:t>
      </w:r>
    </w:p>
    <w:p>
      <w:pPr>
        <w:spacing w:after="120"/>
        <w:jc w:val="both"/>
      </w:pPr>
      <w:r>
        <w:rPr>
          <w:rFonts w:ascii="Arial" w:cs="Arial" w:eastAsia="Arial" w:hAnsi="Arial"/>
          <w:sz w:val="24"/>
          <w:szCs w:val="24"/>
        </w:rPr>
        <w:t xml:space="preserve">- за январь-февраль 2012 года по проекту "Чрезвычайной помощи", финансируемому Всемирным Банком, в распределительных электрических компаниях установлено:</w:t>
      </w:r>
    </w:p>
    <w:p>
      <w:pPr>
        <w:spacing w:after="120"/>
        <w:jc w:val="both"/>
      </w:pPr>
      <w:r>
        <w:rPr>
          <w:rFonts w:ascii="Arial" w:cs="Arial" w:eastAsia="Arial" w:hAnsi="Arial"/>
          <w:sz w:val="24"/>
          <w:szCs w:val="24"/>
        </w:rPr>
        <w:t xml:space="preserve">- силовых трансформаторов 10/0,4 кВ - 198 шт.;</w:t>
      </w:r>
    </w:p>
    <w:p>
      <w:pPr>
        <w:spacing w:after="120"/>
        <w:jc w:val="both"/>
      </w:pPr>
      <w:r>
        <w:rPr>
          <w:rFonts w:ascii="Arial" w:cs="Arial" w:eastAsia="Arial" w:hAnsi="Arial"/>
          <w:sz w:val="24"/>
          <w:szCs w:val="24"/>
        </w:rPr>
        <w:t xml:space="preserve">- комплектных трансформаторных подстанции 10/0,4 кВ - 91 шт.</w:t>
      </w:r>
    </w:p>
    <w:p>
      <w:pPr>
        <w:spacing w:after="120"/>
        <w:jc w:val="both"/>
      </w:pPr>
      <w:r>
        <w:rPr>
          <w:rFonts w:ascii="Arial" w:cs="Arial" w:eastAsia="Arial" w:hAnsi="Arial"/>
          <w:sz w:val="24"/>
          <w:szCs w:val="24"/>
        </w:rPr>
        <w:t xml:space="preserve">Для справки: с момента начала реализации вышеуказанного проекта из 600 единиц трансформаторного оборудования установлено 553;</w:t>
      </w:r>
    </w:p>
    <w:p>
      <w:pPr>
        <w:spacing w:after="120"/>
        <w:jc w:val="both"/>
      </w:pPr>
      <w:r>
        <w:rPr>
          <w:rFonts w:ascii="Arial" w:cs="Arial" w:eastAsia="Arial" w:hAnsi="Arial"/>
          <w:sz w:val="24"/>
          <w:szCs w:val="24"/>
        </w:rPr>
        <w:t xml:space="preserve">- в январе 2012 года по инициативе Кыргызстана дважды проведены трехсторонние переговоры с казахстанской и узбекской сторонами, с подписанием протокола "Об обеспечении параллельной работы энергосистем". Все условия договора и протокола выполняются, энергосистемы работают в параллельном режиме;</w:t>
      </w:r>
    </w:p>
    <w:p>
      <w:pPr>
        <w:spacing w:after="120"/>
        <w:jc w:val="both"/>
      </w:pPr>
      <w:r>
        <w:rPr>
          <w:rFonts w:ascii="Arial" w:cs="Arial" w:eastAsia="Arial" w:hAnsi="Arial"/>
          <w:sz w:val="24"/>
          <w:szCs w:val="24"/>
        </w:rPr>
        <w:t xml:space="preserve">- в результате переговоров Межведомственной комиссии с компанией "ТВЕА" достигнута договоренность о реализации проекта "Строительство линии электропередачи 500 кВ "Датка-Кемин" и подстанции 500 кВ "Кемин" на сумму 342,0 млн. долл.США, а также выполнении дополнительных объемов работ по вводу вторых очередей ПС 500 кВ "Датка" и ПС 500 кВ "Кемин" и поставке двух автотрансформаторов мощностью по 200 MBA для ПС 220 кВ "Ала-Арча" на сумму 47,795 млн. долл.США.</w:t>
      </w:r>
    </w:p>
    <w:p>
      <w:pPr>
        <w:spacing w:after="120"/>
        <w:jc w:val="both"/>
      </w:pPr>
      <w:r>
        <w:rPr>
          <w:rFonts w:ascii="Arial" w:cs="Arial" w:eastAsia="Arial" w:hAnsi="Arial"/>
          <w:sz w:val="24"/>
          <w:szCs w:val="24"/>
        </w:rPr>
        <w:t xml:space="preserve">(3) В горнодобывающей промышленности (уд. вес 2,7% в объеме промышленного производства) за январь-март 2012 года произведено продукции на 749,6 млн. сомов, и по сравнению с соответствующим периодом 2011 года объем производства снизился, составив 96,3%, в том числе по добыче топливно-энергетических полезных ископаемых - 99,9%, прочих полезных ископаемых - 62,6%. Уменьшение объемов промышленного производства отмечалось за счет значительного снижения добычи известняка и гипса на 85,8%, песков природных - на 31,1%, а также сырой нефти на - 13,8%. Снижение темпов роста в добыче прочих полезных ископаемых связано с уменьшением спроса на гравий, щебень, песок со стороны предприятий, специализирующихся на выпуске железобетонной продукции, бетона, строительного раствора, пескоблоков, полимерпесчаной черепицы из-за сезонного характера производства.</w:t>
      </w:r>
    </w:p>
    <w:p>
      <w:pPr>
        <w:spacing w:after="120"/>
        <w:jc w:val="both"/>
      </w:pPr>
      <w:r>
        <w:rPr>
          <w:rFonts w:ascii="Arial" w:cs="Arial" w:eastAsia="Arial" w:hAnsi="Arial"/>
          <w:sz w:val="24"/>
          <w:szCs w:val="24"/>
        </w:rPr>
        <w:t xml:space="preserve">При этом отмечается рост добычи угля, лигнита и торфа на 41,5%, где увеличение добычи угля обусловлено ростом потребительского спроса на него в результате применения как альтернативного вида топлива взамен электроэнергии и поставкой на ТЭЦ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за январь-март 2012 г. составил 17,5 млрд. сомов с реальным ростом 101,0%, в том числе в растениеводстве - 100,0% (0,3 млрд. сомов), в животноводстве - 101,0% (16,9 млрд. сомов). Рост на 1,0% обеспечен за счет производства скота и птицы на убой в живом весе во всех категориях хозяйств (на 0,9%), яиц (на 3,5%), молока (на 1,1%).</w:t>
      </w:r>
    </w:p>
    <w:p>
      <w:pPr>
        <w:spacing w:after="120"/>
        <w:jc w:val="both"/>
      </w:pPr>
      <w:r>
        <w:rPr>
          <w:rFonts w:ascii="Arial" w:cs="Arial" w:eastAsia="Arial" w:hAnsi="Arial"/>
          <w:sz w:val="24"/>
          <w:szCs w:val="24"/>
        </w:rPr>
        <w:t xml:space="preserve">Из общего объема производства на долю продукции животноводства приходится 96,9%, растениеводства - 1,9%, услуг - 1,1%, охоты и лесного хозяйства - 0,1%.</w:t>
      </w:r>
    </w:p>
    <w:p>
      <w:pPr>
        <w:spacing w:after="120"/>
        <w:jc w:val="both"/>
      </w:pPr>
      <w:r>
        <w:rPr>
          <w:rFonts w:ascii="Arial" w:cs="Arial" w:eastAsia="Arial" w:hAnsi="Arial"/>
          <w:sz w:val="24"/>
          <w:szCs w:val="24"/>
        </w:rPr>
        <w:t xml:space="preserve">В структуре валового выпуска продукции сельского хозяйства на долю государственных и коллективных хозяйств приходится 1,4% от общего объема продукции. Основная часть продукции производится крестьянскими (фермерскими) хозяйствами и личными подсобными хозяйствами граждан, на долю которых в общем объеме приходится 97,4%.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сельского хозяйстваза январь-март 2012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 │Январь-│Январь-│ Откл. │Январь-│ Откл. │</w:t>
      </w:r>
    </w:p>
    <w:p>
      <w:pPr>
        <w:spacing w:after="120"/>
        <w:jc w:val="center"/>
      </w:pPr>
      <w:r>
        <w:rPr>
          <w:rFonts w:ascii="Arial" w:cs="Arial" w:eastAsia="Arial" w:hAnsi="Arial"/>
          <w:sz w:val="24"/>
          <w:szCs w:val="24"/>
        </w:rPr>
        <w:t xml:space="preserve">│       показателя      │ изм.│ март  │ март  │  от   │ март  │  от   │</w:t>
      </w:r>
    </w:p>
    <w:p>
      <w:pPr>
        <w:spacing w:after="120"/>
        <w:jc w:val="center"/>
      </w:pPr>
      <w:r>
        <w:rPr>
          <w:rFonts w:ascii="Arial" w:cs="Arial" w:eastAsia="Arial" w:hAnsi="Arial"/>
          <w:sz w:val="24"/>
          <w:szCs w:val="24"/>
        </w:rPr>
        <w:t xml:space="preserve">│                       │     │2012 г.│2011 г.│ факт. │2012 г.│ прог- │</w:t>
      </w:r>
    </w:p>
    <w:p>
      <w:pPr>
        <w:spacing w:after="120"/>
        <w:jc w:val="center"/>
      </w:pPr>
      <w:r>
        <w:rPr>
          <w:rFonts w:ascii="Arial" w:cs="Arial" w:eastAsia="Arial" w:hAnsi="Arial"/>
          <w:sz w:val="24"/>
          <w:szCs w:val="24"/>
        </w:rPr>
        <w:t xml:space="preserve">│                       │     │       │       │ (+,-) │прогноз│нозных │</w:t>
      </w:r>
    </w:p>
    <w:p>
      <w:pPr>
        <w:spacing w:after="120"/>
        <w:jc w:val="center"/>
      </w:pPr>
      <w:r>
        <w:rPr>
          <w:rFonts w:ascii="Arial" w:cs="Arial" w:eastAsia="Arial" w:hAnsi="Arial"/>
          <w:sz w:val="24"/>
          <w:szCs w:val="24"/>
        </w:rPr>
        <w:t xml:space="preserve">│                       │     │       │       │2011 г.│       │показа-│</w:t>
      </w:r>
    </w:p>
    <w:p>
      <w:pPr>
        <w:spacing w:after="120"/>
        <w:jc w:val="center"/>
      </w:pPr>
      <w:r>
        <w:rPr>
          <w:rFonts w:ascii="Arial" w:cs="Arial" w:eastAsia="Arial" w:hAnsi="Arial"/>
          <w:sz w:val="24"/>
          <w:szCs w:val="24"/>
        </w:rPr>
        <w:t xml:space="preserve">│                       │     │       │       │       │       │ телей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│млн. │17465,4│12167,6│ 5297,8│14837,5│ 2627,9│</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101,0│  100,4│    0,6│  101,1│   -0,1│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  117,9│  103,6│   14,3│  120,6│   -2,7│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│Растениеводство        │млн. │  334,1│  334,4│   -0,3│  335,3│   -1,2│</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100,0│  100,0│    0,0│  100,0│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   99,9│   99,8│    0,1│  100,3│   -0,4│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│Животноводство         │млн. │16915,8│11617,6│ 5298,2│14330,9│ 2584,9│</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101,0│  100,4│    0,6│  101,2│   -0,2│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  118,6│  103,8│   14,8│  121,9│   -3,3│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│млн. │  188,6│  188,6│    0,0│  188,6│    0,0│</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│Охота и лесное         │млн. │   19,5│   19,5│    0,0│   19,5│    0,0│</w:t>
      </w:r>
    </w:p>
    <w:p>
      <w:pPr>
        <w:spacing w:after="120"/>
        <w:jc w:val="center"/>
      </w:pPr>
      <w:r>
        <w:rPr>
          <w:rFonts w:ascii="Arial" w:cs="Arial" w:eastAsia="Arial" w:hAnsi="Arial"/>
          <w:sz w:val="24"/>
          <w:szCs w:val="24"/>
        </w:rPr>
        <w:t xml:space="preserve">│хозяйство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│Рыбоводство,           │млн. │    7,5│    7,5│    0,0│    7,5│    0,0│</w:t>
      </w:r>
    </w:p>
    <w:p>
      <w:pPr>
        <w:spacing w:after="120"/>
        <w:jc w:val="center"/>
      </w:pPr>
      <w:r>
        <w:rPr>
          <w:rFonts w:ascii="Arial" w:cs="Arial" w:eastAsia="Arial" w:hAnsi="Arial"/>
          <w:sz w:val="24"/>
          <w:szCs w:val="24"/>
        </w:rPr>
        <w:t xml:space="preserve">│рыболовство            │сомов│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0,09%, удельный вес которого в структуре производства ВВП составил 11,4%, увеличившись на 2,9 процентных пункта по сравнению с соответствующим периодом 2011 года. При этом, фактический объем производства сельского хозяйства не достиг прогнозируемого уровня на январь-март 2012 года (101,1%) на 0,1%.</w:t>
      </w:r>
    </w:p>
    <w:p>
      <w:pPr>
        <w:spacing w:after="120"/>
        <w:jc w:val="both"/>
      </w:pPr>
      <w:r>
        <w:rPr>
          <w:rFonts w:ascii="Arial" w:cs="Arial" w:eastAsia="Arial" w:hAnsi="Arial"/>
          <w:sz w:val="24"/>
          <w:szCs w:val="24"/>
        </w:rPr>
        <w:t xml:space="preserve">Основными факторами, повлиявшими на развитие сельского хозяйства в I квартале 2012 года,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w:t>
      </w:r>
    </w:p>
    <w:p>
      <w:pPr>
        <w:spacing w:after="120"/>
        <w:jc w:val="both"/>
      </w:pPr>
      <w:r>
        <w:rPr>
          <w:rFonts w:ascii="Arial" w:cs="Arial" w:eastAsia="Arial" w:hAnsi="Arial"/>
          <w:sz w:val="24"/>
          <w:szCs w:val="24"/>
        </w:rPr>
        <w:t xml:space="preserve">- падеж скота, вызванный продолжительной зимой;</w:t>
      </w:r>
    </w:p>
    <w:p>
      <w:pPr>
        <w:spacing w:after="120"/>
        <w:jc w:val="both"/>
      </w:pPr>
      <w:r>
        <w:rPr>
          <w:rFonts w:ascii="Arial" w:cs="Arial" w:eastAsia="Arial" w:hAnsi="Arial"/>
          <w:sz w:val="24"/>
          <w:szCs w:val="24"/>
        </w:rPr>
        <w:t xml:space="preserve">- необеспеченность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 предоставление льготных кредитов на поддержку сельхозпроизводителей;</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Растениеводство. Структура посевных площадей сельскохозяйственных культур под урожай 2012 года составляет 1167,3 тыс. га, что на 8,1 тыс. га больше, чем в 2011 году.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 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В настоящее время в сельском хозяйстве республики проводятся весенне-полевые работы.</w:t>
      </w:r>
    </w:p>
    <w:p>
      <w:pPr>
        <w:spacing w:after="120"/>
        <w:jc w:val="both"/>
      </w:pPr>
      <w:r>
        <w:rPr>
          <w:rFonts w:ascii="Arial" w:cs="Arial" w:eastAsia="Arial" w:hAnsi="Arial"/>
          <w:sz w:val="24"/>
          <w:szCs w:val="24"/>
        </w:rPr>
        <w:t xml:space="preserve">Из-за аномальной, необычайно холодной погоды, с выпадением снега практически в течение всего марта, в текущем году допущено отставание весенне-полевых работ от предыдущих лет на 15-20 дней.</w:t>
      </w:r>
    </w:p>
    <w:p>
      <w:pPr>
        <w:spacing w:after="120"/>
        <w:jc w:val="both"/>
      </w:pPr>
      <w:r>
        <w:rPr>
          <w:rFonts w:ascii="Arial" w:cs="Arial" w:eastAsia="Arial" w:hAnsi="Arial"/>
          <w:sz w:val="24"/>
          <w:szCs w:val="24"/>
        </w:rPr>
        <w:t xml:space="preserve">Во всех областях республики, проведена ранневесенняя подкормка азотными минеральными удобрениями посевов озимых зерновых колосовых культур. По состоянию на 3 апреля 2012 года, фактически подкормлено на площади 37,7 тыс. га, или на 55,0 тыс. га меньше прошлогоднего: в т.ч. в Баткенской области 4,1 тыс. га, или на 4,8 тыс. га меньше, соответственно в Ошской - 12,2 тыс. га и 25,5 тыс. га, в Джалал-Абадской - 4,0 тыс. га и 18,4 тыс. га, в Чуйской - 16,2 тыс. га и 6,2 тыс. га и в Таласской области 1,2 тыс. га и 0,1 тыс. га.</w:t>
      </w:r>
    </w:p>
    <w:p>
      <w:pPr>
        <w:spacing w:after="120"/>
        <w:jc w:val="both"/>
      </w:pPr>
      <w:r>
        <w:rPr>
          <w:rFonts w:ascii="Arial" w:cs="Arial" w:eastAsia="Arial" w:hAnsi="Arial"/>
          <w:sz w:val="24"/>
          <w:szCs w:val="24"/>
        </w:rPr>
        <w:t xml:space="preserve">По оперативным данным (на 3 апреля)(11), в южных областях республики, а также в Чуйской и Таласской областях проведена весновспашка всего на площади 79,9 тыс. га, или на 24,9 тыс. га меньше прошлогоднего, в том числе в Баткенской области - 3,7 тыс. га, Джалал-Абадской 15,2 тыс. га и в Ошской - 9,1 тыс. га, в Таласской - 2,0 тыс. га и в Чуйской - 49,9 тыс. га. С опозданием хозсубъекты приступили к севу яровых зерновых колосовых культур и посадке картофеля. На эту же дату в целом по республике посеяно зерновых колосовых культур на площади 42,6 тыс. га, в том числе яровой пшеницы - 12,9 тыс. га и ярового ячменя 29,7 тыс. га, а картофеля на площади 800 га.</w:t>
      </w:r>
    </w:p>
    <w:p>
      <w:pPr>
        <w:spacing w:after="120"/>
        <w:jc w:val="both"/>
      </w:pPr>
      <w:r>
        <w:rPr>
          <w:rFonts w:ascii="Arial" w:cs="Arial" w:eastAsia="Arial" w:hAnsi="Arial"/>
          <w:sz w:val="24"/>
          <w:szCs w:val="24"/>
        </w:rPr>
        <w:t xml:space="preserve">Сельские товаропроизводители республики обеспечены семенами кукурузы, яровой пшеницы, сахарной свеклы, ярового ячменя, а также посадочными клубнями картофеля и др.</w:t>
      </w:r>
    </w:p>
    <w:p>
      <w:pPr>
        <w:spacing w:after="120"/>
        <w:jc w:val="both"/>
      </w:pPr>
      <w:r>
        <w:rPr>
          <w:rFonts w:ascii="Arial" w:cs="Arial" w:eastAsia="Arial" w:hAnsi="Arial"/>
          <w:sz w:val="24"/>
          <w:szCs w:val="24"/>
        </w:rPr>
        <w:t xml:space="preserve">Обеспеченность ГСМ. Для выполнения намеченного объема проведения весенне-полевых работ текущего года потребуется использовать 41,3 тыс. тонн дизельного топлива, 10,4 тыс. тонн - автобензина, 2,0 тыс. тонн дизельного масла и 0,6 тыс. тонн автола. По состоянию на 30 марта 2012 года, в республику завезено 44 тыс. тонн дизельного топлива и имелось в наличии у нефтетрейдеров на эту дату 13,4 тыс. тонн дизтоплива. Цена 1 литра дизтоплива на нефтебазах в ассоциации нефтетрейдеров во всех регионах республики в среднем составляет 40,4 сома за 1 литр, тогда как на других частных нефтебазах колеблется от 40 до 50 сомов за 1 литр (в Лейлекском районе более 50 л/сом).</w:t>
      </w:r>
    </w:p>
    <w:p>
      <w:pPr>
        <w:spacing w:after="120"/>
        <w:jc w:val="both"/>
      </w:pPr>
      <w:r>
        <w:rPr>
          <w:rFonts w:ascii="Arial" w:cs="Arial" w:eastAsia="Arial" w:hAnsi="Arial"/>
          <w:sz w:val="24"/>
          <w:szCs w:val="24"/>
        </w:rPr>
        <w:t xml:space="preserve">Кроме того, имевшийся в госматрезерве остаток льготного дизельного топлива в количестве 2965,4 кубометра, распределен по айылным аймакам и отдельным крестьянским и фермерским хозяйствам. В настоящее время в айылных аймаках повсеместно организован сбор денежных средств, их перечисление на специальные счета Фонда госматрезервов республики и проводится отпуск дизельного топлива методом налива. По состоянию на 5 апреля т.г. хозсубъектами республики выбрано 74,9% дизельного топлива, или 2223,7 кубометра.</w:t>
      </w:r>
    </w:p>
    <w:p>
      <w:pPr>
        <w:spacing w:after="120"/>
        <w:jc w:val="both"/>
      </w:pPr>
      <w:r>
        <w:rPr>
          <w:rFonts w:ascii="Arial" w:cs="Arial" w:eastAsia="Arial" w:hAnsi="Arial"/>
          <w:sz w:val="24"/>
          <w:szCs w:val="24"/>
        </w:rPr>
        <w:t xml:space="preserve">Обеспеченность сельхозтехникой. По состоянию на 3 апреля 2012 года, отремонтировано 16177 единиц тракторов, или 77% от их наличия, 5892 комплекта тракторных плугов, или 82%, 15347 комплектов тракторных борон, или 83%, 2044 единицы зерновых сеялок, или 79%, 446 комплектов планировщиков, или 89% и 247 единиц разбрасывателей удобрений, или 78%.</w:t>
      </w:r>
    </w:p>
    <w:p>
      <w:pPr>
        <w:spacing w:after="120"/>
        <w:jc w:val="both"/>
      </w:pPr>
      <w:r>
        <w:rPr>
          <w:rFonts w:ascii="Arial" w:cs="Arial" w:eastAsia="Arial" w:hAnsi="Arial"/>
          <w:sz w:val="24"/>
          <w:szCs w:val="24"/>
        </w:rPr>
        <w:t xml:space="preserve">Для оказания помощи сельским товаропроизводителям в пополнении машинно-тракторного парка, на основании постановления Правительства Кыргызской Республики от 11 июля 2011 года N 382, по состоянию на 26 марта текущего года, за счет первоначальных взносов и возвратных средств от переданных в лизинг китайских тракторов в количестве 264 единиц, а также реализации запасных частей на марки тракторов УТО, ОАО "Айыл Банк" приобрел и выдал в лизинг дополнительно по заявкам сельских товаропроизводителей 72 трактора МТЗ-82.1, в том числе сельхозпроизводителям Чуйской области - 18, Иссык-Кульской области - 5, Ошской области - 14, Джалал-Абадской области - 15, Таласской области - 9, Нарынской области - 7, Баткенской области - 4.</w:t>
      </w:r>
    </w:p>
    <w:p>
      <w:pPr>
        <w:spacing w:after="120"/>
        <w:jc w:val="both"/>
      </w:pPr>
      <w:r>
        <w:rPr>
          <w:rFonts w:ascii="Arial" w:cs="Arial" w:eastAsia="Arial" w:hAnsi="Arial"/>
          <w:sz w:val="24"/>
          <w:szCs w:val="24"/>
        </w:rPr>
        <w:t xml:space="preserve">Кроме этого, по заявкам лизингополучателей закуплено 20 единиц тракторов марки УТО производства КНР, которые отпущены сельским субъектам.</w:t>
      </w:r>
    </w:p>
    <w:p>
      <w:pPr>
        <w:spacing w:after="120"/>
        <w:jc w:val="both"/>
      </w:pPr>
      <w:r>
        <w:rPr>
          <w:rFonts w:ascii="Arial" w:cs="Arial" w:eastAsia="Arial" w:hAnsi="Arial"/>
          <w:sz w:val="24"/>
          <w:szCs w:val="24"/>
        </w:rPr>
        <w:t xml:space="preserve">Обеспеченность минеральными удобрениями. Для проведения весенне-полевых работ на 2012 года азотных минеральных удобрений требуется порядка 200,0 тыс. тонн. В настоящее время имеется в наличии у хозсубъектов 26,3 тыс. тонн. Цена на аммиачную селитру, поставляемую из Узбекистана, составляет 20,0-21,0 сома за 1 кг, а в южных областях - 25,0 сом/кг. Минеральные удобрения, доставляемые из России и Казахстана, обходятся в 22,0-23,0 сома за 1 кг.</w:t>
      </w:r>
    </w:p>
    <w:p>
      <w:pPr>
        <w:spacing w:after="120"/>
        <w:jc w:val="both"/>
      </w:pPr>
      <w:r>
        <w:rPr>
          <w:rFonts w:ascii="Arial" w:cs="Arial" w:eastAsia="Arial" w:hAnsi="Arial"/>
          <w:sz w:val="24"/>
          <w:szCs w:val="24"/>
        </w:rPr>
        <w:t xml:space="preserve">Кроме этого, крестьянам и фермерам республики предлагаются альтернативные органоминеральные удобрения типа "Акварин", которые имеются в наличии - 40 тонн, "Лифдрипа" - 44 тонны и "Нутриванта" - 16 тонн.</w:t>
      </w:r>
    </w:p>
    <w:p>
      <w:pPr>
        <w:spacing w:after="120"/>
        <w:jc w:val="both"/>
      </w:pPr>
      <w:r>
        <w:rPr>
          <w:rFonts w:ascii="Arial" w:cs="Arial" w:eastAsia="Arial" w:hAnsi="Arial"/>
          <w:sz w:val="24"/>
          <w:szCs w:val="24"/>
        </w:rPr>
        <w:t xml:space="preserve">При расчетной потребности в пестицидах 410,9 тонны, их завезено, на 3 апреля 2012 года, 368,8 тонны, или 89,7%, в т.ч. протравителей семян, при потребности 57,9 тонны, завезено 36,0 тонны, или 62,2%, гербицидов, при потребности 196,1 тонны, завезено 172,7 тонны, или 88,1%.</w:t>
      </w:r>
    </w:p>
    <w:p>
      <w:pPr>
        <w:spacing w:after="120"/>
        <w:jc w:val="both"/>
      </w:pPr>
      <w:r>
        <w:rPr>
          <w:rFonts w:ascii="Arial" w:cs="Arial" w:eastAsia="Arial" w:hAnsi="Arial"/>
          <w:sz w:val="24"/>
          <w:szCs w:val="24"/>
        </w:rPr>
        <w:t xml:space="preserve">Животноводство. За январь-март 2012 года производство скота и птицы на убой в живом весе во всех категориях хозяйств составило 80,4 тыс. тонн, или рост по сравнению с соответствующим периодом 2011 года составил 100,9%. Увеличение производства мяса произошло в основном за счет увеличения поголовья крупного рогатого скота на 39,7 тыс. голов, овец и коз - на 250,4 тыс. голов, лошадей - на 10,5 тыс. голов и домашней птицы - на 65,4 тыс. голов. Производство молока в республике составило 226,2 тыс. тонн, что на 2,4 тыс. тонн или на 1,1% больше соответствующего периода 2011 года. За отчетный период текущего года по республике произведено 76,4 млн. шт. яиц, что на 2,6 млн. шт. больше или составило 103,5% к уровню соответствующего периода 2011 года.</w:t>
      </w:r>
    </w:p>
    <w:p>
      <w:pPr>
        <w:spacing w:after="120"/>
        <w:jc w:val="both"/>
      </w:pPr>
      <w:r>
        <w:rPr>
          <w:rFonts w:ascii="Arial" w:cs="Arial" w:eastAsia="Arial" w:hAnsi="Arial"/>
          <w:sz w:val="24"/>
          <w:szCs w:val="24"/>
        </w:rPr>
        <w:t xml:space="preserve">Увеличено производство яиц во всех областях республики, кроме Иссык-Кульской области. В Иссык-Кульской области произведено 15,2 млн. штук яиц или меньше на 0,6 млн. штук, чем в прошлом году. Основной причиной снижения производства яиц в Иссык-Кульской области является уменьшение поголовья домашней птицы на 11,9 тыс. голов.</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по итогам за январь-март 2012 г. внесли Чуйская, Иссык-Кульская, Джалал-Абадская, Ошская и Нарынская области, суммарный удельный вес которых составил 86,1%.</w:t>
      </w:r>
    </w:p>
    <w:p>
      <w:pPr>
        <w:spacing w:after="120"/>
        <w:jc w:val="both"/>
      </w:pPr>
      <w:r>
        <w:rPr>
          <w:rFonts w:ascii="Arial" w:cs="Arial" w:eastAsia="Arial" w:hAnsi="Arial"/>
          <w:sz w:val="24"/>
          <w:szCs w:val="24"/>
        </w:rPr>
        <w:t xml:space="preserve">При этом следует отметить, что не достигнуты прогнозные показатели на I квартал 2012 года по производству мяса, снижение составило 1371 тонну или 1,7%, молока - 3076 тонн или 1,4%. Основная причина спада темпов производства мяса и молока по республике - суровая, длительная по времени зима. Из-за обильного снегопада в высокогорных районах Джалал-Абадской (Чаткальский, Аксыйский и Ала-Букинский районы), Ошской (Чон-Алайский и Кара-Кульджинский районы) и Нарынской областей (Ак-Талинский, Ат-Башинский и Нарынский районы) сложилась кризисная ситуация, что привело к массовой гибели животных, вследствие сильных холодов и острой нехватки кормов. По республике всего пало 27884 головы, в том числе: КРС - 3270 голов, яков - 700 голов, овец и коз - 21774 головы и лошадей 2140 голов.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 падежу животных в разрезе регионов по состоянию на 10.04.2012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Области          │Количество павших животных (голов)│ Всего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КРС  │   Яки  │   МРС  │ Лошади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631 │   104  │   3224 │   492  │  4451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336 │     0  │   1633 │   215  │  2184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1080 │    43  │   8055 │   800  │  9978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1223 │   553  │   8844 │   633  │ 11253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0 │     0  │     18 │     0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республике       │  3270 │   700  │  21774 │  2140  │ 27884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24 марта 2012 года N 100-р оказана государственная поддержка животноводам областей, пострадавшим от обильных снегопадов, в результате которых сельскохозяйственные животные остались без подножного корма, а также в связи с угрозой падежа животных:</w:t>
      </w:r>
    </w:p>
    <w:p>
      <w:pPr>
        <w:spacing w:after="120"/>
        <w:jc w:val="both"/>
      </w:pPr>
      <w:r>
        <w:rPr>
          <w:rFonts w:ascii="Arial" w:cs="Arial" w:eastAsia="Arial" w:hAnsi="Arial"/>
          <w:sz w:val="24"/>
          <w:szCs w:val="24"/>
        </w:rPr>
        <w:t xml:space="preserve">- выделены бюджетные ассигнования Министерству чрезвычайных ситуаций Кыргызской Республики из средств Специального счета по предупреждению и ликвидации последствий чрезвычайных ситуаций, открытого в соответствии с постановлением Правительства Кыргызской Республики "О Специальном счете по предупреждению и ликвидации последствий чрезвычайных ситуаций" от 23 октября 2007 года N 509, в объеме согласно фактическим расходам по перевозке сена и комбикормов в пострадавшие от снегопада районы;</w:t>
      </w:r>
    </w:p>
    <w:p>
      <w:pPr>
        <w:spacing w:after="120"/>
        <w:jc w:val="both"/>
      </w:pPr>
      <w:r>
        <w:rPr>
          <w:rFonts w:ascii="Arial" w:cs="Arial" w:eastAsia="Arial" w:hAnsi="Arial"/>
          <w:sz w:val="24"/>
          <w:szCs w:val="24"/>
        </w:rPr>
        <w:t xml:space="preserve">- в марте т.г. осуществлено финансирование выплат жителям населенных пунктов за апрель, май 2012 года, в целях оказания помощи в закупке кормов животноводам областей в связи с угрозой падежа животных;</w:t>
      </w:r>
    </w:p>
    <w:p>
      <w:pPr>
        <w:spacing w:after="120"/>
        <w:jc w:val="both"/>
      </w:pPr>
      <w:r>
        <w:rPr>
          <w:rFonts w:ascii="Arial" w:cs="Arial" w:eastAsia="Arial" w:hAnsi="Arial"/>
          <w:sz w:val="24"/>
          <w:szCs w:val="24"/>
        </w:rPr>
        <w:t xml:space="preserve">- выделены Фондом государственных материальных резервов при Правительстве Кыргызской Республики необходимые средства на закупку 1 тыс. тонн ячменя.</w:t>
      </w:r>
    </w:p>
    <w:p>
      <w:pPr>
        <w:spacing w:after="120"/>
        <w:jc w:val="both"/>
      </w:pPr>
      <w:r>
        <w:rPr>
          <w:rFonts w:ascii="Arial" w:cs="Arial" w:eastAsia="Arial" w:hAnsi="Arial"/>
          <w:sz w:val="24"/>
          <w:szCs w:val="24"/>
        </w:rPr>
        <w:t xml:space="preserve">Оказана государственная поддержка районам, пострадавшим от обильных снегопадов, в виде 36 тыс. тюков сена и 606 тонн комбикормов.</w:t>
      </w:r>
    </w:p>
    <w:p>
      <w:pPr>
        <w:spacing w:after="120"/>
        <w:jc w:val="both"/>
      </w:pPr>
      <w:r>
        <w:rPr>
          <w:rFonts w:ascii="Arial" w:cs="Arial" w:eastAsia="Arial" w:hAnsi="Arial"/>
          <w:sz w:val="24"/>
          <w:szCs w:val="24"/>
        </w:rPr>
        <w:t xml:space="preserve">Ветеринария. Своевременно проводятся ветеринарные мероприятия, направленные на предотвращение возникновения и распространения заразных болезней животных, производство и реализацию безопасных в ветеринарно-санитарном отношении продуктов животного происхождения.</w:t>
      </w:r>
    </w:p>
    <w:p>
      <w:pPr>
        <w:spacing w:after="120"/>
        <w:jc w:val="both"/>
      </w:pPr>
      <w:r>
        <w:rPr>
          <w:rFonts w:ascii="Arial" w:cs="Arial" w:eastAsia="Arial" w:hAnsi="Arial"/>
          <w:sz w:val="24"/>
          <w:szCs w:val="24"/>
        </w:rPr>
        <w:t xml:space="preserve">Обеспечение продовольственной безопасности. Оценка обеспеченности внутреннего рынка республики основными продуктами питания за январь, февраль, март текущего года не является показательной. В связи с тем, что производство растениеводческой продукции - сезонно.</w:t>
      </w:r>
    </w:p>
    <w:p>
      <w:pPr>
        <w:spacing w:after="120"/>
        <w:jc w:val="both"/>
      </w:pPr>
      <w:r>
        <w:rPr>
          <w:rFonts w:ascii="Arial" w:cs="Arial" w:eastAsia="Arial" w:hAnsi="Arial"/>
          <w:sz w:val="24"/>
          <w:szCs w:val="24"/>
        </w:rPr>
        <w:t xml:space="preserve">Переходящие остатки основных продуктов питания на 01.01.12 г. составили: хлебопродукты - 814,2 тыс. т, картофель - 727,0 тыс. т, молоко - 44,0 тыс. т, мясо - 7,7 тыс. т, овощи - 164,7 тыс. т, масло растительное - 23,7 тыс. т, яйцо птицы - 40,2 млн. шт., плоды и ягоды - 7,0 тыс. т.</w:t>
      </w:r>
    </w:p>
    <w:p>
      <w:pPr>
        <w:spacing w:after="120"/>
        <w:jc w:val="both"/>
      </w:pPr>
      <w:r>
        <w:rPr>
          <w:rFonts w:ascii="Arial" w:cs="Arial" w:eastAsia="Arial" w:hAnsi="Arial"/>
          <w:sz w:val="24"/>
          <w:szCs w:val="24"/>
        </w:rPr>
        <w:t xml:space="preserve">При этом, обеспеченность внутреннего рынка за январь-март 2012 года, с учетом переходящих остатков составила:</w:t>
      </w:r>
    </w:p>
    <w:p>
      <w:pPr>
        <w:spacing w:after="120"/>
        <w:jc w:val="both"/>
      </w:pPr>
      <w:r>
        <w:rPr>
          <w:rFonts w:ascii="Arial" w:cs="Arial" w:eastAsia="Arial" w:hAnsi="Arial"/>
          <w:sz w:val="24"/>
          <w:szCs w:val="24"/>
        </w:rPr>
        <w:t xml:space="preserve">- по хлебопродуктам - 424,8%, картофелю - 353,8%, молоку - 97,0%, мясу - 77,1%, овощам - 95,0%, маслу растительному - 296,2%, сахару 75,1%, яйцу птицы - 46,2%, плодам и ягодам - 3,6%.</w:t>
      </w:r>
    </w:p>
    <w:p>
      <w:pPr>
        <w:spacing w:after="120"/>
        <w:jc w:val="both"/>
      </w:pPr>
      <w:r>
        <w:rPr>
          <w:rFonts w:ascii="Arial" w:cs="Arial" w:eastAsia="Arial" w:hAnsi="Arial"/>
          <w:sz w:val="24"/>
          <w:szCs w:val="24"/>
        </w:rPr>
        <w:t xml:space="preserve">Обеспеченность за счет собственного производства составила:</w:t>
      </w:r>
    </w:p>
    <w:p>
      <w:pPr>
        <w:spacing w:after="120"/>
        <w:jc w:val="both"/>
      </w:pPr>
      <w:r>
        <w:rPr>
          <w:rFonts w:ascii="Arial" w:cs="Arial" w:eastAsia="Arial" w:hAnsi="Arial"/>
          <w:sz w:val="24"/>
          <w:szCs w:val="24"/>
        </w:rPr>
        <w:t xml:space="preserve">- по хлебопродуктам - 360,2%, картофелю - 353,8%, молоку - 97,0%, мясу - 61,6%, овощам - 94,4%, маслу растительному - 254,6%, яйцу птицы - 46,2%.</w:t>
      </w:r>
    </w:p>
    <w:p>
      <w:pPr>
        <w:spacing w:after="120"/>
        <w:jc w:val="both"/>
      </w:pPr>
      <w:r>
        <w:rPr>
          <w:rFonts w:ascii="Arial" w:cs="Arial" w:eastAsia="Arial" w:hAnsi="Arial"/>
          <w:sz w:val="24"/>
          <w:szCs w:val="24"/>
        </w:rPr>
        <w:t xml:space="preserve">Следует отметить, что ежемесячный рост цен на основные продукты питания способствует снижению доступа к продуктам питания основной части населения республики.</w:t>
      </w:r>
    </w:p>
    <w:p>
      <w:pPr>
        <w:spacing w:after="120"/>
        <w:jc w:val="both"/>
      </w:pPr>
      <w:r>
        <w:rPr>
          <w:rFonts w:ascii="Arial" w:cs="Arial" w:eastAsia="Arial" w:hAnsi="Arial"/>
          <w:sz w:val="24"/>
          <w:szCs w:val="24"/>
        </w:rPr>
        <w:t xml:space="preserve">В целях обеспечения государственной поддержки сельских товаропроизводителей по своевременному проведению весенне-полевых работ в 2012 году и продовольственной безопасности республики:</w:t>
      </w:r>
    </w:p>
    <w:p>
      <w:pPr>
        <w:spacing w:after="120"/>
        <w:jc w:val="both"/>
      </w:pPr>
      <w:r>
        <w:rPr>
          <w:rFonts w:ascii="Arial" w:cs="Arial" w:eastAsia="Arial" w:hAnsi="Arial"/>
          <w:sz w:val="24"/>
          <w:szCs w:val="24"/>
        </w:rPr>
        <w:t xml:space="preserve">- разработана структура посевных площадей на 2012 год, учитывающая увеличение площадей под производство сахарной свеклы, масличных культур, овощей;</w:t>
      </w:r>
    </w:p>
    <w:p>
      <w:pPr>
        <w:spacing w:after="120"/>
        <w:jc w:val="both"/>
      </w:pPr>
      <w:r>
        <w:rPr>
          <w:rFonts w:ascii="Arial" w:cs="Arial" w:eastAsia="Arial" w:hAnsi="Arial"/>
          <w:sz w:val="24"/>
          <w:szCs w:val="24"/>
        </w:rPr>
        <w:t xml:space="preserve">- проводится работа с донорами по приобретению семян для восполнения недостающих семян;</w:t>
      </w:r>
    </w:p>
    <w:p>
      <w:pPr>
        <w:spacing w:after="120"/>
        <w:jc w:val="both"/>
      </w:pPr>
      <w:r>
        <w:rPr>
          <w:rFonts w:ascii="Arial" w:cs="Arial" w:eastAsia="Arial" w:hAnsi="Arial"/>
          <w:sz w:val="24"/>
          <w:szCs w:val="24"/>
        </w:rPr>
        <w:t xml:space="preserve">- Республикой Узбекистан выделена квота на поставку 100 тыс. тонн минеральных удобрений;</w:t>
      </w:r>
    </w:p>
    <w:p>
      <w:pPr>
        <w:spacing w:after="120"/>
        <w:jc w:val="both"/>
      </w:pPr>
      <w:r>
        <w:rPr>
          <w:rFonts w:ascii="Arial" w:cs="Arial" w:eastAsia="Arial" w:hAnsi="Arial"/>
          <w:sz w:val="24"/>
          <w:szCs w:val="24"/>
        </w:rPr>
        <w:t xml:space="preserve">- для стимулирования отечественных фермеров выделено 3 тыс. тонн дизтоплива по льготной средней цене 34 сома за литр при рыночной цене в размере 37,5 сома за литр;</w:t>
      </w:r>
    </w:p>
    <w:p>
      <w:pPr>
        <w:spacing w:after="120"/>
        <w:jc w:val="both"/>
      </w:pPr>
      <w:r>
        <w:rPr>
          <w:rFonts w:ascii="Arial" w:cs="Arial" w:eastAsia="Arial" w:hAnsi="Arial"/>
          <w:sz w:val="24"/>
          <w:szCs w:val="24"/>
        </w:rPr>
        <w:t xml:space="preserve">- предоставление льготных кредитов на поддержку сельхозпроизводителей. Законом Кыргызской Республики "О республиканском бюджете на 2012 год и прогнозе на 2013-2014 годы" (принят постановлением Жогорку Кенеша Кыргызской Республики от 15.03.12 г. N 1739-V) предусмотрено выделение 1,0 млрд. сомов на программу "Доступные кредиты фермерам-2" (профинансировано в I кв. 2012 г. - 639,8 млн. сомов).</w:t>
      </w:r>
    </w:p>
    <w:p>
      <w:pPr>
        <w:spacing w:after="120"/>
        <w:jc w:val="both"/>
      </w:pPr>
      <w:r>
        <w:rPr>
          <w:rFonts w:ascii="Arial" w:cs="Arial" w:eastAsia="Arial" w:hAnsi="Arial"/>
          <w:sz w:val="24"/>
          <w:szCs w:val="24"/>
        </w:rPr>
        <w:t xml:space="preserve">Для справки: По оперативным сводным отчетам коммерческих банков по проекту "Доступные кредиты фермерам-2", на 6 апреля 2012 года в целом по республике для растениеводства было принято заявок от 5565 хозяйствующих субъектов, всего на сумму 795,1 млн. сомов, из которых были одобрены 2630 заявок на сумму 282,2 млн. сомов и выданы денежные кредиты 2242 хозсубъектам всего на сумму 245,8 млн. сомов.</w:t>
      </w:r>
    </w:p>
    <w:p>
      <w:pPr>
        <w:spacing w:after="120"/>
        <w:jc w:val="both"/>
      </w:pPr>
      <w:r>
        <w:rPr>
          <w:rFonts w:ascii="Arial" w:cs="Arial" w:eastAsia="Arial" w:hAnsi="Arial"/>
          <w:sz w:val="24"/>
          <w:szCs w:val="24"/>
        </w:rPr>
        <w:t xml:space="preserve">Для развитие животноводства было принято заявок от 11677 хозяйствующих субъектов, всего на сумму 2382,4 млн. сомов, из которых были одобрены 3718 заявок на сумму 424,3 млн. сомов и выданы денежные кредиты 3419 хозсубъектам всего на сумму 393,5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За январь-март 2012 года объем инвестиций в основной капитал за счет всех источников финансирования составил 6,1 млрд. сомов и вырос на 8,7%. Рост инвестиций в основной капитал обеспечен за счет увеличения объемов строительства объектов горнодобывающей и обрабатывающей промышленности, торговли, ремонта автомобилей, бытовых изделий и предметов личного пользования, гостиниц и ресторанов, связи, сферы образования.</w:t>
      </w:r>
    </w:p>
    <w:p>
      <w:pPr>
        <w:spacing w:after="120"/>
        <w:jc w:val="both"/>
      </w:pPr>
      <w:r>
        <w:rPr>
          <w:rFonts w:ascii="Arial" w:cs="Arial" w:eastAsia="Arial" w:hAnsi="Arial"/>
          <w:sz w:val="24"/>
          <w:szCs w:val="24"/>
        </w:rPr>
        <w:t xml:space="preserve">Общий объем валовой продукции строительства за январь-март 2012 г. составил 5,5 млрд. сомов и увеличился на 12,0%. Влияние строительного сектора на темпы экономического роста было положительным и вклад в формирование ВВП составил 0,37%, удельный вес которого в структуре производства ВВП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строительного комплекса за январь-март 2012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Январь-│  Январь-март  │   Январь-март   │</w:t>
      </w:r>
    </w:p>
    <w:p>
      <w:pPr>
        <w:spacing w:after="120"/>
        <w:jc w:val="center"/>
      </w:pPr>
      <w:r>
        <w:rPr>
          <w:rFonts w:ascii="Arial" w:cs="Arial" w:eastAsia="Arial" w:hAnsi="Arial"/>
          <w:sz w:val="24"/>
          <w:szCs w:val="24"/>
        </w:rPr>
        <w:t xml:space="preserve">│                          │  март  │    2012 г.    │      2012 г.    │</w:t>
      </w:r>
    </w:p>
    <w:p>
      <w:pPr>
        <w:spacing w:after="120"/>
        <w:jc w:val="center"/>
      </w:pPr>
      <w:r>
        <w:rPr>
          <w:rFonts w:ascii="Arial" w:cs="Arial" w:eastAsia="Arial" w:hAnsi="Arial"/>
          <w:sz w:val="24"/>
          <w:szCs w:val="24"/>
        </w:rPr>
        <w:t xml:space="preserve">│                          │ 2011 г.│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 Предв.│Прогноз│ Отклон.│ Отклон.│</w:t>
      </w:r>
    </w:p>
    <w:p>
      <w:pPr>
        <w:spacing w:after="120"/>
        <w:jc w:val="center"/>
      </w:pPr>
      <w:r>
        <w:rPr>
          <w:rFonts w:ascii="Arial" w:cs="Arial" w:eastAsia="Arial" w:hAnsi="Arial"/>
          <w:sz w:val="24"/>
          <w:szCs w:val="24"/>
        </w:rPr>
        <w:t xml:space="preserve">│                          │        │ факт. │       │от факт.│   от   │</w:t>
      </w:r>
    </w:p>
    <w:p>
      <w:pPr>
        <w:spacing w:after="120"/>
        <w:jc w:val="center"/>
      </w:pPr>
      <w:r>
        <w:rPr>
          <w:rFonts w:ascii="Arial" w:cs="Arial" w:eastAsia="Arial" w:hAnsi="Arial"/>
          <w:sz w:val="24"/>
          <w:szCs w:val="24"/>
        </w:rPr>
        <w:t xml:space="preserve">│                          │        │       │       │ 2011 г.│прогноза│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продукция         │ 4581,6 │ 5459,8│ 5860,6│  878,2 │ -400,8 │</w:t>
      </w:r>
    </w:p>
    <w:p>
      <w:pPr>
        <w:spacing w:after="120"/>
        <w:jc w:val="center"/>
      </w:pPr>
      <w:r>
        <w:rPr>
          <w:rFonts w:ascii="Arial" w:cs="Arial" w:eastAsia="Arial" w:hAnsi="Arial"/>
          <w:sz w:val="24"/>
          <w:szCs w:val="24"/>
        </w:rPr>
        <w:t xml:space="preserve">│строительства, млн. 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            │   79,3 │  112,0│  120,2│   32,7 │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123,9 │  106,4│  106,4│  -17,5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│Инвестиции в основной     │ 5263,9 │ 6104,6│ 6569,3│  840,7 │ -464,7 │</w:t>
      </w:r>
    </w:p>
    <w:p>
      <w:pPr>
        <w:spacing w:after="120"/>
        <w:jc w:val="center"/>
      </w:pPr>
      <w:r>
        <w:rPr>
          <w:rFonts w:ascii="Arial" w:cs="Arial" w:eastAsia="Arial" w:hAnsi="Arial"/>
          <w:sz w:val="24"/>
          <w:szCs w:val="24"/>
        </w:rPr>
        <w:t xml:space="preserve">│капитал, млн. 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            │   73,5 │  108,7│  107,1│   35,2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│Внутренние инвестиции,    │ 4287,2 │ 5250,7│ 5452,5│  963,5 │ -201,8 │</w:t>
      </w:r>
    </w:p>
    <w:p>
      <w:pPr>
        <w:spacing w:after="120"/>
        <w:jc w:val="center"/>
      </w:pPr>
      <w:r>
        <w:rPr>
          <w:rFonts w:ascii="Arial" w:cs="Arial" w:eastAsia="Arial" w:hAnsi="Arial"/>
          <w:sz w:val="24"/>
          <w:szCs w:val="24"/>
        </w:rPr>
        <w:t xml:space="preserve">│млн. 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инвестиции, млн.  │  976,7 │  853,9│ 1116,8│ -122,8 │ -262,9 │</w:t>
      </w:r>
    </w:p>
    <w:p>
      <w:pPr>
        <w:spacing w:after="120"/>
        <w:jc w:val="center"/>
      </w:pPr>
      <w:r>
        <w:rPr>
          <w:rFonts w:ascii="Arial" w:cs="Arial" w:eastAsia="Arial" w:hAnsi="Arial"/>
          <w:sz w:val="24"/>
          <w:szCs w:val="24"/>
        </w:rPr>
        <w:t xml:space="preserve">│сомов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Увеличение объемов валовой продукции строительства объясняется ростом доли подрядных строительно-монтажных и прочих капитальных работ. При этом, фактически сложившиеся показатели не достигли прогнозируемых на I квартал 2012 г., тогда как ожидалось, что наибольший рост будет обеспечен со стороны сектора строительства (120,2%), который будет связан с продолжением работ по восстановлению инфраструктуры городов Ош, Джалал-Абад и районов, пострадавших во время событий 2010 года, а также значительными капитальными вложениями на месторождении "Кумтор", транспорте и в энергетике.</w:t>
      </w:r>
    </w:p>
    <w:p>
      <w:pPr>
        <w:spacing w:after="120"/>
        <w:jc w:val="both"/>
      </w:pPr>
      <w:r>
        <w:rPr>
          <w:rFonts w:ascii="Arial" w:cs="Arial" w:eastAsia="Arial" w:hAnsi="Arial"/>
          <w:sz w:val="24"/>
          <w:szCs w:val="24"/>
        </w:rPr>
        <w:t xml:space="preserve">Основными факторами, которые повлияли на замедление темпов строительства, явились:</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по настоящее время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инвестиционной активности (на начало года многие инвестиционные проекты не реализованы и остаются приостановленными на республиканском и региональном уровнях);</w:t>
      </w:r>
    </w:p>
    <w:p>
      <w:pPr>
        <w:spacing w:after="120"/>
        <w:jc w:val="both"/>
      </w:pPr>
      <w:r>
        <w:rPr>
          <w:rFonts w:ascii="Arial" w:cs="Arial" w:eastAsia="Arial" w:hAnsi="Arial"/>
          <w:sz w:val="24"/>
          <w:szCs w:val="24"/>
        </w:rPr>
        <w:t xml:space="preserve">- сезонный характер проведения строительных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в основной капитал по источникам финансирования за январь-март 2011-2012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│Январь-│Январь-│  Уд. вес  │</w:t>
      </w:r>
    </w:p>
    <w:p>
      <w:pPr>
        <w:spacing w:after="120"/>
        <w:jc w:val="center"/>
      </w:pPr>
      <w:r>
        <w:rPr>
          <w:rFonts w:ascii="Arial" w:cs="Arial" w:eastAsia="Arial" w:hAnsi="Arial"/>
          <w:sz w:val="24"/>
          <w:szCs w:val="24"/>
        </w:rPr>
        <w:t xml:space="preserve">│                                         │ март  │ март  │  в общем  │</w:t>
      </w:r>
    </w:p>
    <w:p>
      <w:pPr>
        <w:spacing w:after="120"/>
        <w:jc w:val="center"/>
      </w:pPr>
      <w:r>
        <w:rPr>
          <w:rFonts w:ascii="Arial" w:cs="Arial" w:eastAsia="Arial" w:hAnsi="Arial"/>
          <w:sz w:val="24"/>
          <w:szCs w:val="24"/>
        </w:rPr>
        <w:t xml:space="preserve">│                                         │2011 г.│2012 г.│  объеме   │</w:t>
      </w:r>
    </w:p>
    <w:p>
      <w:pPr>
        <w:spacing w:after="120"/>
        <w:jc w:val="center"/>
      </w:pPr>
      <w:r>
        <w:rPr>
          <w:rFonts w:ascii="Arial" w:cs="Arial" w:eastAsia="Arial" w:hAnsi="Arial"/>
          <w:sz w:val="24"/>
          <w:szCs w:val="24"/>
        </w:rPr>
        <w:t xml:space="preserve">│                                         │       │       │инвестиций,│</w:t>
      </w:r>
    </w:p>
    <w:p>
      <w:pPr>
        <w:spacing w:after="120"/>
        <w:jc w:val="center"/>
      </w:pPr>
      <w:r>
        <w:rPr>
          <w:rFonts w:ascii="Arial" w:cs="Arial" w:eastAsia="Arial" w:hAnsi="Arial"/>
          <w:sz w:val="24"/>
          <w:szCs w:val="24"/>
        </w:rPr>
        <w:t xml:space="preserve">│                                         │       │       │    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│Инвестиции в основной капитал:           │       │       │           │</w:t>
      </w:r>
    </w:p>
    <w:p>
      <w:pPr>
        <w:spacing w:after="120"/>
        <w:jc w:val="center"/>
      </w:pPr>
      <w:r>
        <w:rPr>
          <w:rFonts w:ascii="Arial" w:cs="Arial" w:eastAsia="Arial" w:hAnsi="Arial"/>
          <w:sz w:val="24"/>
          <w:szCs w:val="24"/>
        </w:rPr>
        <w:t xml:space="preserve">│- млн. сомов                             │ 5263,9│ 6104,6│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73,5│  108,7│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внутренние инвестиции                  │ 4287,2│ 5250,7│    86,0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средства предприятий и организаций     │ 1055,3│ 2727,9│    44,7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кредиты банков                         │    2,8│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средства населения                     │ 2753,5│ 2426,3│    39,7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внешние инвестиции                     │  976,7│  853,9│    14,0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на Камбар-Атинскую ГЭС            │       │       │           │</w:t>
      </w:r>
    </w:p>
    <w:p>
      <w:pPr>
        <w:spacing w:after="120"/>
        <w:jc w:val="center"/>
      </w:pPr>
      <w:r>
        <w:rPr>
          <w:rFonts w:ascii="Arial" w:cs="Arial" w:eastAsia="Arial" w:hAnsi="Arial"/>
          <w:sz w:val="24"/>
          <w:szCs w:val="24"/>
        </w:rPr>
        <w:t xml:space="preserve">│- млн. сомов                             │  254,2│  235,7│     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23,3│   86,9│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валовой продукции строительства:   │       │       │           │</w:t>
      </w:r>
    </w:p>
    <w:p>
      <w:pPr>
        <w:spacing w:after="120"/>
        <w:jc w:val="center"/>
      </w:pPr>
      <w:r>
        <w:rPr>
          <w:rFonts w:ascii="Arial" w:cs="Arial" w:eastAsia="Arial" w:hAnsi="Arial"/>
          <w:sz w:val="24"/>
          <w:szCs w:val="24"/>
        </w:rPr>
        <w:t xml:space="preserve">│- млн. сомов                             │ 4581,6│ 5459,8│    89,4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79,3│  112,0│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Суммарная доля внутренних инвестиционных средств составила 86,0% и внешних - 14,0% от общего объема освоенных капитальных вложений (см. табл. 8).</w:t>
      </w:r>
    </w:p>
    <w:p>
      <w:pPr>
        <w:spacing w:after="120"/>
        <w:jc w:val="both"/>
      </w:pPr>
      <w:r>
        <w:rPr>
          <w:rFonts w:ascii="Arial" w:cs="Arial" w:eastAsia="Arial" w:hAnsi="Arial"/>
          <w:sz w:val="24"/>
          <w:szCs w:val="24"/>
        </w:rPr>
        <w:t xml:space="preserve">По сравнению с соответствующим периодом 2011 г. объемы инвестиций в основной капитал за счет внутренних источников увеличились на 14,8%, из них за счет собственных средств предприятий и организаций - в 2,4 раза, где удельный вес в общем объеме освоенных инвестиций составляет 44,7%.</w:t>
      </w:r>
    </w:p>
    <w:p>
      <w:pPr>
        <w:spacing w:after="120"/>
        <w:jc w:val="both"/>
      </w:pPr>
      <w:r>
        <w:rPr>
          <w:rFonts w:ascii="Arial" w:cs="Arial" w:eastAsia="Arial" w:hAnsi="Arial"/>
          <w:sz w:val="24"/>
          <w:szCs w:val="24"/>
        </w:rPr>
        <w:t xml:space="preserve">В структуре инвестиций за январь-март 2012 года бюджетные вложения составили 1,6% против 9% за соответствующий период 2011 года, прямые иностранные инвестиции - 7,4% против 11,2% за аналогичный период 2011 года, средства населения, включая благотворительную помощь Президента Кыргызской Республики, - 39,7%, против 52,3% за аналогичный период 2011 г. При этом увеличились доля средств предприятий и организаций - 44,7% против 20,0% за аналогичный период 2011 г.</w:t>
      </w:r>
    </w:p>
    <w:p>
      <w:pPr>
        <w:spacing w:after="120"/>
        <w:jc w:val="both"/>
      </w:pPr>
      <w:r>
        <w:rPr>
          <w:rFonts w:ascii="Arial" w:cs="Arial" w:eastAsia="Arial" w:hAnsi="Arial"/>
          <w:sz w:val="24"/>
          <w:szCs w:val="24"/>
        </w:rPr>
        <w:t xml:space="preserve">За январь-март 2012 г. введено в действие основных фондов на сумму 3467,2 млн. сомов. На один сом освоенных инвестиций пришлось 0,57 сома основных фондов, против 2,17 сома в I квартале 2011 г.</w:t>
      </w:r>
    </w:p>
    <w:p>
      <w:pPr>
        <w:spacing w:after="120"/>
        <w:jc w:val="both"/>
      </w:pPr>
      <w:r>
        <w:rPr>
          <w:rFonts w:ascii="Arial" w:cs="Arial" w:eastAsia="Arial" w:hAnsi="Arial"/>
          <w:sz w:val="24"/>
          <w:szCs w:val="24"/>
        </w:rPr>
        <w:t xml:space="preserve">Основные суммы инвестиций в основной капитал направлены на горнодобывающую промышленность, где доля составила 29,1%, увеличившись по сравнению с соответствующим периодом 2011 года в 2,2 раза, транспорт и связь (6,8%), обрабатывающую промышленность (6,6%), где рост составил в 1,4 раза.</w:t>
      </w:r>
    </w:p>
    <w:p>
      <w:pPr>
        <w:spacing w:after="120"/>
        <w:jc w:val="both"/>
      </w:pPr>
      <w:r>
        <w:rPr>
          <w:rFonts w:ascii="Arial" w:cs="Arial" w:eastAsia="Arial" w:hAnsi="Arial"/>
          <w:sz w:val="24"/>
          <w:szCs w:val="24"/>
        </w:rPr>
        <w:t xml:space="preserve">Осуществляется реконструкция автомобильных дорог "Ош-Иркештам", "Ош-Исфана", "Бишкек-Торугарт",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В январе-марте 2012 г. сданы в эксплуатацию 1411 квартир общей площадью 149,4 тыс. кв. метров, или 71,7% к уровню соответствующего периода 2011 г. На строительстве жилья за истекший квартал использовано (по оценке) 1915,4 млн. сомов инвестиций в основной капитал, что на 21,7% меньше, чем в I квартале 2011 г.</w:t>
      </w:r>
    </w:p>
    <w:p>
      <w:pPr>
        <w:spacing w:after="120"/>
        <w:jc w:val="both"/>
      </w:pPr>
      <w:r>
        <w:rPr>
          <w:rFonts w:ascii="Arial" w:cs="Arial" w:eastAsia="Arial" w:hAnsi="Arial"/>
          <w:sz w:val="24"/>
          <w:szCs w:val="24"/>
        </w:rPr>
        <w:t xml:space="preserve">Основная доля введенного жилья (25,8% от общего ввода) приходится на г.Бишкек, где его введено 38,6 тыс. кв. метров и г.Ош - 19,7%, или 29,4 тыс. кв. метров.</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(84,7% процента от их общего ввода). Построено 1142 индивидуальных жилых дома, общей площадью 126,6 тыс. кв. метров, стоимость которых составила (по оценке) 1734,0 млн. сомов, что на 9,3% меньше, чем за соответствующий период 2011 года.</w:t>
      </w:r>
    </w:p>
    <w:p>
      <w:pPr>
        <w:spacing w:after="120"/>
        <w:jc w:val="both"/>
      </w:pPr>
      <w:r>
        <w:rPr>
          <w:rFonts w:ascii="Arial" w:cs="Arial" w:eastAsia="Arial" w:hAnsi="Arial"/>
          <w:sz w:val="24"/>
          <w:szCs w:val="24"/>
        </w:rPr>
        <w:t xml:space="preserve">На строительстве общеобразовательных школ в I квартале т.г. использовано 60,5 млн. сомов инвестиций в основной капитал. Построена общеобразовательная школа на 140 ученических мест в Баткенской области. Сданы в эксплуатацию амбулаторно-поликлинические учреждения на 35 посещений в смену в Чуйской области.</w:t>
      </w:r>
    </w:p>
    <w:p>
      <w:pPr>
        <w:spacing w:after="120"/>
        <w:jc w:val="both"/>
      </w:pPr>
      <w:r>
        <w:rPr>
          <w:rFonts w:ascii="Arial" w:cs="Arial" w:eastAsia="Arial" w:hAnsi="Arial"/>
          <w:sz w:val="24"/>
          <w:szCs w:val="24"/>
        </w:rPr>
        <w:t xml:space="preserve">В январе-марте 2012 года объемы строительства возросли в Иссык-Кульской (в 5,9 раза), Чуйской (в 1,7 раза), Ошской (на 22,9%) и Баткенской (на 14,6%) областях.</w:t>
      </w:r>
    </w:p>
    <w:p>
      <w:pPr>
        <w:spacing w:after="120"/>
        <w:jc w:val="both"/>
      </w:pPr>
      <w:r>
        <w:rPr>
          <w:rFonts w:ascii="Arial" w:cs="Arial" w:eastAsia="Arial" w:hAnsi="Arial"/>
          <w:sz w:val="24"/>
          <w:szCs w:val="24"/>
        </w:rPr>
        <w:t xml:space="preserve">Основную долю в объеме инвестиций в основной капитал занимают г.Бишкек (34,2%) и Иссык-Кульская область (29,6%). Это обусловлено тем, что в г.Бишкек значительные капитальные вложения направлены на жилищное строительство, а в Иссык-Кульской области значительные капитальные вложения осуществлены на месторождении "Кумтор".</w:t>
      </w:r>
    </w:p>
    <w:p>
      <w:pPr>
        <w:spacing w:after="120"/>
        <w:jc w:val="both"/>
      </w:pPr>
      <w:r>
        <w:rPr>
          <w:rFonts w:ascii="Arial" w:cs="Arial" w:eastAsia="Arial" w:hAnsi="Arial"/>
          <w:sz w:val="24"/>
          <w:szCs w:val="24"/>
        </w:rPr>
        <w:t xml:space="preserve">Восстановление южного региона.</w:t>
      </w:r>
    </w:p>
    <w:p>
      <w:pPr>
        <w:spacing w:after="120"/>
        <w:jc w:val="both"/>
      </w:pPr>
      <w:r>
        <w:rPr>
          <w:rFonts w:ascii="Arial" w:cs="Arial" w:eastAsia="Arial" w:hAnsi="Arial"/>
          <w:sz w:val="24"/>
          <w:szCs w:val="24"/>
        </w:rPr>
        <w:t xml:space="preserve">Осуществляются работы по восстановлению объектов инфраструктуры и социально-культурного назначения городов Ош и Джалал-Абад, где в январе-марте 2012 г. было профинансировано 265733,2 тыс. сомов, израсходовано 186011,6 тыс. сомов, из них:</w:t>
      </w:r>
    </w:p>
    <w:p>
      <w:pPr>
        <w:spacing w:after="120"/>
        <w:jc w:val="both"/>
      </w:pPr>
      <w:r>
        <w:rPr>
          <w:rFonts w:ascii="Arial" w:cs="Arial" w:eastAsia="Arial" w:hAnsi="Arial"/>
          <w:sz w:val="24"/>
          <w:szCs w:val="24"/>
        </w:rPr>
        <w:t xml:space="preserve">- на строительные и восстановительные работы - 108513,0 тыс. сомов;</w:t>
      </w:r>
    </w:p>
    <w:p>
      <w:pPr>
        <w:spacing w:after="120"/>
        <w:jc w:val="both"/>
      </w:pPr>
      <w:r>
        <w:rPr>
          <w:rFonts w:ascii="Arial" w:cs="Arial" w:eastAsia="Arial" w:hAnsi="Arial"/>
          <w:sz w:val="24"/>
          <w:szCs w:val="24"/>
        </w:rPr>
        <w:t xml:space="preserve">- на проектно-изыскательские работы - 4626,5 тыс. сомов;</w:t>
      </w:r>
    </w:p>
    <w:p>
      <w:pPr>
        <w:spacing w:after="120"/>
        <w:jc w:val="both"/>
      </w:pPr>
      <w:r>
        <w:rPr>
          <w:rFonts w:ascii="Arial" w:cs="Arial" w:eastAsia="Arial" w:hAnsi="Arial"/>
          <w:sz w:val="24"/>
          <w:szCs w:val="24"/>
        </w:rPr>
        <w:t xml:space="preserve">- на безвозмездную помощь пострадавшим 1323 предпринимателям 66150,0 тыс. сомов;</w:t>
      </w:r>
    </w:p>
    <w:p>
      <w:pPr>
        <w:spacing w:after="120"/>
        <w:jc w:val="both"/>
      </w:pPr>
      <w:r>
        <w:rPr>
          <w:rFonts w:ascii="Arial" w:cs="Arial" w:eastAsia="Arial" w:hAnsi="Arial"/>
          <w:sz w:val="24"/>
          <w:szCs w:val="24"/>
        </w:rPr>
        <w:t xml:space="preserve">- на содержание Госдирекции - 6722,1 тыс. сомов.</w:t>
      </w:r>
    </w:p>
    <w:p>
      <w:pPr>
        <w:spacing w:after="120"/>
        <w:jc w:val="both"/>
      </w:pPr>
      <w:r>
        <w:rPr>
          <w:rFonts w:ascii="Arial" w:cs="Arial" w:eastAsia="Arial" w:hAnsi="Arial"/>
          <w:sz w:val="24"/>
          <w:szCs w:val="24"/>
        </w:rPr>
        <w:t xml:space="preserve">В настоящее время из 1548 строящихся домов (в Ошской области - 638 домов, г.Ош - 575, Джалал-Абадской области - 335) завершены стены 1402 домов, завершена кровля 1350 домов, завершена отделка 758 домов.</w:t>
      </w:r>
    </w:p>
    <w:p>
      <w:pPr>
        <w:spacing w:after="120"/>
        <w:jc w:val="both"/>
      </w:pPr>
      <w:r>
        <w:rPr>
          <w:rFonts w:ascii="Arial" w:cs="Arial" w:eastAsia="Arial" w:hAnsi="Arial"/>
          <w:sz w:val="24"/>
          <w:szCs w:val="24"/>
        </w:rPr>
        <w:t xml:space="preserve">Утверждены 2 дополнительных списка пострадавших предпринимателей в количестве 2 тыс. человек. С начала 2012 года 1024 пострадавших предпринимателя получили от государства безвозмездную помощь в размере по 50 тыс. сомов, на общую сумму 51,2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январь-март 2012 года валовой выпуск сферы услуг сложился в объеме 47,1 млрд. сомов, с темпом реального роста 104,0% и не достиг ожидаемого уровня на 1,5 процентных пункта. По сравнению с аналогичным периодом 2011 года темп роста сферы услуг ускорился на 0,4 процентных пункта. Данный рост обусловлен растущим спросом на услуги со стороны населения, вызванным ростом денежных доходов, в частности заработной платы на 36,4%. Влияние сферы услуг на темпы экономического роста было положительным, вклад в формирование роста ВВП составил 2,1 процентных пункта, с удельным весом в структуре производства ВВП - 50,5%.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│Январь-│Январь-│ Откл. │Январь-│ Откл. │</w:t>
      </w:r>
    </w:p>
    <w:p>
      <w:pPr>
        <w:spacing w:after="120"/>
        <w:jc w:val="center"/>
      </w:pPr>
      <w:r>
        <w:rPr>
          <w:rFonts w:ascii="Arial" w:cs="Arial" w:eastAsia="Arial" w:hAnsi="Arial"/>
          <w:sz w:val="24"/>
          <w:szCs w:val="24"/>
        </w:rPr>
        <w:t xml:space="preserve">│                             │ март  │ март  │       │ март  │       │</w:t>
      </w:r>
    </w:p>
    <w:p>
      <w:pPr>
        <w:spacing w:after="120"/>
        <w:jc w:val="center"/>
      </w:pPr>
      <w:r>
        <w:rPr>
          <w:rFonts w:ascii="Arial" w:cs="Arial" w:eastAsia="Arial" w:hAnsi="Arial"/>
          <w:sz w:val="24"/>
          <w:szCs w:val="24"/>
        </w:rPr>
        <w:t xml:space="preserve">│                             │2011 г.│2012 г.│       │2012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│Предв. │К пред.│ Ожид. │К ожид.│</w:t>
      </w:r>
    </w:p>
    <w:p>
      <w:pPr>
        <w:spacing w:after="120"/>
        <w:jc w:val="center"/>
      </w:pPr>
      <w:r>
        <w:rPr>
          <w:rFonts w:ascii="Arial" w:cs="Arial" w:eastAsia="Arial" w:hAnsi="Arial"/>
          <w:sz w:val="24"/>
          <w:szCs w:val="24"/>
        </w:rPr>
        <w:t xml:space="preserve">│                             │       │ факт. │ году.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│Сфера услуг:                 │       │       │       │       │       │</w:t>
      </w:r>
    </w:p>
    <w:p>
      <w:pPr>
        <w:spacing w:after="120"/>
        <w:jc w:val="center"/>
      </w:pPr>
      <w:r>
        <w:rPr>
          <w:rFonts w:ascii="Arial" w:cs="Arial" w:eastAsia="Arial" w:hAnsi="Arial"/>
          <w:sz w:val="24"/>
          <w:szCs w:val="24"/>
        </w:rPr>
        <w:t xml:space="preserve">│- млн. сомов                 │42248,7│47086,2│ 4837,5│47215,5│ -129,3│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102,1│  104,0│    1,9│  105,5│   -1,5│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ремонт автомобилей,│       │       │       │       │       │</w:t>
      </w:r>
    </w:p>
    <w:p>
      <w:pPr>
        <w:spacing w:after="120"/>
        <w:jc w:val="center"/>
      </w:pPr>
      <w:r>
        <w:rPr>
          <w:rFonts w:ascii="Arial" w:cs="Arial" w:eastAsia="Arial" w:hAnsi="Arial"/>
          <w:sz w:val="24"/>
          <w:szCs w:val="24"/>
        </w:rPr>
        <w:t xml:space="preserve">│бытовых изделий:             │       │       │       │       │       │</w:t>
      </w:r>
    </w:p>
    <w:p>
      <w:pPr>
        <w:spacing w:after="120"/>
        <w:jc w:val="center"/>
      </w:pPr>
      <w:r>
        <w:rPr>
          <w:rFonts w:ascii="Arial" w:cs="Arial" w:eastAsia="Arial" w:hAnsi="Arial"/>
          <w:sz w:val="24"/>
          <w:szCs w:val="24"/>
        </w:rPr>
        <w:t xml:space="preserve">│- млн. сомов                 │12680,6│13836,9│ 1156,3│14067,5│ -230,6│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95,7│  106,6│   10,9│  105,8│    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│Транспорт:                   │       │       │       │       │       │</w:t>
      </w:r>
    </w:p>
    <w:p>
      <w:pPr>
        <w:spacing w:after="120"/>
        <w:jc w:val="center"/>
      </w:pPr>
      <w:r>
        <w:rPr>
          <w:rFonts w:ascii="Arial" w:cs="Arial" w:eastAsia="Arial" w:hAnsi="Arial"/>
          <w:sz w:val="24"/>
          <w:szCs w:val="24"/>
        </w:rPr>
        <w:t xml:space="preserve">│- млн. сомов                 │ 5666,2│ 6730,8│ 1064,6│ 7081,6│ -350,8│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107,5│  110,2│    2,7│  114,4│   -4,2│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│Связь:                       │       │       │       │       │       │</w:t>
      </w:r>
    </w:p>
    <w:p>
      <w:pPr>
        <w:spacing w:after="120"/>
        <w:jc w:val="center"/>
      </w:pPr>
      <w:r>
        <w:rPr>
          <w:rFonts w:ascii="Arial" w:cs="Arial" w:eastAsia="Arial" w:hAnsi="Arial"/>
          <w:sz w:val="24"/>
          <w:szCs w:val="24"/>
        </w:rPr>
        <w:t xml:space="preserve">│- млн. сомов                 │ 4457,0│ 4731,8│  274,8│ 4828,5│  -96,7│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119,5│  104,7│  -14,8│  105,4│   -0,7│</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рост сферы услуг на 2,0 процентных пункта обеспечен со стороны торговли, ремонта автомобилей, бытовых изделий и предметов личного пользования, где темп реального роста в январе-марте 2012 года составил 106,6% и превысил прогнозный показатель на 0,8 процентных пункта, а также услуги транспорта, где рост составил 110,2% и связи - 104,7%.</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за январь-март 2012 года составил 46,8 млрд. сомов, темп реального роста, составил 107,3% (за январь-март 2011 года темп роста составил 96,4%).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секторов в оборот торговли,</w:t>
      </w:r>
    </w:p>
    <w:p>
      <w:pPr>
        <w:spacing w:after="120"/>
        <w:jc w:val="both"/>
      </w:pPr>
      <w:r>
        <w:rPr>
          <w:rFonts w:ascii="Arial" w:cs="Arial" w:eastAsia="Arial" w:hAnsi="Arial"/>
          <w:sz w:val="24"/>
          <w:szCs w:val="24"/>
        </w:rPr>
        <w:t xml:space="preserve">ремонт автомобилей, бытовых изделий и предметов</w:t>
      </w:r>
    </w:p>
    <w:p>
      <w:pPr>
        <w:spacing w:after="120"/>
        <w:jc w:val="both"/>
      </w:pPr>
      <w:r>
        <w:rPr>
          <w:rFonts w:ascii="Arial" w:cs="Arial" w:eastAsia="Arial" w:hAnsi="Arial"/>
          <w:sz w:val="24"/>
          <w:szCs w:val="24"/>
        </w:rPr>
        <w:t xml:space="preserve">личного 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Январь-март│ Январь-март │ Доля  │ Вклад │</w:t>
      </w:r>
    </w:p>
    <w:p>
      <w:pPr>
        <w:spacing w:after="120"/>
        <w:jc w:val="center"/>
      </w:pPr>
      <w:r>
        <w:rPr>
          <w:rFonts w:ascii="Arial" w:cs="Arial" w:eastAsia="Arial" w:hAnsi="Arial"/>
          <w:sz w:val="24"/>
          <w:szCs w:val="24"/>
        </w:rPr>
        <w:t xml:space="preserve">│                          │   2012 г.  │   2012 г.   │       │       │</w:t>
      </w:r>
    </w:p>
    <w:p>
      <w:pPr>
        <w:spacing w:after="120"/>
        <w:jc w:val="center"/>
      </w:pPr>
      <w:r>
        <w:rPr>
          <w:rFonts w:ascii="Arial" w:cs="Arial" w:eastAsia="Arial" w:hAnsi="Arial"/>
          <w:sz w:val="24"/>
          <w:szCs w:val="24"/>
        </w:rPr>
        <w:t xml:space="preserve">│                          │(млн. сомов)│темп роста,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│Розничная торговля        │  25742,3   │    106,1    │  55,0 │  3,39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│Оптовая торговля          │  14032,8   │    107,2    │  30,0 │  2,19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моторным топливом│   5274,9   │    116,8    │  11,3 │  1,67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1720,1   │    100,9    │   3,7 │  0,04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 фактором роста розничной и оптовой торговли стало увеличение как внутреннего спроса, вызванного ростом денежных доходов, так и внешнего спроса, обусловленного ростом ВВП стран - торговых партнеров: Казахстан - 4,6%; Россия - 4,1%. Кумулятивный вклад оптовой и розничной торговли оценивается в 5,6 процентных пункта. Проведение посевных работ повлекло рост спроса на нефтепродукты, что способствовало росту торговли моторным топливом на 16,8%.</w:t>
      </w:r>
    </w:p>
    <w:p>
      <w:pPr>
        <w:spacing w:after="120"/>
        <w:jc w:val="both"/>
      </w:pPr>
      <w:r>
        <w:rPr>
          <w:rFonts w:ascii="Arial" w:cs="Arial" w:eastAsia="Arial" w:hAnsi="Arial"/>
          <w:sz w:val="24"/>
          <w:szCs w:val="24"/>
        </w:rPr>
        <w:t xml:space="preserve">Валовой выпуск услуг транспорта составил 6,7 млрд. сомов, с темпом реального роста 110,2%. Ожидаемый уровень темпа реального роста в 114,4% не достигнут на 4,2 процентных пункта.</w:t>
      </w:r>
    </w:p>
    <w:p>
      <w:pPr>
        <w:spacing w:after="120"/>
        <w:jc w:val="both"/>
      </w:pPr>
      <w:r>
        <w:rPr>
          <w:rFonts w:ascii="Arial" w:cs="Arial" w:eastAsia="Arial" w:hAnsi="Arial"/>
          <w:sz w:val="24"/>
          <w:szCs w:val="24"/>
        </w:rPr>
        <w:t xml:space="preserve">Основной вклад в рост транспортных услуг внесли услуги по перевозке грузов, вклад которых оценивается в 8,1 процентных пункта, с темпом реального роста 115,1%. При этом основными источниками роста услуг транспорта стали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 а также увеличением экспорта в страны СНГ на 36,2%.</w:t>
      </w:r>
    </w:p>
    <w:p>
      <w:pPr>
        <w:spacing w:after="120"/>
        <w:jc w:val="both"/>
      </w:pPr>
      <w:r>
        <w:rPr>
          <w:rFonts w:ascii="Arial" w:cs="Arial" w:eastAsia="Arial" w:hAnsi="Arial"/>
          <w:sz w:val="24"/>
          <w:szCs w:val="24"/>
        </w:rPr>
        <w:t xml:space="preserve">В целях развития транспортных услуг проведены следующие мероприятия:</w:t>
      </w:r>
    </w:p>
    <w:p>
      <w:pPr>
        <w:spacing w:after="120"/>
        <w:jc w:val="both"/>
      </w:pPr>
      <w:r>
        <w:rPr>
          <w:rFonts w:ascii="Arial" w:cs="Arial" w:eastAsia="Arial" w:hAnsi="Arial"/>
          <w:sz w:val="24"/>
          <w:szCs w:val="24"/>
        </w:rPr>
        <w:t xml:space="preserve">- обеспечено полное финансирование проекта реконструкции автодороги "Бишкек-Нарын-Торугарт", протяженностью 539 км, через ратификацию кредитных соглашений с Фондом Международного развития ОПЕК, Саудовским фондом развития, Кувейтским фондом арабского экономического развития и фондом Абу-Даби;</w:t>
      </w:r>
    </w:p>
    <w:p>
      <w:pPr>
        <w:spacing w:after="120"/>
        <w:jc w:val="both"/>
      </w:pPr>
      <w:r>
        <w:rPr>
          <w:rFonts w:ascii="Arial" w:cs="Arial" w:eastAsia="Arial" w:hAnsi="Arial"/>
          <w:sz w:val="24"/>
          <w:szCs w:val="24"/>
        </w:rPr>
        <w:t xml:space="preserve">- в целях обеспечения безопасности полетов на внутренних авиарейсах введен запрет на осуществление полетов на внутренних авиарейсах на воздушных судах АН-24;</w:t>
      </w:r>
    </w:p>
    <w:p>
      <w:pPr>
        <w:spacing w:after="120"/>
        <w:jc w:val="both"/>
      </w:pPr>
      <w:r>
        <w:rPr>
          <w:rFonts w:ascii="Arial" w:cs="Arial" w:eastAsia="Arial" w:hAnsi="Arial"/>
          <w:sz w:val="24"/>
          <w:szCs w:val="24"/>
        </w:rPr>
        <w:t xml:space="preserve">- возобновлено авиасообщение по маршрутам Бишкек-Баткен, Бишкек-Джалал-Абад на современных воздушных судах. К 9 маю 2012 года возобновилось авиасообщение по маршруту Бишкек - Исфана. Кроме того, открылось новое авиасообщение по маршруту Бишкек-Худжант (Республика Таджикистан).</w:t>
      </w:r>
    </w:p>
    <w:p>
      <w:pPr>
        <w:spacing w:after="120"/>
        <w:jc w:val="both"/>
      </w:pPr>
      <w:r>
        <w:rPr>
          <w:rFonts w:ascii="Arial" w:cs="Arial" w:eastAsia="Arial" w:hAnsi="Arial"/>
          <w:sz w:val="24"/>
          <w:szCs w:val="24"/>
        </w:rPr>
        <w:t xml:space="preserve">За отчетный период валовой выпуск услуг связи сложился в объеме 4,7 млрд. сомов, темп реального роста составил 104,7%, что ниже ожидаемого уровня на 0,7 процентных пункта.</w:t>
      </w:r>
    </w:p>
    <w:p>
      <w:pPr>
        <w:spacing w:after="120"/>
        <w:jc w:val="both"/>
      </w:pPr>
      <w:r>
        <w:rPr>
          <w:rFonts w:ascii="Arial" w:cs="Arial" w:eastAsia="Arial" w:hAnsi="Arial"/>
          <w:sz w:val="24"/>
          <w:szCs w:val="24"/>
        </w:rPr>
        <w:t xml:space="preserve">Валовой выпуск услуг гостиниц и ресторанов сложился в объеме 2,0 млрд. сомов, темп реального роста составил 105,8%, при этом гостиниц 101,6%, ресторанов 106,5%. Основные факторы увеличения услуг гостиниц и ресторанов - увеличение сети предоставляемых услуг и притока туристов в страну.</w:t>
      </w:r>
    </w:p>
    <w:p>
      <w:pPr>
        <w:spacing w:after="120"/>
        <w:jc w:val="both"/>
      </w:pPr>
      <w:r>
        <w:rPr>
          <w:rFonts w:ascii="Arial" w:cs="Arial" w:eastAsia="Arial" w:hAnsi="Arial"/>
          <w:sz w:val="24"/>
          <w:szCs w:val="24"/>
        </w:rPr>
        <w:t xml:space="preserve">По итогам I квартала 2012 года общее число посетивших граждан из стран дальнего и ближнего зарубежья, подпадающих под классификацию Всемирной Туристской организации (ЮНВТО), по сравнению с аналогичным периодом предыдущего года увеличилось на 289,0 тыс. чел. и составило 581,2 тыс. человек(12).</w:t>
      </w:r>
    </w:p>
    <w:p>
      <w:pPr>
        <w:spacing w:after="120"/>
        <w:jc w:val="both"/>
      </w:pPr>
      <w:r>
        <w:rPr>
          <w:rFonts w:ascii="Arial" w:cs="Arial" w:eastAsia="Arial" w:hAnsi="Arial"/>
          <w:sz w:val="24"/>
          <w:szCs w:val="24"/>
        </w:rPr>
        <w:t xml:space="preserve">По приглашению Международного делового совета (IBC) министр культуры и туризма Кыргызской Республики принял участие в международной туристической конференции ITB-2012, которая состоялась 7-11 марта в Берлине (Германия), где был презентован "Туристический потенциал Кыргызстана - страна высоких гор и древних традиций на Великом Шелковом пути". В туристической выставке приняли участие 10 туроператоров из Кыргызстана.</w:t>
      </w:r>
    </w:p>
    <w:p>
      <w:pPr>
        <w:spacing w:after="120"/>
        <w:jc w:val="both"/>
      </w:pPr>
      <w:r>
        <w:rPr>
          <w:rFonts w:ascii="Arial" w:cs="Arial" w:eastAsia="Arial" w:hAnsi="Arial"/>
          <w:sz w:val="24"/>
          <w:szCs w:val="24"/>
        </w:rPr>
        <w:t xml:space="preserve">Поступление налоговых платежей в бюджет республики от туристической деятельности за I квартал 2012 года составило 24023,0 тыс. сомов (за аналогичный период 2011 г. поступило 36152,8 тыс. сомов), темп роста составил 68,3%(13).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Исполнение государственного бюджета</w:t>
      </w:r>
    </w:p>
    <w:p>
      <w:pPr>
        <w:spacing w:after="120"/>
        <w:jc w:val="both"/>
      </w:pPr>
      <w:r>
        <w:rPr>
          <w:rFonts w:ascii="Arial" w:cs="Arial" w:eastAsia="Arial" w:hAnsi="Arial"/>
          <w:sz w:val="24"/>
          <w:szCs w:val="24"/>
        </w:rPr>
        <w:t xml:space="preserve">3.1.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Центрального казначейства, общий объем доходов государственного бюджета за январь-март 2012 года составил 17317,4 млн. сомов или 105,9% от установленного планового задания. Доля общих доходов государственного бюджета за отчетный период составила 34,1% к ВВП. Сумма перевыполнения плана составила 962,1 млн. сомов, в основном, в связи с увеличением таможенных поступлений и сборов. При этом, по сравнению с соответствующим периодом 2011 года общие доходы бюджета возросли на 14,3%, или на 2161,7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Январь-март 2012 г.,   │  Январь-март 2012 г.,  │ Отклонения (+/-) │</w:t>
      </w:r>
    </w:p>
    <w:p>
      <w:pPr>
        <w:spacing w:after="120"/>
        <w:jc w:val="center"/>
      </w:pPr>
      <w:r>
        <w:rPr>
          <w:rFonts w:ascii="Arial" w:cs="Arial" w:eastAsia="Arial" w:hAnsi="Arial"/>
          <w:sz w:val="24"/>
          <w:szCs w:val="24"/>
        </w:rPr>
        <w:t xml:space="preserve">│          план           │          факт.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16355,3        │         17317,4        │        962,1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13777,9 млн. сомов, что составляет 107,9% от намеченного планового значения. По отношению к соответствующему периоду 2011 года налоговые доходы выросли на 2183,9 млн. сомов или на 18,8%.</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7818,1 млн. сомов, плановый показатель выполнен на 103,2%. При этом, без учета "Кумтор", налоговые доходы составили 6870,4 млн. сомов или 107,0% к плану.</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5959,8 млн. сомов, или 114,6% от плана. По отношению к аналогичному периоду 2011 года поступление доходов в денежном выражении возросло на 1901,4 млн. сомов, что обусловлено увеличением объемов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│Январь-│Январь-│ Темп │Январь-│  Процент │</w:t>
      </w:r>
    </w:p>
    <w:p>
      <w:pPr>
        <w:spacing w:after="120"/>
        <w:jc w:val="center"/>
      </w:pPr>
      <w:r>
        <w:rPr>
          <w:rFonts w:ascii="Arial" w:cs="Arial" w:eastAsia="Arial" w:hAnsi="Arial"/>
          <w:sz w:val="24"/>
          <w:szCs w:val="24"/>
        </w:rPr>
        <w:t xml:space="preserve">│                           │ март  │ март  │роста,│ март  │выполнения│</w:t>
      </w:r>
    </w:p>
    <w:p>
      <w:pPr>
        <w:spacing w:after="120"/>
        <w:jc w:val="center"/>
      </w:pPr>
      <w:r>
        <w:rPr>
          <w:rFonts w:ascii="Arial" w:cs="Arial" w:eastAsia="Arial" w:hAnsi="Arial"/>
          <w:sz w:val="24"/>
          <w:szCs w:val="24"/>
        </w:rPr>
        <w:t xml:space="preserve">│                           │2011 г.│2012 г.│  (%) │2012 г.│    (%)   │</w:t>
      </w:r>
    </w:p>
    <w:p>
      <w:pPr>
        <w:spacing w:after="120"/>
        <w:jc w:val="center"/>
      </w:pPr>
      <w:r>
        <w:rPr>
          <w:rFonts w:ascii="Arial" w:cs="Arial" w:eastAsia="Arial" w:hAnsi="Arial"/>
          <w:sz w:val="24"/>
          <w:szCs w:val="24"/>
        </w:rPr>
        <w:t xml:space="preserve">│                           │ факт. │ факт. │      │ план.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поступления      │11594,0│13777,9│ 118,8│12772,1│   107,9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│ГНС при Правительстве      │ 7535,5│ 7818,1│ 103,8│ 7572,1│   103,2  │</w:t>
      </w:r>
    </w:p>
    <w:p>
      <w:pPr>
        <w:spacing w:after="120"/>
        <w:jc w:val="center"/>
      </w:pPr>
      <w:r>
        <w:rPr>
          <w:rFonts w:ascii="Arial" w:cs="Arial" w:eastAsia="Arial" w:hAnsi="Arial"/>
          <w:sz w:val="24"/>
          <w:szCs w:val="24"/>
        </w:rPr>
        <w:t xml:space="preserve">│Кыргызской Республики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│ГТС при Правительстве      │ 4058,5│ 5959,8│ 146,8│ 5200,0│   114,6  │</w:t>
      </w:r>
    </w:p>
    <w:p>
      <w:pPr>
        <w:spacing w:after="120"/>
        <w:jc w:val="center"/>
      </w:pPr>
      <w:r>
        <w:rPr>
          <w:rFonts w:ascii="Arial" w:cs="Arial" w:eastAsia="Arial" w:hAnsi="Arial"/>
          <w:sz w:val="24"/>
          <w:szCs w:val="24"/>
        </w:rPr>
        <w:t xml:space="preserve">│Кыргызской Республики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│Неналоговые поступления    │ 2234,3│ 2681,5│ 120,0│ 2517,6│   106,5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│Полученные официальные     │ 1327,4│  858,0│  64,6│ 1065,5│    80,5  │</w:t>
      </w:r>
    </w:p>
    <w:p>
      <w:pPr>
        <w:spacing w:after="120"/>
        <w:jc w:val="center"/>
      </w:pPr>
      <w:r>
        <w:rPr>
          <w:rFonts w:ascii="Arial" w:cs="Arial" w:eastAsia="Arial" w:hAnsi="Arial"/>
          <w:sz w:val="24"/>
          <w:szCs w:val="24"/>
        </w:rPr>
        <w:t xml:space="preserve">│трансферты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│15155,7│17317,4│ 114,3│16355,3│   105,9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2681,5 млн. сомов или 106,5% от плана. Темп роста по сравнению с соответствующим периодом 2011 года составил 120,0%, или поступления увеличились на 447,2 млн. сомов. Данный рост связан, в основном, с увеличением поступлений специальных средств бюджетных учреждений, платы за регистрацию и перерегистрацию транспортных средств и прочих неналоговых доходов.</w:t>
      </w:r>
    </w:p>
    <w:p>
      <w:pPr>
        <w:spacing w:after="120"/>
        <w:jc w:val="both"/>
      </w:pPr>
      <w:r>
        <w:rPr>
          <w:rFonts w:ascii="Arial" w:cs="Arial" w:eastAsia="Arial" w:hAnsi="Arial"/>
          <w:sz w:val="24"/>
          <w:szCs w:val="24"/>
        </w:rPr>
        <w:t xml:space="preserve">Поступление полученных официальных грантов составило 858,0 млн. сомов или 80,5% от плана, в бюджет недопоступило 207,5 млн. сомов, в основном, в связи с недопоступлением грантов ПГИ. По сравнению с прошлым годом поступление полученных грантов снизилось на 35,4% или на 469,4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Исполнение расходной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январь-март 2012 года 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общие расходы увеличились на 4550,6 млн. сомов, или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статей      │Январь-│Январь-│ Темп │Январь-│Процент│</w:t>
      </w:r>
    </w:p>
    <w:p>
      <w:pPr>
        <w:spacing w:after="120"/>
        <w:jc w:val="center"/>
      </w:pPr>
      <w:r>
        <w:rPr>
          <w:rFonts w:ascii="Arial" w:cs="Arial" w:eastAsia="Arial" w:hAnsi="Arial"/>
          <w:sz w:val="24"/>
          <w:szCs w:val="24"/>
        </w:rPr>
        <w:t xml:space="preserve">│                              │ март  │ март  │роста,│ март  │выполн.│</w:t>
      </w:r>
    </w:p>
    <w:p>
      <w:pPr>
        <w:spacing w:after="120"/>
        <w:jc w:val="center"/>
      </w:pPr>
      <w:r>
        <w:rPr>
          <w:rFonts w:ascii="Arial" w:cs="Arial" w:eastAsia="Arial" w:hAnsi="Arial"/>
          <w:sz w:val="24"/>
          <w:szCs w:val="24"/>
        </w:rPr>
        <w:t xml:space="preserve">│                              │2011 г.│2012 г.│  (%) │2012 г.│  (%)  │</w:t>
      </w:r>
    </w:p>
    <w:p>
      <w:pPr>
        <w:spacing w:after="120"/>
        <w:jc w:val="center"/>
      </w:pPr>
      <w:r>
        <w:rPr>
          <w:rFonts w:ascii="Arial" w:cs="Arial" w:eastAsia="Arial" w:hAnsi="Arial"/>
          <w:sz w:val="24"/>
          <w:szCs w:val="24"/>
        </w:rPr>
        <w:t xml:space="preserve">│                              │ факт. │ факт. │      │ план.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│13263,0│17813,6│ 134,3│18036,1│   98,8│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│Заработная плата              │ 2699,5│ 3531,8│ 130,8│ 3531,8│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│Взносы в Социальный фонд      │  262,2│  394,8│ 150,6│  394,8│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│Приобретение медикаментов     │   90,3│  110,0│ 121,8│  110,0│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│Пособия по соц. обеспечению   │ 1962,0│ 2790,7│ 142,2│ 2790,7│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│Пособия по соц. пом. населению│ 1087,8│ 1357,5│ 124,8│ 1357,5│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│Текущие гранты междунар.      │   62,5│   39,7│  63,5│   39,7│  100  │</w:t>
      </w:r>
    </w:p>
    <w:p>
      <w:pPr>
        <w:spacing w:after="120"/>
        <w:jc w:val="center"/>
      </w:pPr>
      <w:r>
        <w:rPr>
          <w:rFonts w:ascii="Arial" w:cs="Arial" w:eastAsia="Arial" w:hAnsi="Arial"/>
          <w:sz w:val="24"/>
          <w:szCs w:val="24"/>
        </w:rPr>
        <w:t xml:space="preserve">│орган.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│Текущие гранты др. ед. госуд. │ 1492,5│ 2381,0│ 159,5│ 2381,0│  100  │</w:t>
      </w:r>
    </w:p>
    <w:p>
      <w:pPr>
        <w:spacing w:after="120"/>
        <w:jc w:val="center"/>
      </w:pPr>
      <w:r>
        <w:rPr>
          <w:rFonts w:ascii="Arial" w:cs="Arial" w:eastAsia="Arial" w:hAnsi="Arial"/>
          <w:sz w:val="24"/>
          <w:szCs w:val="24"/>
        </w:rPr>
        <w:t xml:space="preserve">│управ.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защищенным статьям   │ 9235,8│13342,6│ 144,5│13342,6│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│Субсидии нефинансовым гос.    │  529,2│  465,2│  87,9│  465,2│  100  │</w:t>
      </w:r>
    </w:p>
    <w:p>
      <w:pPr>
        <w:spacing w:after="120"/>
        <w:jc w:val="center"/>
      </w:pPr>
      <w:r>
        <w:rPr>
          <w:rFonts w:ascii="Arial" w:cs="Arial" w:eastAsia="Arial" w:hAnsi="Arial"/>
          <w:sz w:val="24"/>
          <w:szCs w:val="24"/>
        </w:rPr>
        <w:t xml:space="preserve">│предпр.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│Здания и сооружения           │  845,2│  558,8│  66,1│  679,4│   82,2│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ссуды и займы        │  433,3│  635,8│ 146,7│  651,6│   97,6│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заимствования         │  250,7│  300,8│ 120,0│  300,8│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│Ценные бумаги, кроме акций    │ 1070,8│  986,5│  92,1│  986,5│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аналогичным периодом 2011 года увеличилось на 832,3 млн. сомов, или на 30,8% (за январь-март 2011 года расходы по заработной плате составили 2699,5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стал, тот факт, что Закон Кыргызской Республики "О республиканском бюджете Кыргызской Республики на 2012 год и прогнозе на 2013-2014 годы" не был принят в течение I квартала 2012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январь-март 2012 года удельный вес расходов из республиканского бюджета на социальную сферу составил 46,9%, всего направлено на 2805,3 млн. сомов больше, чем в аналогичном периоде 2011 года (удельный вес расходов из республиканского бюджета на социальную сферу за январь-март 2011 года составил 41,4%).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│Январь-март│Январь-март│Темп роста, %│</w:t>
      </w:r>
    </w:p>
    <w:p>
      <w:pPr>
        <w:spacing w:after="120"/>
        <w:jc w:val="center"/>
      </w:pPr>
      <w:r>
        <w:rPr>
          <w:rFonts w:ascii="Arial" w:cs="Arial" w:eastAsia="Arial" w:hAnsi="Arial"/>
          <w:sz w:val="24"/>
          <w:szCs w:val="24"/>
        </w:rPr>
        <w:t xml:space="preserve">│                               │ 2011 года │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4948,6  │  7753,9   │    156,7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│Социальная защита              │   3097,8  │  4203,3   │    135,7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│Образование                    │    495,9  │   920,9   │    185,7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│Здравоохранение                │   1126,8  │  2215,8   │    196,6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│Отдых, культура и религия      │    228,1  │   413,9   │    181,5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январь-март 2012 года составил 946,7 млн. сомов (2,0%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по состоянию на конец февраля 2012 года, составил 144725,4 млн. сомов, в том числе внутренний долг - 12994,4 млн. сомов, внешний долг - 131731,0 млн. сомов.</w:t>
      </w:r>
    </w:p>
    <w:p>
      <w:pPr>
        <w:spacing w:after="120"/>
        <w:jc w:val="both"/>
      </w:pPr>
      <w:r>
        <w:rPr>
          <w:rFonts w:ascii="Arial" w:cs="Arial" w:eastAsia="Arial" w:hAnsi="Arial"/>
          <w:sz w:val="24"/>
          <w:szCs w:val="24"/>
        </w:rPr>
        <w:t xml:space="preserve">Обслуживание долга за январь-март 2012 года составило 1989,6 млн. сомов. На обслуживание внешнего долга направлено 800,2 млн. сомов, в т.ч. по основной сумме - 300,8 млн. сомов, и по процентам - 499,4 млн. сомов. Обслуживание внутреннего долга составило 1189,4 млн. сомов, в т.ч. по основной сумме - 986,5 млн. сомов, и по процентам - 202,9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Внешнеэкономическая деятельность</w:t>
      </w:r>
    </w:p>
    <w:p>
      <w:pPr>
        <w:spacing w:after="120"/>
        <w:jc w:val="both"/>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2012 год принес многочисленные изменения в международных отношениях и резкое ускорение исторических процессов в мировом сообществе. Продолжается процесс перераспределения сил и влияния на глобальном уровне, укрепления новых полюсов в международной системе. Наиболее очевидные проявления этих трансформаций - кардинальные изменения на Ближнем и Среднем Востоке, угрозы для наступления глобального кризиса финансовой и экономической системы ЕС, одновременно усиление экономической мощи и политического влияния государств Азиатского континента и БРИКС.</w:t>
      </w:r>
    </w:p>
    <w:p>
      <w:pPr>
        <w:spacing w:after="120"/>
        <w:jc w:val="both"/>
      </w:pPr>
      <w:r>
        <w:rPr>
          <w:rFonts w:ascii="Arial" w:cs="Arial" w:eastAsia="Arial" w:hAnsi="Arial"/>
          <w:sz w:val="24"/>
          <w:szCs w:val="24"/>
        </w:rPr>
        <w:t xml:space="preserve">Направление СНГ. В отчетный период масштабы и динамика внешнеполитической и международной деятельности Кыргызской Республики носили достаточно целенаправленный и активный характер.</w:t>
      </w:r>
    </w:p>
    <w:p>
      <w:pPr>
        <w:spacing w:after="120"/>
        <w:jc w:val="both"/>
      </w:pPr>
      <w:r>
        <w:rPr>
          <w:rFonts w:ascii="Arial" w:cs="Arial" w:eastAsia="Arial" w:hAnsi="Arial"/>
          <w:sz w:val="24"/>
          <w:szCs w:val="24"/>
        </w:rPr>
        <w:t xml:space="preserve">Наиболее насыщенной площадкой в этом направлении остается пространство СНГ, где сосредоточены основные национальные интересы Кыргызстана в области экономики, обороны, безопасности, защиты прав соотечественников. Основные усилия были направлены на развитие и укрепление отношений с основными государствами-партнерами в двустороннем и многостороннем формате, в первую очередь, с соседями Кыргызской Республики.</w:t>
      </w:r>
    </w:p>
    <w:p>
      <w:pPr>
        <w:spacing w:after="120"/>
        <w:jc w:val="both"/>
      </w:pPr>
      <w:r>
        <w:rPr>
          <w:rFonts w:ascii="Arial" w:cs="Arial" w:eastAsia="Arial" w:hAnsi="Arial"/>
          <w:sz w:val="24"/>
          <w:szCs w:val="24"/>
        </w:rPr>
        <w:t xml:space="preserve">Экономическое сотрудничество со странами СНГ, в частности, с Российской Федерацией, продолжало оставаться одним из стратегических направлений в деятельности Правительства. Достаточно продуктивными были договоренности, достигнутые в ходе визита Президента Кыргызской Республики А.Атамбаева в Москву 25-27 февраля. Положительно решен вопрос задолженности российской стороны за использование мест дислокации российских военных объектов в Кыргызстане в период с 2008 по 2011 годы (произведена оплата в сумме 15 млн. долл.США), возобновлены процедуры списания остатков государственного долга, передачи акций ОАО "ТНК "Дастан", здания Торгового представительства Российской Федерации в Кыргызской Республике и перспективы совместного строительства Камбаратинской ГЭС-1. Пути практической реализации этих наработок будут обсуждены в ходе 14-го заседания Кыргызско-российской МПК.</w:t>
      </w:r>
    </w:p>
    <w:p>
      <w:pPr>
        <w:spacing w:after="120"/>
        <w:jc w:val="both"/>
      </w:pPr>
      <w:r>
        <w:rPr>
          <w:rFonts w:ascii="Arial" w:cs="Arial" w:eastAsia="Arial" w:hAnsi="Arial"/>
          <w:sz w:val="24"/>
          <w:szCs w:val="24"/>
        </w:rPr>
        <w:t xml:space="preserve">Укреплению экономического партнерства с Казахстаном способствовал рабочий визит Премьер-министра Кыргызской Республики О.Бабанова в Астану 21-22 февраля. В пользу взаимного интереса сторон свидетельствуют решения по функционированию кыргызско-казахстанского инвестиционного фонда, проведению 3-го заседания кыргызско-казахстанского Межправительственного совета в Астане, а также вопросы участия казахстанской стороны в проектах Камбаратинской ГЭС-1, ЛЭП "Кемин-Алматы" и ТЭЦ, строительство общеобразовательной школы в южном регионе страны в качестве гуманитарной помощи.</w:t>
      </w:r>
    </w:p>
    <w:p>
      <w:pPr>
        <w:spacing w:after="120"/>
        <w:jc w:val="both"/>
      </w:pPr>
      <w:r>
        <w:rPr>
          <w:rFonts w:ascii="Arial" w:cs="Arial" w:eastAsia="Arial" w:hAnsi="Arial"/>
          <w:sz w:val="24"/>
          <w:szCs w:val="24"/>
        </w:rPr>
        <w:t xml:space="preserve">Достигнуты договоренности о снятии ограничений на поставки в Республику Казахстан молочной и сельскохозяйственной продукции отечественных производителей, о беспрепятственном пересечении кыргызско-казахстанской границы гражданами Кыргызской Республики и увеличении срока их пребывания без регистрации на территории Казахстана с 30 до 90 дней, намечено возобновление функционирования пунктов пропуска "Кичи-капка" и "Каркыра" в апреле-мае т.г.</w:t>
      </w:r>
    </w:p>
    <w:p>
      <w:pPr>
        <w:spacing w:after="120"/>
        <w:jc w:val="both"/>
      </w:pPr>
      <w:r>
        <w:rPr>
          <w:rFonts w:ascii="Arial" w:cs="Arial" w:eastAsia="Arial" w:hAnsi="Arial"/>
          <w:sz w:val="24"/>
          <w:szCs w:val="24"/>
        </w:rPr>
        <w:t xml:space="preserve">19 марта Президент Кыргызской Республики А.Атамбаев принял участие на заседании Совета глав государств ЕврАзЭС в Москве по вопросу его реорганизации в Евразийский экономический союз.</w:t>
      </w:r>
    </w:p>
    <w:p>
      <w:pPr>
        <w:spacing w:after="120"/>
        <w:jc w:val="both"/>
      </w:pPr>
      <w:r>
        <w:rPr>
          <w:rFonts w:ascii="Arial" w:cs="Arial" w:eastAsia="Arial" w:hAnsi="Arial"/>
          <w:sz w:val="24"/>
          <w:szCs w:val="24"/>
        </w:rPr>
        <w:t xml:space="preserve">Западное направление. Достаточно плодотворна деятельность на западном направлении, а именно договоренности, достигнутые в ходе визита Президента Кыргызской Республики А.Атамбаева в Анкару 10-14 января, заложившие основу расширения торгово-экономического сотрудничества между двумя странами. 19 марта т.г. в Бишкеке состоялся Кыргызско-турецкий Бизнес-форум, с участием 140 турецких бизнесменов.</w:t>
      </w:r>
    </w:p>
    <w:p>
      <w:pPr>
        <w:spacing w:after="120"/>
        <w:jc w:val="both"/>
      </w:pPr>
      <w:r>
        <w:rPr>
          <w:rFonts w:ascii="Arial" w:cs="Arial" w:eastAsia="Arial" w:hAnsi="Arial"/>
          <w:sz w:val="24"/>
          <w:szCs w:val="24"/>
        </w:rPr>
        <w:t xml:space="preserve">Заслуживает внимания рабочий визит 26 января в Бишкек Специального Представителя ЕС по ЦА П.Мореля, в ходе переговоров с которым достигнута договоренность о предоставлении Европейским Союзом макроэкономической помощи в размере 30 млн. евро. Кроме того, в плане увеличения технической помощи со стороны ЕС также весьма перспективны итоги переговоров с оценочной миссией Мадридского клуба, посетившей Бишкек 25-28 февраля во главе с Николасом де Педро.</w:t>
      </w:r>
    </w:p>
    <w:p>
      <w:pPr>
        <w:spacing w:after="120"/>
        <w:jc w:val="both"/>
      </w:pPr>
      <w:r>
        <w:rPr>
          <w:rFonts w:ascii="Arial" w:cs="Arial" w:eastAsia="Arial" w:hAnsi="Arial"/>
          <w:sz w:val="24"/>
          <w:szCs w:val="24"/>
        </w:rPr>
        <w:t xml:space="preserve">Перспективы экономического сотрудничества с США были обсуждены с адмиралом Роном МакЛареном - директором Бюро по закупкам Агентства США по оборонной логистике во время его визита в Бишкек. Так, американская сторона заинтересована в покупке продуктов питания, стройматериалов и других промышленных товаров и услуг для Центра транзитных перевозок и Афганистана.</w:t>
      </w:r>
    </w:p>
    <w:p>
      <w:pPr>
        <w:spacing w:after="120"/>
        <w:jc w:val="both"/>
      </w:pPr>
      <w:r>
        <w:rPr>
          <w:rFonts w:ascii="Arial" w:cs="Arial" w:eastAsia="Arial" w:hAnsi="Arial"/>
          <w:sz w:val="24"/>
          <w:szCs w:val="24"/>
        </w:rPr>
        <w:t xml:space="preserve">Делегацией Кыргызской Республики во главе с мэром города Бишкек И.Омуркуловым в Лондоне, с 6 по 12 февраля, проведены переговоры с ЕБРР по финансированию двух проектов по улучшению водоснабжения и транспортного хозяйства жителей г.Бишкек и пригородных новостроек, на общую сумму 15 млн. долл.США.</w:t>
      </w:r>
    </w:p>
    <w:p>
      <w:pPr>
        <w:spacing w:after="120"/>
        <w:jc w:val="both"/>
      </w:pPr>
      <w:r>
        <w:rPr>
          <w:rFonts w:ascii="Arial" w:cs="Arial" w:eastAsia="Arial" w:hAnsi="Arial"/>
          <w:sz w:val="24"/>
          <w:szCs w:val="24"/>
        </w:rPr>
        <w:t xml:space="preserve">27 февраля в Женеве состоялась встреча министров иностранных дел Кыргызской Республики и Швейцарии, в ходе которой швейцарская сторона заверила, что продолжит оказание помощи Кыргызстану в рамках новой программы технического сотрудничества на 2012-2015 годы. Согласованы сроки проведения третьего заседания кыргызско-швейцарской межправительственной комиссии по торгово-экономическому сотрудничеству, которое состоится 25 сентября 2012 года в Берне.</w:t>
      </w:r>
    </w:p>
    <w:p>
      <w:pPr>
        <w:spacing w:after="120"/>
        <w:jc w:val="both"/>
      </w:pPr>
      <w:r>
        <w:rPr>
          <w:rFonts w:ascii="Arial" w:cs="Arial" w:eastAsia="Arial" w:hAnsi="Arial"/>
          <w:sz w:val="24"/>
          <w:szCs w:val="24"/>
        </w:rPr>
        <w:t xml:space="preserve">Прорабатывался вопрос подписания Соглашения между Кыргызской Республикой и Всемирным Банком о дополнительном финансировании Министерства международного развития Правительства Великобритании "проекта здравоохранения и социальной защиты" и проекта Соглашения между Кыргызской Республикой и Всемирным Банком о гранте дополнительного финансирования Правительства Швейцарии на софинансирование "Проекта здравоохранения и социальной защиты" (около 1,23 млн. долл.США).</w:t>
      </w:r>
    </w:p>
    <w:p>
      <w:pPr>
        <w:spacing w:after="120"/>
        <w:jc w:val="both"/>
      </w:pPr>
      <w:r>
        <w:rPr>
          <w:rFonts w:ascii="Arial" w:cs="Arial" w:eastAsia="Arial" w:hAnsi="Arial"/>
          <w:sz w:val="24"/>
          <w:szCs w:val="24"/>
        </w:rPr>
        <w:t xml:space="preserve">Ведется проработка вопроса по организации в течение 2012 года визита Президента Кыргызской Республики А.Атамбаева в Бельгию для посещения институтов ЕС и установления политического диалога со странами ЕС. Также ведется работа по организации во второй половине 2012 года рабочего визита Премьер-министра Кыргызской Республики О.Бабанова во Францию для активизации политического и торгово-экономического сотрудничества, в США, Турцию.</w:t>
      </w:r>
    </w:p>
    <w:p>
      <w:pPr>
        <w:spacing w:after="120"/>
        <w:jc w:val="both"/>
      </w:pPr>
      <w:r>
        <w:rPr>
          <w:rFonts w:ascii="Arial" w:cs="Arial" w:eastAsia="Arial" w:hAnsi="Arial"/>
          <w:sz w:val="24"/>
          <w:szCs w:val="24"/>
        </w:rPr>
        <w:t xml:space="preserve">В целях активизации кыргызско-британских двусторонних отношений открыто посольство Великобритании в городе Бишкек.</w:t>
      </w:r>
    </w:p>
    <w:p>
      <w:pPr>
        <w:spacing w:after="120"/>
        <w:jc w:val="both"/>
      </w:pPr>
      <w:r>
        <w:rPr>
          <w:rFonts w:ascii="Arial" w:cs="Arial" w:eastAsia="Arial" w:hAnsi="Arial"/>
          <w:sz w:val="24"/>
          <w:szCs w:val="24"/>
        </w:rPr>
        <w:t xml:space="preserve">Восточное направление. Среди важных приоритетов внешней политики Кыргызской Республики является восточное направление, которое характеризуется как одно из перспективных направлений сотрудничества на сегодняшний день. Наряду с началом функционирования посольства Саудовской Аравии в Бишкеке, весьма перспективно сотрудничество с Катаром, обозначенное сторонами в ходе визита Премьер-министра Кыргызской Республики О.Бабанова в Катар 5-6 марта и визита Исполнительного директора инвестиционной компании "Катар Холдинг" А.Аль-Саида 2-3 февраля в Бишкек. В частности, по линии компаний "Катар Холдинг", "Катар Диар", "Катар Эйрвэйз", "Хассад Фуд" и "Силатех".</w:t>
      </w:r>
    </w:p>
    <w:p>
      <w:pPr>
        <w:spacing w:after="120"/>
        <w:jc w:val="both"/>
      </w:pPr>
      <w:r>
        <w:rPr>
          <w:rFonts w:ascii="Arial" w:cs="Arial" w:eastAsia="Arial" w:hAnsi="Arial"/>
          <w:sz w:val="24"/>
          <w:szCs w:val="24"/>
        </w:rPr>
        <w:t xml:space="preserve">К числу практических итогов можно отнести открытие авиарейса "Дубай-Бишкек-Дубай" авиакомпанией "Флай-Дубай", а также подписание кредитного соглашения по реконструкции автодороги Бишкек-Нарын-Торугарт между Правительством Кыргызской Республики и Фондом Развития Абу-Даби в ходе визита делегации МИД ОАЭ в Бишкек 8-10 февраля.</w:t>
      </w:r>
    </w:p>
    <w:p>
      <w:pPr>
        <w:spacing w:after="120"/>
        <w:jc w:val="both"/>
      </w:pPr>
      <w:r>
        <w:rPr>
          <w:rFonts w:ascii="Arial" w:cs="Arial" w:eastAsia="Arial" w:hAnsi="Arial"/>
          <w:sz w:val="24"/>
          <w:szCs w:val="24"/>
        </w:rPr>
        <w:t xml:space="preserve">Экономическая дипломатия. Плодотворной характеризуется работа в решении задач по совершенствованию механизмов водопользования с соседними государствами в водно-энергетической сфере в целом. Проработано участие делегации Кыргызской Республики в работе Конференции на тему "Дипломатия водных ресурсов для Центральной Азии" в Берлине 7-8 марта и 6-го Всемирного Водного Форума в Марселе 12-17 марта. Оказано содействие Жогорку Кенешу Кыргызской Республики в подготовке и проведении Круглого стола на тему "Эффективное использование водных ресурсов Центральной Азии" 23 января.</w:t>
      </w:r>
    </w:p>
    <w:p>
      <w:pPr>
        <w:spacing w:after="120"/>
        <w:jc w:val="both"/>
      </w:pPr>
      <w:r>
        <w:rPr>
          <w:rFonts w:ascii="Arial" w:cs="Arial" w:eastAsia="Arial" w:hAnsi="Arial"/>
          <w:sz w:val="24"/>
          <w:szCs w:val="24"/>
        </w:rPr>
        <w:t xml:space="preserve">Министерством иностранных дел Кыргызской Республики и его загранучреждениями важное значение придавалось участию Кыргызской Республики в работе международных выставок-ярмарок в целях продвижения отечественных товаров и услуг, а также туристического потенциала и инвестиционных возможностей. Организовано участие кыргызских делегаций в Международной туристической ярмарке ITB-2012 во главе с министром культуры и туризма Кыргызской Республики И.Жунусовым и Международной сельскохозяйственной выставке "Зеленая неделя" в Берлине во главе с министром экономики и антимонопольной политики Кыргызской Республики Т.Сариевым.</w:t>
      </w:r>
    </w:p>
    <w:p>
      <w:pPr>
        <w:spacing w:after="120"/>
        <w:jc w:val="both"/>
      </w:pPr>
      <w:r>
        <w:rPr>
          <w:rFonts w:ascii="Arial" w:cs="Arial" w:eastAsia="Arial" w:hAnsi="Arial"/>
          <w:sz w:val="24"/>
          <w:szCs w:val="24"/>
        </w:rPr>
        <w:t xml:space="preserve">2 марта т.г. в Бишкеке в Национальном онкологическом центре Кыргызской Республики проведена церемония передачи медицинского оборудования на сумму 111,818 тыс. долл.США в рамках японской грантовой программы "Корни травы и человеческой безопасности".</w:t>
      </w:r>
    </w:p>
    <w:p>
      <w:pPr>
        <w:spacing w:after="120"/>
        <w:jc w:val="both"/>
      </w:pPr>
      <w:r>
        <w:rPr>
          <w:rFonts w:ascii="Arial" w:cs="Arial" w:eastAsia="Arial" w:hAnsi="Arial"/>
          <w:sz w:val="24"/>
          <w:szCs w:val="24"/>
        </w:rPr>
        <w:t xml:space="preserve">Подписан банковский договор между ОАО "РСК Банк" и Государственным банком развития Китая по реализации проекта строительства больничного комплекса в г.Ош.</w:t>
      </w:r>
    </w:p>
    <w:p>
      <w:pPr>
        <w:spacing w:after="120"/>
        <w:jc w:val="both"/>
      </w:pPr>
      <w:r>
        <w:rPr>
          <w:rFonts w:ascii="Arial" w:cs="Arial" w:eastAsia="Arial" w:hAnsi="Arial"/>
          <w:sz w:val="24"/>
          <w:szCs w:val="24"/>
        </w:rPr>
        <w:t xml:space="preserve">3 марта т.г. подписаны обменные письма, образующие Соглашение между Правительством Кыргызской Республики и Правительством Китайской Народной Республики о реализации проекта строительства общеобразовательной школы с изучением китайского языка в городе Бишкек.</w:t>
      </w:r>
    </w:p>
    <w:p>
      <w:pPr>
        <w:spacing w:after="120"/>
        <w:jc w:val="both"/>
      </w:pPr>
      <w:r>
        <w:rPr>
          <w:rFonts w:ascii="Arial" w:cs="Arial" w:eastAsia="Arial" w:hAnsi="Arial"/>
          <w:sz w:val="24"/>
          <w:szCs w:val="24"/>
        </w:rPr>
        <w:t xml:space="preserve">Подписано кредитное соглашение по реконструкции автодороги Бишкек-Нарын-Торугарт между Правительством Кыргызской Республики и Фондом Развития Абу-Даби (ОАЭ).</w:t>
      </w:r>
    </w:p>
    <w:p>
      <w:pPr>
        <w:spacing w:after="120"/>
        <w:jc w:val="both"/>
      </w:pPr>
      <w:r>
        <w:rPr>
          <w:rFonts w:ascii="Arial" w:cs="Arial" w:eastAsia="Arial" w:hAnsi="Arial"/>
          <w:sz w:val="24"/>
          <w:szCs w:val="24"/>
        </w:rPr>
        <w:t xml:space="preserve">Проведены переговоры с МВФ о предоставлении третьего транша для поддержки бюджета в размере 15 млн. долл.США, который ожидается в мае 2012 года.</w:t>
      </w:r>
    </w:p>
    <w:p>
      <w:pPr>
        <w:spacing w:after="120"/>
        <w:jc w:val="both"/>
      </w:pPr>
      <w:r>
        <w:rPr>
          <w:rFonts w:ascii="Arial" w:cs="Arial" w:eastAsia="Arial" w:hAnsi="Arial"/>
          <w:sz w:val="24"/>
          <w:szCs w:val="24"/>
        </w:rPr>
        <w:t xml:space="preserve">В целях сохранения места в списке стран, из которых разрешен доступ меда на рынок ЕС, подготовлен и направлен по дипломатическим каналам в Дирекцию Комиссии ЕС по продуктам питания и ветеринарии обновленный План-мониторинг по остаткам меда, основанный на ежегодном анализе содержания в меде запрещенных продуктов, ветеринарных веществ, химикатов или пестицидов, которые превышают допустимые нормы. На основании данного Плана, Дирекция принимает решение о включении Кыргызской Республики в список стран-экспортеров меда.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Внешняя торговля Кыргызской Республики за январь-март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за январь-март 2012 года составил 1453,8 млн. долл.США,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долл.США (снижение на 12,0%), импортных поступлений - 1065,4 млн. долл.США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долл.США, что в 2,1 раза выше относительно января-марта 2011 года.</w:t>
      </w:r>
    </w:p>
    <w:p>
      <w:pPr>
        <w:spacing w:after="120"/>
        <w:jc w:val="both"/>
      </w:pPr>
      <w:r>
        <w:rPr>
          <w:rFonts w:ascii="Arial" w:cs="Arial" w:eastAsia="Arial" w:hAnsi="Arial"/>
          <w:sz w:val="24"/>
          <w:szCs w:val="24"/>
        </w:rPr>
        <w:t xml:space="preserve">Экспортные поставки за рассматриваемый период 2012 года, по сравнению с аналогичным периодом 2011 года, снизились на 12,0% и составили 388,4 млн. долл.США. Без учета золота, объем экспорта за истекший период увеличился в 1,7 раза и составил 265,6 млн. долл.США.</w:t>
      </w:r>
    </w:p>
    <w:p>
      <w:pPr>
        <w:spacing w:after="120"/>
        <w:jc w:val="both"/>
      </w:pPr>
      <w:r>
        <w:rPr>
          <w:rFonts w:ascii="Arial" w:cs="Arial" w:eastAsia="Arial" w:hAnsi="Arial"/>
          <w:sz w:val="24"/>
          <w:szCs w:val="24"/>
        </w:rPr>
        <w:t xml:space="preserve">Основной объем экспорта направлялся в Швейцарию (31,8% общего объема экспорта), Казахстан (27,1%), Россию (15,6%) и Узбекистан (9,3%).</w:t>
      </w:r>
    </w:p>
    <w:p>
      <w:pPr>
        <w:spacing w:after="120"/>
        <w:jc w:val="both"/>
      </w:pPr>
      <w:r>
        <w:rPr>
          <w:rFonts w:ascii="Arial" w:cs="Arial" w:eastAsia="Arial" w:hAnsi="Arial"/>
          <w:sz w:val="24"/>
          <w:szCs w:val="24"/>
        </w:rPr>
        <w:t xml:space="preserve">Основную долю в экспорте, по-прежнему, занимает золото (31,6%), на сумму 122,8 млн. долл.США, что меньше чем в аналогичном периоде 2011 года на 56,3%. Вместе с тем, за отчетный период наблюдается рост объемов экспорта неорганических химических веществ в 34,7 раза, хлопка-сырца в 3 раза, молокопродуктов в 1,7 раза, живых животных на 22,2%, электрических ламп накаливания на 8,9%, швейных изделий на 7,2% и др.</w:t>
      </w:r>
    </w:p>
    <w:p>
      <w:pPr>
        <w:spacing w:after="120"/>
        <w:jc w:val="both"/>
      </w:pPr>
      <w:r>
        <w:rPr>
          <w:rFonts w:ascii="Arial" w:cs="Arial" w:eastAsia="Arial" w:hAnsi="Arial"/>
          <w:sz w:val="24"/>
          <w:szCs w:val="24"/>
        </w:rPr>
        <w:t xml:space="preserve">При этом, наибольший вклад в экспорт внесли экспорт сырья и инвестиционных товаров, сводный вклад которых оценивается в 17,8 процентных пункта, которые выросли в 7,0 и 4,2 раза соответственно.</w:t>
      </w:r>
    </w:p>
    <w:p>
      <w:pPr>
        <w:spacing w:after="120"/>
        <w:jc w:val="both"/>
      </w:pPr>
      <w:r>
        <w:rPr>
          <w:rFonts w:ascii="Arial" w:cs="Arial" w:eastAsia="Arial" w:hAnsi="Arial"/>
          <w:sz w:val="24"/>
          <w:szCs w:val="24"/>
        </w:rPr>
        <w:t xml:space="preserve">За рассматриваемый период импортные поступления товаров в республику, по сравнению с аналогичным периодом прошлого года, возросли на 39,9% и достигли 1065,4 млн. долл.США. Увеличение объемов импорта обеспечивалось ростом поступлений минеральных продуктов (на 130,1 млн. долл.США), средств наземного, воздушного и водного транспорта, их частей и принадлежностей (на 70,0 млн. долл.США), машин, оборудования и механизмов (на 25,3 млн. долл.США), продукции химической и связанных с ней отраслей промышленности (на 16,5 млн. долл.США), недрагоценных металлов и изделий из них (на 20,2 млн. долл.США). 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Примечательно то, что доля импорта потребительских товаров сократилась на 10,6 процентных пункта, при этом, темп роста данного вида товаров составил 111,2%.</w:t>
      </w:r>
    </w:p>
    <w:p>
      <w:pPr>
        <w:spacing w:after="120"/>
        <w:jc w:val="both"/>
      </w:pPr>
      <w:r>
        <w:rPr>
          <w:rFonts w:ascii="Arial" w:cs="Arial" w:eastAsia="Arial" w:hAnsi="Arial"/>
          <w:sz w:val="24"/>
          <w:szCs w:val="24"/>
        </w:rPr>
        <w:t xml:space="preserve">Основными странами-партнерами по импорту являлись Россия, занимающая 33,9% в общем объеме поступлений, Китай (15,5%), Казахстан (12,8%), Япония (5,1%), Германия (4,3%), США (4,2%), Турция (3,0%).</w:t>
      </w:r>
    </w:p>
    <w:p>
      <w:pPr>
        <w:spacing w:after="120"/>
        <w:jc w:val="both"/>
      </w:pPr>
      <w:r>
        <w:rPr>
          <w:rFonts w:ascii="Arial" w:cs="Arial" w:eastAsia="Arial" w:hAnsi="Arial"/>
          <w:sz w:val="24"/>
          <w:szCs w:val="24"/>
        </w:rPr>
        <w:t xml:space="preserve">Увеличение объемов импорта обусловлено как ростом стоимостного значения, так и увеличением физических объемов, а именно: газ природный - в 1,9 раза и 113,1% соответственно, дизельное топливо - в 2,9 и 3,2 раза соответственно, автомобильный бензин - в 2,2 и 1,9 раза соответственно, уголь - в 2,1 и 1,7 раза соответственно, мука пшеничная - в 1,8 раза (в стоимостном значении), автомобили, бывшие в употреблении - в 2,8 и в 2,7 раза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эффективных средств привлечения инвестиций и реализации социально значимых проектов призвано стать государственно-частное партнерство. В этой связи разработан и принят Закон "О государственно-частном партнерстве в Кыргызской Республике" от 22 февраля 2012 года N 7.</w:t>
      </w:r>
    </w:p>
    <w:p>
      <w:pPr>
        <w:spacing w:after="120"/>
        <w:jc w:val="both"/>
      </w:pPr>
      <w:r>
        <w:rPr>
          <w:rFonts w:ascii="Arial" w:cs="Arial" w:eastAsia="Arial" w:hAnsi="Arial"/>
          <w:sz w:val="24"/>
          <w:szCs w:val="24"/>
        </w:rPr>
        <w:t xml:space="preserve">Данный Закон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указывается сфера действия Закона, в том числе те сектора экономики, в которых возможна реализация проектов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Кыргызско-Катарского инвестиционных фондов. Создание инвестиционных фондов, через которые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следующие мероприятия:</w:t>
      </w:r>
    </w:p>
    <w:p>
      <w:pPr>
        <w:spacing w:after="120"/>
        <w:jc w:val="both"/>
      </w:pPr>
      <w:r>
        <w:rPr>
          <w:rFonts w:ascii="Arial" w:cs="Arial" w:eastAsia="Arial" w:hAnsi="Arial"/>
          <w:sz w:val="24"/>
          <w:szCs w:val="24"/>
        </w:rPr>
        <w:t xml:space="preserve">- 3 апреля 2012 года в г.Бишкек проведен Кыргызско-монгольский бизнес-форум "Перспективы инвестиционного сотрудничества", с участием 55 предпринимателей из Монголии и 100 отечественных в сфере строительства, сельского хозяйства, туризма, промышленности, связи, транспорта, энергетики, горной добычи. Данное мероприятие послужило эффективной площадкой для бизнес-сообществ двух стран, а также для развития торгово-экономического и инвестиционного сотрудничества. Монгольские предприниматели ознакомились с условиями ведения предпринимательской деятельности на территории Кыргызской Республики;</w:t>
      </w:r>
    </w:p>
    <w:p>
      <w:pPr>
        <w:spacing w:after="120"/>
        <w:jc w:val="both"/>
      </w:pPr>
      <w:r>
        <w:rPr>
          <w:rFonts w:ascii="Arial" w:cs="Arial" w:eastAsia="Arial" w:hAnsi="Arial"/>
          <w:sz w:val="24"/>
          <w:szCs w:val="24"/>
        </w:rPr>
        <w:t xml:space="preserve">- 19 марта 2012 года проведен Кыргызско-Турецкий торгово-инвестиционный форум, в котором приняли участие 130 турецких предпринимателей, а также представители государственных органов. От кыргызской стороны приняли участие представители деловых сообществ. В ходе презентаций участники форума рассмотрели возможности инвестирования в такие отрасли, как легкая промышленность, машиностроение, пищевая промышленность, горнодобывающий сектор и др. По итогам данного мероприятия состоялось подписание двусторонних меморандумов о сотрудничестве между основными бизнес-ассоциациями Кыргызстана и Турции. В частности, между ТУСКОН и ЖИА, ТУСКОН и Кытиад.</w:t>
      </w:r>
    </w:p>
    <w:p>
      <w:pPr>
        <w:spacing w:after="120"/>
        <w:jc w:val="both"/>
      </w:pPr>
      <w:r>
        <w:rPr>
          <w:rFonts w:ascii="Arial" w:cs="Arial" w:eastAsia="Arial" w:hAnsi="Arial"/>
          <w:sz w:val="24"/>
          <w:szCs w:val="24"/>
        </w:rPr>
        <w:t xml:space="preserve">По данным экспресс-информации Национального статистического комитета Кыргызской Республики, поступление прямых иностранных инвестиций (далее - ПИИ) в 2011 году составило 849,2 млн. долл.США и к уровню 2010 года составило 127,5%.</w:t>
      </w:r>
    </w:p>
    <w:p>
      <w:pPr>
        <w:spacing w:after="120"/>
        <w:jc w:val="both"/>
      </w:pPr>
      <w:r>
        <w:rPr>
          <w:rFonts w:ascii="Arial" w:cs="Arial" w:eastAsia="Arial" w:hAnsi="Arial"/>
          <w:sz w:val="24"/>
          <w:szCs w:val="24"/>
        </w:rPr>
        <w:t xml:space="preserve">При рассмотрении структуры поступления ПИИ, приток в акционерный капитал в 2011 году составил 86,6 млн. долл.США и увеличился по сравнению с 2010 годом в 3,9 раза; реинвестированная прибыль составила 475,2 млн. долл.США и по сравнению с 2010 годом выросла в 2 раза; объем прочего капитала составил 283,0 млн. долл.США и снизился по сравнению с 2010 годом, составив 69,9%. Из них за счет торговых кредитов - 103,1 млн. долл.США, кредитов, полученных от иностранных совладельцев, 179,8 млн. долл.США.</w:t>
      </w:r>
    </w:p>
    <w:p>
      <w:pPr>
        <w:spacing w:after="120"/>
        <w:jc w:val="both"/>
      </w:pPr>
      <w:r>
        <w:rPr>
          <w:rFonts w:ascii="Arial" w:cs="Arial" w:eastAsia="Arial" w:hAnsi="Arial"/>
          <w:sz w:val="24"/>
          <w:szCs w:val="24"/>
        </w:rPr>
        <w:t xml:space="preserve">Наиболее привлекательными отраслями для инвесторов в 2011 году являлись обрабатывающая промышленность, удельный вес которой в общем объеме ПИИ составил 57,7%; операции с недвижимым имуществом, аренда и предоставление услуг потребителям - 20,0%; торговля; ремонт автомобилей, бытовых изделий и предметов личного пользования - 7,6%; финансовая деятельность - 5,7%; горнодобывающая промышленность - 3,2%.</w:t>
      </w:r>
    </w:p>
    <w:p>
      <w:pPr>
        <w:spacing w:after="120"/>
        <w:jc w:val="both"/>
      </w:pPr>
      <w:r>
        <w:rPr>
          <w:rFonts w:ascii="Arial" w:cs="Arial" w:eastAsia="Arial" w:hAnsi="Arial"/>
          <w:sz w:val="24"/>
          <w:szCs w:val="24"/>
        </w:rPr>
        <w:t xml:space="preserve">Приток прямых иностранных инвестиций из стран вне СНГ в 2011 году вырос в 1,5 раза по сравнению с уровнем 2010 года (94,9% от общего объема поступивших ПИИ). Основными странами-инвесторами являлись: Канада 52,5% от общего объема ПИИ (445,5 млн. долл.США), Китай - 17,6% (149,6 млн. долл.США), Великобритания - 6,0% (51,4 млн. долл.США), Германия 5,0% (42,7 млн. долл.США), Швейцария - 3,1% (26,4 млн. долл.США).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2010 годом снизился и составил 31,1% (5,1% от общего объема поступивших инвестиций). Основную долю вложений ПИИ осуществили инвесторы из Казахстана 2,8% (24,1 млн. долл.США от общего объема поступивших ПИИ, составив к уровню 2010 года 58,3%, а также из России - 2,2% (18,7 млн. долл.США) от общего объема поступивших ПИИ и снизились, составив к уровню 2010 года 19,2%.</w:t>
      </w:r>
    </w:p>
    <w:p>
      <w:pPr>
        <w:spacing w:after="120"/>
        <w:jc w:val="both"/>
      </w:pPr>
      <w:r>
        <w:rPr>
          <w:rFonts w:ascii="Arial" w:cs="Arial" w:eastAsia="Arial" w:hAnsi="Arial"/>
          <w:sz w:val="24"/>
          <w:szCs w:val="24"/>
        </w:rPr>
        <w:t xml:space="preserve">В 2011 году в общем объеме ПИИ наибольший удельный вес поступлений ПИИ приходится на Иссык-Кульскую - 51,5%, Чуйскую - 8,8%, Джалал-Абадскую области - 7,8%, г.Бишкек - 21,3%.</w:t>
      </w:r>
    </w:p>
    <w:p>
      <w:pPr>
        <w:spacing w:after="120"/>
        <w:jc w:val="both"/>
      </w:pPr>
      <w:r>
        <w:rPr>
          <w:rFonts w:ascii="Arial" w:cs="Arial" w:eastAsia="Arial" w:hAnsi="Arial"/>
          <w:sz w:val="24"/>
          <w:szCs w:val="24"/>
        </w:rPr>
        <w:t xml:space="preserve">Отток прямых иностранных инвестиций в 2011 году составил 155,7 млн. долл.США (18,3% поступивших ПИИ), что меньше чем за 2010 год на 72,8 млн. долл.США или на 31,9% (228,5 млн. долл.США в 2010 году).</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89,7%. Следует отметить, что отток инвестиций прослеживается практически из всех отраслей экономики, но наибольшую долю занимают обрабатывающая промышленность - 36,8%, операции с недвижимым имуществом, аренда и предоставление услуг потребителям 20,4%, торговля; ремонт автомобилей, бытовых изделий и предметов личного пользования - 18,4%.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январь-март 2012 года составил 1612,6 млн. сомов, в том числе внешнее финансирование инвестиционных проектов без грантов составило 609,8 млн. сомов, или 4,7% от годового планового показателя, и в части внутреннего софинансирования инвестиционных проектов - 147,6 млн. сомов или 19,1%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2011 год, в Кыргызской Республике функционировало(14) 11784 малых и средних предприятия (сокращение на 379 единиц относительно 2010 г.). Индивидуальную предпринимательскую деятельность осуществляли 267,8 тыс. физических лиц (прирост составил 23 тыс. физических лиц). Таким образом, общая численность работающих в сфере предпринимательства (без учета крестьянских и фермерских хозяйств) за отчетный период составила 356 тыс. человек (прирост составил 22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(предварительная оценка) составил - 41,4% или 113032,4 млн. сомов (2010 г. 41,2% или 90763,2 млн. сомов).</w:t>
      </w:r>
    </w:p>
    <w:p>
      <w:pPr>
        <w:spacing w:after="120"/>
        <w:jc w:val="both"/>
      </w:pPr>
      <w:r>
        <w:rPr>
          <w:rFonts w:ascii="Arial" w:cs="Arial" w:eastAsia="Arial" w:hAnsi="Arial"/>
          <w:sz w:val="24"/>
          <w:szCs w:val="24"/>
        </w:rPr>
        <w:t xml:space="preserve">В рамках Межведомственной комиссии по реформе системы государственного регулирования предпринимательской деятельности было разработано и принято постановление Правительства Кыргызской Республики "Об одобрении проекта Закона Кыргызской Республики "О внесении изменений и дополнений в некоторые законодательные акты Кыргызской Республики" от 28.02.2012 г. N 146, в котором предусматривается сокращение 72 видов лицензий и разрешений.</w:t>
      </w:r>
    </w:p>
    <w:p>
      <w:pPr>
        <w:spacing w:after="120"/>
        <w:jc w:val="both"/>
      </w:pPr>
      <w:r>
        <w:rPr>
          <w:rFonts w:ascii="Arial" w:cs="Arial" w:eastAsia="Arial" w:hAnsi="Arial"/>
          <w:sz w:val="24"/>
          <w:szCs w:val="24"/>
        </w:rPr>
        <w:t xml:space="preserve">В целях реализации Закона Кыргызской Республики "Об оптимизации нормативной правовой базы регулирования предпринимательской деятельности" принято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лицензировании" от 27.03.2012 г. N 206. В данном законопроекте предусмотрено введение нормы "молчание - знак согласия", направленной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В целях установления перечня лиц, на которых распространяются меры государственной поддержки для субъектов предпринимательства, пострадавших в результате грабежей, мародерства и пожаров, произошедших в июне 2010 года в г.Ош,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N 90.</w:t>
      </w:r>
    </w:p>
    <w:p>
      <w:pPr>
        <w:spacing w:after="120"/>
        <w:jc w:val="both"/>
      </w:pPr>
      <w:r>
        <w:rPr>
          <w:rFonts w:ascii="Arial" w:cs="Arial" w:eastAsia="Arial" w:hAnsi="Arial"/>
          <w:sz w:val="24"/>
          <w:szCs w:val="24"/>
        </w:rPr>
        <w:t xml:space="preserve">В целях оказания дополнительной поддержки заемщикам коммерческих банков и небанковских финансово-кредитных учреждений, пострадавшим в апрельских и июньских событиях в гг. Бишкек и Ош, Ошской и Джалал-Абадской областях Кыргызской Республики, и состоящим в реестрах субъектов предпринимательства, пострадавших в результате грабежей, мародерства и пожаров, произошедших в апреле-июне 2010 года в гг. Бишкек и Ош, Ошской и Джалал-Абадской областях, принято постановление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N 266.</w:t>
      </w:r>
    </w:p>
    <w:p>
      <w:pPr>
        <w:spacing w:after="120"/>
        <w:jc w:val="both"/>
      </w:pPr>
      <w:r>
        <w:rPr>
          <w:rFonts w:ascii="Arial" w:cs="Arial" w:eastAsia="Arial" w:hAnsi="Arial"/>
          <w:sz w:val="24"/>
          <w:szCs w:val="24"/>
        </w:rPr>
        <w:t xml:space="preserve">В целях урегулирования вопросов между заемщиками-залогодателями коммерческих банков и небанковских финансово-кредитных учреждений, пострадавших в результате апрельских и июньских событий 2010 года, и коммерческими банками, небанковскими финансово-кредитными учреждениями распоряжением Правительства Кыргызской Республики от 4 апреля 2012 года N 129-р образована Комиссия по урегулированию вопросов между заемщиками-залогодателями и коммерческими банками, небанковскими финансово-кредитными учреждениями.</w:t>
      </w:r>
    </w:p>
    <w:p>
      <w:pPr>
        <w:spacing w:after="120"/>
        <w:jc w:val="both"/>
      </w:pPr>
      <w:r>
        <w:rPr>
          <w:rFonts w:ascii="Arial" w:cs="Arial" w:eastAsia="Arial" w:hAnsi="Arial"/>
          <w:sz w:val="24"/>
          <w:szCs w:val="24"/>
        </w:rPr>
        <w:t xml:space="preserve">В целях реализации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от 22 июля 2011 года N 121, а также недопущения необоснованных и неэффективных проверок со стороны государственных контролирующих органов, совершенствования порядка проведения проверок субъектов предпринимательства приняты постановления Правительства Кыргызской Республики: "Об утверждении критериев оценки степени риска при осуществлении предпринимательской деятельности" от 18 февраля 2012 года N 108, предусматривающее повышение эффективности работы государственных органов по проведению анализа и мониторинга проведенных проверок и регулирование периодичности плановых проверок субъектов предпринимательства в зависимости от степени оценки критериев риска, влияющее на улучшение предпринимательской деятельности и сокращение необоснованных проверок; "О внесении изменений и дополнения в постановление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 от 3 марта 2011 года N 94" от 23 марта 2012 года N 194, предусматривающее оптимизацию в контрольно-надзорной сфере; "Об одобрении Перечня уполномоченных органов, имеющих право на проведение проверок субъектов предпринимательства" от 9 марта 2012 года N 166, предусматривающее сокращение количества государственных контролирующих органов с 21 до 13.</w:t>
      </w:r>
    </w:p>
    <w:p>
      <w:pPr>
        <w:spacing w:after="120"/>
        <w:jc w:val="both"/>
      </w:pPr>
      <w:r>
        <w:rPr>
          <w:rFonts w:ascii="Arial" w:cs="Arial" w:eastAsia="Arial" w:hAnsi="Arial"/>
          <w:sz w:val="24"/>
          <w:szCs w:val="24"/>
        </w:rPr>
        <w:t xml:space="preserve">В целях снятия напряженности по обеспечению сельхозпроизводителей удобрениями, повышения урожайности и экспорта сельскохозяйственных культур принято постановление Правительства Кыргызской Республики "Об установлении ставки сезонной (вывозной) таможенной пошлины на удобрения, вывозимые с территории Кыргызской Республики" от 9 февраля 2012 года N 84.</w:t>
      </w:r>
    </w:p>
    <w:p>
      <w:pPr>
        <w:spacing w:after="120"/>
        <w:jc w:val="both"/>
      </w:pPr>
      <w:r>
        <w:rPr>
          <w:rFonts w:ascii="Arial" w:cs="Arial" w:eastAsia="Arial" w:hAnsi="Arial"/>
          <w:sz w:val="24"/>
          <w:szCs w:val="24"/>
        </w:rPr>
        <w:t xml:space="preserve">Постановлением Правительства Кыргызской Республики "О введении временного запрета на вывоз нефтепродуктов с территории Кыргызской Республики" от 29 марта 2012 года N 218 введен временный запрет (сроком на 12 месяцев) на экспорт ГСМ, в целях недопущения критического недостатка и роста цен на данную продукцию на внутреннем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отчетном периоде 2012 года были обеспечение устойчивого экономического роста путем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Правительством Кыргызской Республики принят ряд нормативных правовых актов:</w:t>
      </w:r>
    </w:p>
    <w:p>
      <w:pPr>
        <w:spacing w:after="120"/>
        <w:jc w:val="both"/>
      </w:pPr>
      <w:r>
        <w:rPr>
          <w:rFonts w:ascii="Arial" w:cs="Arial" w:eastAsia="Arial" w:hAnsi="Arial"/>
          <w:sz w:val="24"/>
          <w:szCs w:val="24"/>
        </w:rPr>
        <w:t xml:space="preserve">- в целях облегчения нагрузки на предпринимателей, путем отмены взимания средств в фонд оздоровления трудящихся, разработан пакет проектов законов о Социальном фонде Кыргызской Республики и сопутствующих законов о социальном страховании и страховых взносах, постановлением Правительства Кыргызской Республики одобрен проект Закона "О внесении изменений в некоторые законодательные акты Кыргызской Республики" от 18 февраля 2012 года N 107 и данный законопроект прошел второе чтение в Жогорку Кенеше Кыргызской Республики;</w:t>
      </w:r>
    </w:p>
    <w:p>
      <w:pPr>
        <w:spacing w:after="120"/>
        <w:jc w:val="both"/>
      </w:pPr>
      <w:r>
        <w:rPr>
          <w:rFonts w:ascii="Arial" w:cs="Arial" w:eastAsia="Arial" w:hAnsi="Arial"/>
          <w:sz w:val="24"/>
          <w:szCs w:val="24"/>
        </w:rPr>
        <w:t xml:space="preserve">- в целях совершенствования проводимой фискальной политики предусматривается поэтапное снижение ставок налога с продаж для плательщиков НДС и предоставление преференций для промышленных предприятий, осуществляющих деятельность в дотационных и преференциальных регионах, а также предоставление налоговых льгот в отношении средств, вкладываемых предпринимателями в развитие частных дошкольных учреждений, образовательных учреждений, учреждений здравоохранения, разработан проект Закона Кыргызской Республики "О внесении изменений и дополнений в некоторые законодательные акты Кыргызской Республики", одобрен постановлением Правительства Кыргызской Республики от 23 марта 2012 года N 200;</w:t>
      </w:r>
    </w:p>
    <w:p>
      <w:pPr>
        <w:spacing w:after="120"/>
        <w:jc w:val="both"/>
      </w:pPr>
      <w:r>
        <w:rPr>
          <w:rFonts w:ascii="Arial" w:cs="Arial" w:eastAsia="Arial" w:hAnsi="Arial"/>
          <w:sz w:val="24"/>
          <w:szCs w:val="24"/>
        </w:rPr>
        <w:t xml:space="preserve">- в целях освобождения от подоходного налога доходов лиц, получивших на международных конкурсах денежные и иные призы и выигрыши, а также премий, присвоенных международными организациями (фондами) подготовлен проект Закона Кыргызской Республики "О внесении дополнений в Налоговый кодекс Кыргызской Республики", одобрен постановлением Правительства Кыргызской Республики от 1 февраля 2012 года N 81;</w:t>
      </w:r>
    </w:p>
    <w:p>
      <w:pPr>
        <w:spacing w:after="120"/>
        <w:jc w:val="both"/>
      </w:pPr>
      <w:r>
        <w:rPr>
          <w:rFonts w:ascii="Arial" w:cs="Arial" w:eastAsia="Arial" w:hAnsi="Arial"/>
          <w:sz w:val="24"/>
          <w:szCs w:val="24"/>
        </w:rPr>
        <w:t xml:space="preserve">- в целях освобождения от уплаты таможенных сборов при ввозе оборудования используемого в текстильной, швейной и мебельной отрасли хозяйствующими субъектами непосредственно для собственных производственных целей, принято постановление Правительства Кыргызской Республики "О мерах по государственной поддержке развития текстильной, швейной и мебельной отраслей Кыргызской Республики" от 26 марта 2012 года N 204;</w:t>
      </w:r>
    </w:p>
    <w:p>
      <w:pPr>
        <w:spacing w:after="120"/>
        <w:jc w:val="both"/>
      </w:pPr>
      <w:r>
        <w:rPr>
          <w:rFonts w:ascii="Arial" w:cs="Arial" w:eastAsia="Arial" w:hAnsi="Arial"/>
          <w:sz w:val="24"/>
          <w:szCs w:val="24"/>
        </w:rPr>
        <w:t xml:space="preserve">- в целях повышения эффективности работы налоговой и таможенных служб, в рамках поставленных задач по оптимизации (упрощению) механизма возмещения, возврата НДС, утвержденного постановлением Жогорку Кенеша Кыргызской Республики N 1451-V от 23 декабря 2011 года, принято распоряжение Правительства Кыргызской Республики о внесении изменений и дополнений в распоряжение Правительства Кыргызской Республики от 30 декабря 2008 г. N 703-р об утверждении упрощенного порядка возмещения НДС от 29 марта 2012 года N 116-р;</w:t>
      </w:r>
    </w:p>
    <w:p>
      <w:pPr>
        <w:spacing w:after="120"/>
        <w:jc w:val="both"/>
      </w:pPr>
      <w:r>
        <w:rPr>
          <w:rFonts w:ascii="Arial" w:cs="Arial" w:eastAsia="Arial" w:hAnsi="Arial"/>
          <w:sz w:val="24"/>
          <w:szCs w:val="24"/>
        </w:rPr>
        <w:t xml:space="preserve">- в целях оптимизации налоговой базы по налогу на прибыль и обеспечения единого порядка определения товарных потерь, принято постановление Правительства Кыргызской Республики "Об утверждении норм естественной убыли на продовольственные товары в сфере торговли и общественного питания" от 12 января 2012 года N 17.</w:t>
      </w:r>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 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N 30-р на сумму 1392,8 млн. сомов.</w:t>
      </w:r>
    </w:p>
    <w:p>
      <w:pPr>
        <w:spacing w:after="120"/>
        <w:jc w:val="both"/>
      </w:pPr>
      <w:r>
        <w:rPr>
          <w:rFonts w:ascii="Arial" w:cs="Arial" w:eastAsia="Arial" w:hAnsi="Arial"/>
          <w:sz w:val="24"/>
          <w:szCs w:val="24"/>
        </w:rPr>
        <w:t xml:space="preserve">Проблемным вопросом в ходе исполнения доходной части государственного бюджета является пересмотр прогнозных показателей производства золота на руднике "Кумтор", что соответственно приведет к снижению поступления налога на валовой доход от "Кумтор". Так, по данным ГНС, в I квартале 2012 года в бюджет недопоступило 205 млн. сомов. Исходя из предварительных данных "Кумтор оперейтинг компани", при снижении объемов производства золота до уровня 405 тыс. тройских унций золота, предполагаемые потери налога на валовой доход за 2012 год составят 2762,0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 монополистов, мониторинг цен на социально-значимые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По итогам I квартала 2012 года в целях реализации норм статьи 13 Закона Кыргызской Республики "О конкуренции", регламентирующих деятельность государственного антимонопольного органа, разработан проект постановления Правительства Кыргызской Республики "Об утверждении Правил о принудительном разделении (выделении) хозяйствующих субъектов" в целях развития конкуренции и развития предпринимательства".</w:t>
      </w:r>
    </w:p>
    <w:p>
      <w:pPr>
        <w:spacing w:after="120"/>
        <w:jc w:val="both"/>
      </w:pPr>
      <w:r>
        <w:rPr>
          <w:rFonts w:ascii="Arial" w:cs="Arial" w:eastAsia="Arial" w:hAnsi="Arial"/>
          <w:sz w:val="24"/>
          <w:szCs w:val="24"/>
        </w:rPr>
        <w:t xml:space="preserve">Проект направлен на разрешение ситуации в случаях, когда действия хозяйствующих субъектов, занимающих доминирующее положение и осуществляющих систематическую монополистическую деятельность, приводят к существенному ограничению конкуренции и разработка данного проекта утверждает право антимонопольного органа Кыргызской Республики на принятие решения о принудительном разделении этих хозяйствующих субъектов.</w:t>
      </w:r>
    </w:p>
    <w:p>
      <w:pPr>
        <w:spacing w:after="120"/>
        <w:jc w:val="both"/>
      </w:pPr>
      <w:r>
        <w:rPr>
          <w:rFonts w:ascii="Arial" w:cs="Arial" w:eastAsia="Arial" w:hAnsi="Arial"/>
          <w:sz w:val="24"/>
          <w:szCs w:val="24"/>
        </w:rPr>
        <w:t xml:space="preserve">В соответствии со статьей 22 Закона Кыргызской Республики "О естественных и разрешенных монополиях" (принят 8 августа 2011 года за N 149) разработан проект постановления Правительства Кыргызской Республики "О внесении изменений и дополнений в некоторые законодательные акты", в части уточнения функций по установлению тарифов для субъектов естественных и разрешенных монополий в области связи и энергетики:</w:t>
      </w:r>
    </w:p>
    <w:p>
      <w:pPr>
        <w:spacing w:after="120"/>
        <w:jc w:val="both"/>
      </w:pPr>
      <w:r>
        <w:rPr>
          <w:rFonts w:ascii="Arial" w:cs="Arial" w:eastAsia="Arial" w:hAnsi="Arial"/>
          <w:sz w:val="24"/>
          <w:szCs w:val="24"/>
        </w:rPr>
        <w:t xml:space="preserve">- Закон Кыргызской Республики "О почтовой связи";</w:t>
      </w:r>
    </w:p>
    <w:p>
      <w:pPr>
        <w:spacing w:after="120"/>
        <w:jc w:val="both"/>
      </w:pPr>
      <w:r>
        <w:rPr>
          <w:rFonts w:ascii="Arial" w:cs="Arial" w:eastAsia="Arial" w:hAnsi="Arial"/>
          <w:sz w:val="24"/>
          <w:szCs w:val="24"/>
        </w:rPr>
        <w:t xml:space="preserve">- Закон Кыргызской Республики "Об электрической и почтовой связи";</w:t>
      </w:r>
    </w:p>
    <w:p>
      <w:pPr>
        <w:spacing w:after="120"/>
        <w:jc w:val="both"/>
      </w:pPr>
      <w:r>
        <w:rPr>
          <w:rFonts w:ascii="Arial" w:cs="Arial" w:eastAsia="Arial" w:hAnsi="Arial"/>
          <w:sz w:val="24"/>
          <w:szCs w:val="24"/>
        </w:rPr>
        <w:t xml:space="preserve">- Закон Кыргызской Республики "Об энергетике".</w:t>
      </w:r>
    </w:p>
    <w:p>
      <w:pPr>
        <w:spacing w:after="120"/>
        <w:jc w:val="both"/>
      </w:pPr>
      <w:r>
        <w:rPr>
          <w:rFonts w:ascii="Arial" w:cs="Arial" w:eastAsia="Arial" w:hAnsi="Arial"/>
          <w:sz w:val="24"/>
          <w:szCs w:val="24"/>
        </w:rPr>
        <w:t xml:space="preserve">В соответствии со статьей 21 Закона Кыргызской Республики "О конкуренции" и статьей 22 Закона Кыргызской Республики "О естественных и разрешенных монополиях в Кыргызской Республике" подготовлен проект постановления Правительства Кыргызской Республики "Об утверждении Правил по контролю за соблюдением антимонопольного законодательства Кыргызской Республики в процессе экономической концентрации". Правила определяют механизм контроля за соблюдением антимонопольного законодательства Кыргызской Республики в процессе экономической концентрации путем проведения экспертизы учредительных и иных документов хозяйствующих субъектов на соответствие требованиям антимонопольного законодательства Кыргызской Республики, в том числе субъектов естественных и разрешенных монополий.</w:t>
      </w:r>
    </w:p>
    <w:p>
      <w:pPr>
        <w:spacing w:after="120"/>
        <w:jc w:val="both"/>
      </w:pPr>
      <w:r>
        <w:rPr>
          <w:rFonts w:ascii="Arial" w:cs="Arial" w:eastAsia="Arial" w:hAnsi="Arial"/>
          <w:sz w:val="24"/>
          <w:szCs w:val="24"/>
        </w:rPr>
        <w:t xml:space="preserve">Сфера государственных услуг и государственное управление. За январь-март 2012 года проведено экспертирование государственных услуг более 40 государственных органов, количество которых превышало на первом этапе более 20,0 тысяч услуг, в результате чего предварительно заявлено было 1089 позиций от 37 государственных органов. По итогам 11 заседаний Межведомственной комиссии, утвержденной распоряжением Правительства Кыргызской Республики от 31 мая 2011 года N 191-р, включено в единый реестр 389 услуг госорганов, из них 220 платных услуг, 166 бесплатных, 3 частично бесплатные/платные.</w:t>
      </w:r>
    </w:p>
    <w:p>
      <w:pPr>
        <w:spacing w:after="120"/>
        <w:jc w:val="both"/>
      </w:pPr>
      <w:r>
        <w:rPr>
          <w:rFonts w:ascii="Arial" w:cs="Arial" w:eastAsia="Arial" w:hAnsi="Arial"/>
          <w:sz w:val="24"/>
          <w:szCs w:val="24"/>
        </w:rPr>
        <w:t xml:space="preserve">В целях оптимизации процедур предоставления государственных услуг населению, повышения их качества и доступности, с целью закрепления системного регулирования сферы предоставления государственными органами и учреждениями Кыргызской Республики государственных услуг физическим и юридическим лицами подготовлен Единый реестр (перечень) государственных услуг, оказываемых органами исполнительной власти, их структурными подразделениями и подведомственными учреждениями и утвержден постановлением Правительства Кыргызской Республики от 10 февраля 2012 года N 85.</w:t>
      </w:r>
    </w:p>
    <w:p>
      <w:pPr>
        <w:spacing w:after="120"/>
        <w:jc w:val="both"/>
      </w:pPr>
      <w:r>
        <w:rPr>
          <w:rFonts w:ascii="Arial" w:cs="Arial" w:eastAsia="Arial" w:hAnsi="Arial"/>
          <w:sz w:val="24"/>
          <w:szCs w:val="24"/>
        </w:rPr>
        <w:t xml:space="preserve">Подготовлен проект Закона Кыргызской Республики "О государственных и муниципальных услугах", который определяет основные принципы предоставления государственных и муниципальных услуг, регулирует правоотношения в данной сфере между исполнителем и потребителем государственной и муниципальной услуги, а также регулирует порядок формирования Единого реестра государственных услуг и местных реестров муниципальных услуг, стандартов и административных регламентов их предоставления (проходит процедуру согласования).</w:t>
      </w:r>
    </w:p>
    <w:p>
      <w:pPr>
        <w:spacing w:after="120"/>
        <w:jc w:val="both"/>
      </w:pPr>
      <w:r>
        <w:rPr>
          <w:rFonts w:ascii="Arial" w:cs="Arial" w:eastAsia="Arial" w:hAnsi="Arial"/>
          <w:sz w:val="24"/>
          <w:szCs w:val="24"/>
        </w:rPr>
        <w:t xml:space="preserve">В целях осуществления системной оценки эффективности деятельности и повышения ответственности руководителей органов исполнительной власти, областных государственных администраций и местного самоуправления гг. Бишкек и Ош принято постановление Правительства Кыргызской Республики "Об оценке эффективности деятельности органов исполнительной власти и органов местного самоуправления Кыргызской Республики" от 17 февраля 2012 года N 105.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Соглашений ВТО по техническим барьерам в торговле и о применении санитарных и фитосанитарных мер в торговле и Закона Кыргызской Республики "Об основах технического регулирования в Кыргызской Республике" для создания нормативной правовой базы по безопасности продукции, процессов производства, строительства, монтажа, реализации, эксплуатации, выполнения работ обеспечены работы по разработке и принятию:</w:t>
      </w:r>
    </w:p>
    <w:p>
      <w:pPr>
        <w:spacing w:after="120"/>
        <w:jc w:val="both"/>
      </w:pPr>
      <w:r>
        <w:rPr>
          <w:rFonts w:ascii="Arial" w:cs="Arial" w:eastAsia="Arial" w:hAnsi="Arial"/>
          <w:sz w:val="24"/>
          <w:szCs w:val="24"/>
        </w:rPr>
        <w:t xml:space="preserve">технических регламентов:</w:t>
      </w:r>
    </w:p>
    <w:p>
      <w:pPr>
        <w:spacing w:after="120"/>
        <w:jc w:val="both"/>
      </w:pPr>
      <w:r>
        <w:rPr>
          <w:rFonts w:ascii="Arial" w:cs="Arial" w:eastAsia="Arial" w:hAnsi="Arial"/>
          <w:sz w:val="24"/>
          <w:szCs w:val="24"/>
        </w:rPr>
        <w:t xml:space="preserve">- для отмены технического осмотра автомобильного транспорта в целях ликвидации коррупционных схем при прохождении технического осмотра автомобильного транспорта и сокращения расходов граждан на прохождение технического осмотра принят Закон Кыргызской Республики "О внесении изменений и дополнений в Закон Кыргызской Республики "Общий технический регламент Кыргызской Республики по безопасности наземных транспортных средств", одобренный Жогорку Кенешем Кыргызской Республики 6 апреля 2012 года;</w:t>
      </w:r>
    </w:p>
    <w:p>
      <w:pPr>
        <w:spacing w:after="120"/>
        <w:jc w:val="both"/>
      </w:pPr>
      <w:r>
        <w:rPr>
          <w:rFonts w:ascii="Arial" w:cs="Arial" w:eastAsia="Arial" w:hAnsi="Arial"/>
          <w:sz w:val="24"/>
          <w:szCs w:val="24"/>
        </w:rPr>
        <w:t xml:space="preserve">- "Об электромагнитной совместимости", постановление Правительства Кыргызской Республики от 12 января 2012 года N 24;</w:t>
      </w:r>
    </w:p>
    <w:p>
      <w:pPr>
        <w:spacing w:after="120"/>
        <w:jc w:val="both"/>
      </w:pPr>
      <w:r>
        <w:rPr>
          <w:rFonts w:ascii="Arial" w:cs="Arial" w:eastAsia="Arial" w:hAnsi="Arial"/>
          <w:sz w:val="24"/>
          <w:szCs w:val="24"/>
        </w:rPr>
        <w:t xml:space="preserve">- "О безопасности изделий медицинского назначения", постановление Правительства Кыргызской Республики от 1 февраля 2012 года N 74;</w:t>
      </w:r>
    </w:p>
    <w:p>
      <w:pPr>
        <w:spacing w:after="120"/>
        <w:jc w:val="both"/>
      </w:pPr>
      <w:r>
        <w:rPr>
          <w:rFonts w:ascii="Arial" w:cs="Arial" w:eastAsia="Arial" w:hAnsi="Arial"/>
          <w:sz w:val="24"/>
          <w:szCs w:val="24"/>
        </w:rPr>
        <w:t xml:space="preserve">- "О внесении изменений и дополнений в "Технический регламент "О безопасности сахара", постановление Правительства Кыргызской Республики от 3 февраля 2012 года N 83.</w:t>
      </w:r>
    </w:p>
    <w:p>
      <w:pPr>
        <w:spacing w:after="120"/>
        <w:jc w:val="both"/>
      </w:pPr>
      <w:r>
        <w:rPr>
          <w:rFonts w:ascii="Arial" w:cs="Arial" w:eastAsia="Arial" w:hAnsi="Arial"/>
          <w:sz w:val="24"/>
          <w:szCs w:val="24"/>
        </w:rPr>
        <w:t xml:space="preserve">Принятые технические регламенты разработаны в соответствии с международными нормами и требованиями, которые направлены на:</w:t>
      </w:r>
    </w:p>
    <w:p>
      <w:pPr>
        <w:spacing w:after="120"/>
        <w:jc w:val="both"/>
      </w:pPr>
      <w:r>
        <w:rPr>
          <w:rFonts w:ascii="Arial" w:cs="Arial" w:eastAsia="Arial" w:hAnsi="Arial"/>
          <w:sz w:val="24"/>
          <w:szCs w:val="24"/>
        </w:rPr>
        <w:t xml:space="preserve">- обеспечение населения безопасной продукцией;</w:t>
      </w:r>
    </w:p>
    <w:p>
      <w:pPr>
        <w:spacing w:after="120"/>
        <w:jc w:val="both"/>
      </w:pPr>
      <w:r>
        <w:rPr>
          <w:rFonts w:ascii="Arial" w:cs="Arial" w:eastAsia="Arial" w:hAnsi="Arial"/>
          <w:sz w:val="24"/>
          <w:szCs w:val="24"/>
        </w:rPr>
        <w:t xml:space="preserve">- создание благоприятных условий для бизнеса;</w:t>
      </w:r>
    </w:p>
    <w:p>
      <w:pPr>
        <w:spacing w:after="120"/>
        <w:jc w:val="both"/>
      </w:pPr>
      <w:r>
        <w:rPr>
          <w:rFonts w:ascii="Arial" w:cs="Arial" w:eastAsia="Arial" w:hAnsi="Arial"/>
          <w:sz w:val="24"/>
          <w:szCs w:val="24"/>
        </w:rPr>
        <w:t xml:space="preserve">- повышение благосостояния населения страны;</w:t>
      </w:r>
    </w:p>
    <w:p>
      <w:pPr>
        <w:spacing w:after="120"/>
        <w:jc w:val="both"/>
      </w:pPr>
      <w:r>
        <w:rPr>
          <w:rFonts w:ascii="Arial" w:cs="Arial" w:eastAsia="Arial" w:hAnsi="Arial"/>
          <w:sz w:val="24"/>
          <w:szCs w:val="24"/>
        </w:rPr>
        <w:t xml:space="preserve">- исключение конфликтов интересов в системе технического регулирования;</w:t>
      </w:r>
    </w:p>
    <w:p>
      <w:pPr>
        <w:spacing w:after="120"/>
        <w:jc w:val="both"/>
      </w:pPr>
      <w:r>
        <w:rPr>
          <w:rFonts w:ascii="Arial" w:cs="Arial" w:eastAsia="Arial" w:hAnsi="Arial"/>
          <w:sz w:val="24"/>
          <w:szCs w:val="24"/>
        </w:rPr>
        <w:t xml:space="preserve">- снижение неоправданных издержек производителей и повышению объема экспорта кыргызских товаров;</w:t>
      </w:r>
    </w:p>
    <w:p>
      <w:pPr>
        <w:spacing w:after="120"/>
        <w:jc w:val="both"/>
      </w:pPr>
      <w:r>
        <w:rPr>
          <w:rFonts w:ascii="Arial" w:cs="Arial" w:eastAsia="Arial" w:hAnsi="Arial"/>
          <w:sz w:val="24"/>
          <w:szCs w:val="24"/>
        </w:rPr>
        <w:t xml:space="preserve">- создание понятных и "прозрачных правил и процедур" и снижение уровня коррупции в сфере технического регулирования и метрологии;</w:t>
      </w:r>
    </w:p>
    <w:p>
      <w:pPr>
        <w:spacing w:after="120"/>
        <w:jc w:val="both"/>
      </w:pPr>
      <w:r>
        <w:rPr>
          <w:rFonts w:ascii="Arial" w:cs="Arial" w:eastAsia="Arial" w:hAnsi="Arial"/>
          <w:sz w:val="24"/>
          <w:szCs w:val="24"/>
        </w:rPr>
        <w:t xml:space="preserve">- привлечение иностранных инвестиций;</w:t>
      </w:r>
    </w:p>
    <w:p>
      <w:pPr>
        <w:spacing w:after="120"/>
        <w:jc w:val="both"/>
      </w:pPr>
      <w:r>
        <w:rPr>
          <w:rFonts w:ascii="Arial" w:cs="Arial" w:eastAsia="Arial" w:hAnsi="Arial"/>
          <w:sz w:val="24"/>
          <w:szCs w:val="24"/>
        </w:rPr>
        <w:t xml:space="preserve">- создание эффективной и надежной системы по обеспечению безопасности и качества продукции и процессов (методов) ее производства для жизни и здоровья потребителей, защиты флоры, фауны и окружающей среды;</w:t>
      </w:r>
    </w:p>
    <w:p>
      <w:pPr>
        <w:spacing w:after="120"/>
        <w:jc w:val="both"/>
      </w:pPr>
      <w:r>
        <w:rPr>
          <w:rFonts w:ascii="Arial" w:cs="Arial" w:eastAsia="Arial" w:hAnsi="Arial"/>
          <w:sz w:val="24"/>
          <w:szCs w:val="24"/>
        </w:rPr>
        <w:t xml:space="preserve">- гармонизацию системы технического регулирования и метрологии с основными торговыми партнерами (в том числе с ТС, ЕЭП и др.).</w:t>
      </w:r>
    </w:p>
    <w:p>
      <w:pPr>
        <w:spacing w:after="120"/>
        <w:jc w:val="both"/>
      </w:pPr>
      <w:r>
        <w:rPr>
          <w:rFonts w:ascii="Arial" w:cs="Arial" w:eastAsia="Arial" w:hAnsi="Arial"/>
          <w:sz w:val="24"/>
          <w:szCs w:val="24"/>
        </w:rPr>
        <w:t xml:space="preserve">- Соглашения между Министерством экономики и антимонопольной политики Кыргызской Республики и Польским комитетом по стандартизации о сотрудничестве в области стандартизации, подписанное 2 марта 2012 года в г.Варшава (Польша).</w:t>
      </w:r>
    </w:p>
    <w:p>
      <w:pPr>
        <w:spacing w:after="120"/>
        <w:jc w:val="both"/>
      </w:pPr>
      <w:r>
        <w:rPr>
          <w:rFonts w:ascii="Arial" w:cs="Arial" w:eastAsia="Arial" w:hAnsi="Arial"/>
          <w:sz w:val="24"/>
          <w:szCs w:val="24"/>
        </w:rPr>
        <w:t xml:space="preserve">Кроме того, проведена работа по проекту Закона Кыргызской Республики "О внесении изменений в Закон Кыргызской Республики "Об обеспечении единства измерений", который прошел слушания в профильных комитетах Жогорку Кенеша Кыргызской Республики. Проект разработан с целью исключения конфликта интересов, дает право уполномоченным органам по обеспечению единства измерений уполномочивать юридические лица на испытание средств измерений и аттестацию стандартных образцов, и реализации положений Закона Кыргызской Республики "О нормативных правовых актах Кыргызской Республики". Данный законопроект прошел 2 чтение в Жогорку Кенеше Кыргызской Республики.</w:t>
      </w:r>
    </w:p>
    <w:p>
      <w:pPr>
        <w:spacing w:after="120"/>
        <w:jc w:val="both"/>
      </w:pPr>
      <w:r>
        <w:rPr>
          <w:rFonts w:ascii="Arial" w:cs="Arial" w:eastAsia="Arial" w:hAnsi="Arial"/>
          <w:sz w:val="24"/>
          <w:szCs w:val="24"/>
        </w:rPr>
        <w:t xml:space="preserve">В целях создания благоприятных условий для бизнеса, в рамках МГС СНГ по инициативе кыргызской стороны подготовлен проект Соглашения об устранении технических барьеров во взаимной торговле между государствами-членами Таможенного союза и государствами-членами СНГ, не являющимися государствами-членами Таможенного союза. В настоящее время проводится рассмотрение проекта государствами-членами СНГ и ТС. Подписание этого Соглашения позволит решить множество вопросов, которые в настоящее время имеют место на границах со странами 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достаточное развитие получил финансовый рынок представлен банковским сектором и небанковскими финансово-кредитными учреждениями. Слабо развит фондовый, страховой и рынок пенсионных фондов. Необходимо решение задач по ускоренному развитию данных секторов финансового рынка.</w:t>
      </w:r>
    </w:p>
    <w:p>
      <w:pPr>
        <w:spacing w:after="120"/>
        <w:jc w:val="both"/>
      </w:pPr>
      <w:r>
        <w:rPr>
          <w:rFonts w:ascii="Arial" w:cs="Arial" w:eastAsia="Arial" w:hAnsi="Arial"/>
          <w:sz w:val="24"/>
          <w:szCs w:val="24"/>
        </w:rPr>
        <w:t xml:space="preserve">Проблемой до сих пор остается нехватка и слабое использование эффективных финансовых инструментов, сохраняется ограниченность выбора и отсутствие многообразия финансовых инструментов. В недостаточной степени используются возможности рынка государственных ценных бумаг. Через выпуск и размещение государственных ценных бумаг на внутреннем рынке капиталов можно было бы мобилизовать достаточно средств для финансирования различных проектов. Фондовый рынок еще не стал одним из основных инструментов аккумуляции средств в реальном секторе экономики, инструментом по мобилизации и привлечению капитала в экономику, как это принято в промышленно развитых государствах. Необходимо дальнейшее совершенствование инфраструктуры рынка ценных бумаг. Немаловажной задачей является организация и повышение уровня корпоративного управления в акционерных обществах (в т.ч. в акционерных обществах с государственной долей участия, в приоритетных отраслях экономики), а также постоянное повышение профессионального и образовательного уровня населения и эмитентов, профессиональных участников рынка ценных бумаг для более активного участия на финансовом рынке.</w:t>
      </w:r>
    </w:p>
    <w:p>
      <w:pPr>
        <w:spacing w:after="120"/>
        <w:jc w:val="both"/>
      </w:pPr>
      <w:r>
        <w:rPr>
          <w:rFonts w:ascii="Arial" w:cs="Arial" w:eastAsia="Arial" w:hAnsi="Arial"/>
          <w:sz w:val="24"/>
          <w:szCs w:val="24"/>
        </w:rPr>
        <w:t xml:space="preserve">По состоянию на 10 апреля 2012 года, профессиональную деятельность на рынке ценных бумаг Кыргызской Республики осуществляют 67 юридических лиц, которым выдано 86 лицензий по следующим видам деятельности. Наибольшее количество лицензий выдано по доверительному управлению ценными бумагами (21), на осуществление дилерской деятельности (17) и брокерской деятельности (15), а также на другие виды профессиональной деятельности на рынке ценных бумаг Кыргызской Республики.</w:t>
      </w:r>
    </w:p>
    <w:p>
      <w:pPr>
        <w:spacing w:after="120"/>
        <w:jc w:val="both"/>
      </w:pPr>
      <w:r>
        <w:rPr>
          <w:rFonts w:ascii="Arial" w:cs="Arial" w:eastAsia="Arial" w:hAnsi="Arial"/>
          <w:sz w:val="24"/>
          <w:szCs w:val="24"/>
        </w:rPr>
        <w:t xml:space="preserve">За период с 1 января по 31 марта 2012 года объем торгов с ценными бумагами на торговой площадке ЗАО "Кыргызская фондовая биржа" составил 168,7 млн. сомов, что на 8,2% больше объема торгов за аналогичный период 2011 года (155,9 млн. сомов). Торги с ценными бумагами осуществлялись на торговых площадках 2 фондовых бирж, ЗАО "Кыргызская фондовая биржа" и ЗАО "Фондовая биржа Кыргызстана - БТС".</w:t>
      </w:r>
    </w:p>
    <w:p>
      <w:pPr>
        <w:spacing w:after="120"/>
        <w:jc w:val="both"/>
      </w:pPr>
      <w:r>
        <w:rPr>
          <w:rFonts w:ascii="Arial" w:cs="Arial" w:eastAsia="Arial" w:hAnsi="Arial"/>
          <w:sz w:val="24"/>
          <w:szCs w:val="24"/>
        </w:rPr>
        <w:t xml:space="preserve">Количество заключенных сделок с ценными бумагами за отчетный период составило 389, или 85,1% от количества сделок за аналогичный период прошлого года (457).</w:t>
      </w:r>
    </w:p>
    <w:p>
      <w:pPr>
        <w:spacing w:after="120"/>
        <w:jc w:val="both"/>
      </w:pPr>
      <w:r>
        <w:rPr>
          <w:rFonts w:ascii="Arial" w:cs="Arial" w:eastAsia="Arial" w:hAnsi="Arial"/>
          <w:sz w:val="24"/>
          <w:szCs w:val="24"/>
        </w:rPr>
        <w:t xml:space="preserve">Анализ сделок на первичном и вторичном рынках показывает, что за 1 квартал 2012 года в структуре объема торгов преобладает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115,2 млн. сомов, или 68,3% от общего объема биржевых торгов. 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53,5 млн. сомов, или 31,7% от общего объема биржевых торгов.</w:t>
      </w:r>
    </w:p>
    <w:p>
      <w:pPr>
        <w:spacing w:after="120"/>
        <w:jc w:val="both"/>
      </w:pPr>
      <w:r>
        <w:rPr>
          <w:rFonts w:ascii="Arial" w:cs="Arial" w:eastAsia="Arial" w:hAnsi="Arial"/>
          <w:sz w:val="24"/>
          <w:szCs w:val="24"/>
        </w:rPr>
        <w:t xml:space="preserve">По состоянию на 01.04.2012 года, зарегистрировано всего 2638 выпусков ценных бумаг эмитентов Кыргызской Республики. Общий объем эмиссии составил 62110,7 млн. сомов, в том числе акций на сумму 61431,4 млн. сомов, облигаций - на сумму 578,3 млн. сомов и инвестиционных паев - на сумму 101 млн. сомов.</w:t>
      </w:r>
    </w:p>
    <w:p>
      <w:pPr>
        <w:spacing w:after="120"/>
        <w:jc w:val="both"/>
      </w:pPr>
      <w:r>
        <w:rPr>
          <w:rFonts w:ascii="Arial" w:cs="Arial" w:eastAsia="Arial" w:hAnsi="Arial"/>
          <w:sz w:val="24"/>
          <w:szCs w:val="24"/>
        </w:rPr>
        <w:t xml:space="preserve">За период с 01.01.2012 г. по 31.03.2012 года зарегистрировано всего 11 выпусков ценных бумаг на сумму 812,4 млн. сомов, что на 710,5 млн. сомов больше за аналогичный период 2011 года (6 выпусков ценных бумаг на сумму 101,9 млн. сомов).</w:t>
      </w:r>
    </w:p>
    <w:p>
      <w:pPr>
        <w:spacing w:after="120"/>
        <w:jc w:val="both"/>
      </w:pPr>
      <w:r>
        <w:rPr>
          <w:rFonts w:ascii="Arial" w:cs="Arial" w:eastAsia="Arial" w:hAnsi="Arial"/>
          <w:sz w:val="24"/>
          <w:szCs w:val="24"/>
        </w:rPr>
        <w:t xml:space="preserve">За отчетный период на Кыргызской фондовой бирже совершены 204 сделки с корпоративными облигациями ЗАО "Шоро" и ОсОО "Росказмет" на сумму 26,3 млн. сомов (за аналогичный период 2011 года на Кыргызской фондовой бирже совершены 50 сделок с корпоративными облигациями ОсОО "Росказмет" на сумму 15,9 млн. сомов).</w:t>
      </w:r>
    </w:p>
    <w:p>
      <w:pPr>
        <w:spacing w:after="120"/>
        <w:jc w:val="both"/>
      </w:pPr>
      <w:r>
        <w:rPr>
          <w:rFonts w:ascii="Arial" w:cs="Arial" w:eastAsia="Arial" w:hAnsi="Arial"/>
          <w:sz w:val="24"/>
          <w:szCs w:val="24"/>
        </w:rPr>
        <w:t xml:space="preserve">За январь-март 2012 года объем иностранных инвестиций в корпоративные ценные бумаги эмитентов Кыргызской Республики составил 739,8 млн. сомов, из них инвестиции на 649,3 млн. сомов - из стран дальнего зарубежья, 90,5 млн. сомов - из стран СНГ (за аналогичный период 2011 года объем иностранных инвестиций составил 75 тыс. сомов).</w:t>
      </w:r>
    </w:p>
    <w:p>
      <w:pPr>
        <w:spacing w:after="120"/>
        <w:jc w:val="both"/>
      </w:pPr>
      <w:r>
        <w:rPr>
          <w:rFonts w:ascii="Arial" w:cs="Arial" w:eastAsia="Arial" w:hAnsi="Arial"/>
          <w:sz w:val="24"/>
          <w:szCs w:val="24"/>
        </w:rPr>
        <w:t xml:space="preserve">Для достижения позитивных тенденций на фондовом рынке необходимо:</w:t>
      </w:r>
    </w:p>
    <w:p>
      <w:pPr>
        <w:spacing w:after="120"/>
        <w:jc w:val="both"/>
      </w:pPr>
      <w:r>
        <w:rPr>
          <w:rFonts w:ascii="Arial" w:cs="Arial" w:eastAsia="Arial" w:hAnsi="Arial"/>
          <w:sz w:val="24"/>
          <w:szCs w:val="24"/>
        </w:rPr>
        <w:t xml:space="preserve">- внедрение новых финансовых инструментов на рынке ценных бумаг Кыргызской Республики;</w:t>
      </w:r>
    </w:p>
    <w:p>
      <w:pPr>
        <w:spacing w:after="120"/>
        <w:jc w:val="both"/>
      </w:pPr>
      <w:r>
        <w:rPr>
          <w:rFonts w:ascii="Arial" w:cs="Arial" w:eastAsia="Arial" w:hAnsi="Arial"/>
          <w:sz w:val="24"/>
          <w:szCs w:val="24"/>
        </w:rPr>
        <w:t xml:space="preserve">- обеспечение прозрачности и доступности информации на рынке ценных бумаг для более активного участия населения на фондовом рынке;</w:t>
      </w:r>
    </w:p>
    <w:p>
      <w:pPr>
        <w:spacing w:after="120"/>
        <w:jc w:val="both"/>
      </w:pPr>
      <w:r>
        <w:rPr>
          <w:rFonts w:ascii="Arial" w:cs="Arial" w:eastAsia="Arial" w:hAnsi="Arial"/>
          <w:sz w:val="24"/>
          <w:szCs w:val="24"/>
        </w:rPr>
        <w:t xml:space="preserve">- стабилизация фондового рынка путем создания единой торговой площадки и единого депозитария;</w:t>
      </w:r>
    </w:p>
    <w:p>
      <w:pPr>
        <w:spacing w:after="120"/>
        <w:jc w:val="both"/>
      </w:pPr>
      <w:r>
        <w:rPr>
          <w:rFonts w:ascii="Arial" w:cs="Arial" w:eastAsia="Arial" w:hAnsi="Arial"/>
          <w:sz w:val="24"/>
          <w:szCs w:val="24"/>
        </w:rPr>
        <w:t xml:space="preserve">- перевод обращения государственных ценных бумаг на торговую площадку фондовой биржи.</w:t>
      </w:r>
    </w:p>
    <w:p>
      <w:pPr>
        <w:spacing w:after="120"/>
        <w:jc w:val="both"/>
      </w:pPr>
      <w:r>
        <w:rPr>
          <w:rFonts w:ascii="Arial" w:cs="Arial" w:eastAsia="Arial" w:hAnsi="Arial"/>
          <w:sz w:val="24"/>
          <w:szCs w:val="24"/>
        </w:rPr>
        <w:t xml:space="preserve">Страховой рынок. Основной целью развития страхового дела является разработка и реализация мер по удовлетворению потребностей в страховой защите граждан, юридических лиц, государства и аккумулирование долгосрочных инвестиционных ресурсов для развития экономики государства.</w:t>
      </w:r>
    </w:p>
    <w:p>
      <w:pPr>
        <w:spacing w:after="120"/>
        <w:jc w:val="both"/>
      </w:pPr>
      <w:r>
        <w:rPr>
          <w:rFonts w:ascii="Arial" w:cs="Arial" w:eastAsia="Arial" w:hAnsi="Arial"/>
          <w:sz w:val="24"/>
          <w:szCs w:val="24"/>
        </w:rPr>
        <w:t xml:space="preserve">По состоянию на 1 апреля 2012 года, в Кыргызской Республике осуществляют деятельность 15 страховых организаций, включая две перестраховочные организации ("Страховой резерв" и "Фаворит"), а также 5 компаний с участием нерезидентов (САОЗТ "Кыргызинстрах", ЗАО СК "Росстрах-Кыргызстан", ЗАО "Лондон-Бишкек", ЗАО "Страховой резерв", ЗАО Дочерняя организация "Нефтяная СК"). В основном, страховой бизнес сосредоточен в столице (14 компаний) и только одна страховая компания действует в гор. Джалал-Абад (СК "Дос-Инвест").</w:t>
      </w:r>
    </w:p>
    <w:p>
      <w:pPr>
        <w:spacing w:after="120"/>
        <w:jc w:val="both"/>
      </w:pPr>
      <w:r>
        <w:rPr>
          <w:rFonts w:ascii="Arial" w:cs="Arial" w:eastAsia="Arial" w:hAnsi="Arial"/>
          <w:sz w:val="24"/>
          <w:szCs w:val="24"/>
        </w:rPr>
        <w:t xml:space="preserve">Совокупные активы страховых организаций, по состоянию на 01.03.2012 года, составили 1117,3 млн. сомов и по сравнению с данными по состоянию на 01.03.2011 года совокупные активы увеличились на 34,5%. Совокупный собственный капитал страховых организаций, по состоянию на 01.03.2012 года, составил 897,2 млн. сомов, который увеличился по сравнению с 01.03.2011 года на 57,6%. Обязательства, по состоянию на 01.03.2012 года, увеличились на 86,4% и составили 162,4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на 01.03.2012 года составил 103,7 млн. сомов, и увеличился на 33,8%.</w:t>
      </w:r>
    </w:p>
    <w:p>
      <w:pPr>
        <w:spacing w:after="120"/>
        <w:jc w:val="both"/>
      </w:pPr>
      <w:r>
        <w:rPr>
          <w:rFonts w:ascii="Arial" w:cs="Arial" w:eastAsia="Arial" w:hAnsi="Arial"/>
          <w:sz w:val="24"/>
          <w:szCs w:val="24"/>
        </w:rPr>
        <w:t xml:space="preserve">За январь-март 2012 года объем страховых премий составил 78,0 млн. сомов и по сравнению с январем-мартом 2011 года увеличился на 9,1%. Основную долю страховой премии за январь-март 2012 года занимает имущественное страхование, где на него приходится 47,1% от общей суммы страховой премии, страхование ответственности - 20,0%, личное страхование 21,4%, обязательное страхование гражданской ответственности - 11,5%.</w:t>
      </w:r>
    </w:p>
    <w:p>
      <w:pPr>
        <w:spacing w:after="120"/>
        <w:jc w:val="both"/>
      </w:pPr>
      <w:r>
        <w:rPr>
          <w:rFonts w:ascii="Arial" w:cs="Arial" w:eastAsia="Arial" w:hAnsi="Arial"/>
          <w:sz w:val="24"/>
          <w:szCs w:val="24"/>
        </w:rPr>
        <w:t xml:space="preserve">За отчетный период объем страховых выплат в целом по республике составил 9,0 млн. сомов и по сравнению с январем-мартом 2011 года увеличился на 7,1%. Страховыми организациями было охвачено более 165 хозяйствующих субъектов.</w:t>
      </w:r>
    </w:p>
    <w:p>
      <w:pPr>
        <w:spacing w:after="120"/>
        <w:jc w:val="both"/>
      </w:pPr>
      <w:r>
        <w:rPr>
          <w:rFonts w:ascii="Arial" w:cs="Arial" w:eastAsia="Arial" w:hAnsi="Arial"/>
          <w:sz w:val="24"/>
          <w:szCs w:val="24"/>
        </w:rPr>
        <w:t xml:space="preserve">Негосударственный пенсионный фонд. В настоящее время на рынке действует один негосударственный пенсионный фонд - НПФ "Кыргызстан", который осуществляет свою деятельность с 1995 года, аккумулирует пенсионные активы и передает их компании по управлению активами ОсОО "Интер-Бишкек" для их дальнейшего инвестирования и приращения.</w:t>
      </w:r>
    </w:p>
    <w:p>
      <w:pPr>
        <w:spacing w:after="120"/>
        <w:jc w:val="both"/>
      </w:pPr>
      <w:r>
        <w:rPr>
          <w:rFonts w:ascii="Arial" w:cs="Arial" w:eastAsia="Arial" w:hAnsi="Arial"/>
          <w:sz w:val="24"/>
          <w:szCs w:val="24"/>
        </w:rPr>
        <w:t xml:space="preserve">Основным видом деятельности НПФ "Кыргызстан" является дополнительное добровольное пенсионное обеспечение граждан на основе пенсионных договоров. Согласно представленным НПФ "Кыргызстан" сведениям, на 01.04.2012 г. пенсионные активы составили 23279,8 тыс. сомов, что на 9,8% больше показателей на начало года.</w:t>
      </w:r>
    </w:p>
    <w:p>
      <w:pPr>
        <w:spacing w:after="120"/>
        <w:jc w:val="both"/>
      </w:pPr>
      <w:r>
        <w:rPr>
          <w:rFonts w:ascii="Arial" w:cs="Arial" w:eastAsia="Arial" w:hAnsi="Arial"/>
          <w:sz w:val="24"/>
          <w:szCs w:val="24"/>
        </w:rPr>
        <w:t xml:space="preserve">Учитывая специфическую роль и перспективы накопительного пенсионного обеспечения, необходимо создание условий для развития накопительной пенсионной системы, которое предполагает возможность получения высоких размеров пенсий при выходе на пенсию, повышение доли сбережений в экономике и экономический рост за счет инвестиций пенсионных активов, выпуска среднесрочных и долгосрочных государственных ценных бумаг. Обладая рыночными свойствами капитала, накопление пенсионных средств послужит толчком к развитию финансового рынка, будет способствовать росту долгосрочных инвестиций и стимулировать создание финансовых учреждений (управляющие компании, банки), которые необходимы для экономического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23 июня 2011 года N 54", в котором определен порядок утверждения Программы приватизации государственного имущества Жогорку Кенешем Кыргызской Республики, разработан проект Программы приватизации государственной собственности в Кыргызской Республике на 2012-2014 годы, который одобрен постановлением Правительства Кыргызской Республики от 22 февраля 2012 года N 143 и направлен на рассмотрение Жогорку Кенеша Кыргызской Республики.</w:t>
      </w:r>
    </w:p>
    <w:p>
      <w:pPr>
        <w:spacing w:after="120"/>
        <w:jc w:val="both"/>
      </w:pPr>
      <w:r>
        <w:rPr>
          <w:rFonts w:ascii="Arial" w:cs="Arial" w:eastAsia="Arial" w:hAnsi="Arial"/>
          <w:sz w:val="24"/>
          <w:szCs w:val="24"/>
        </w:rPr>
        <w:t xml:space="preserve">В проект Программы перешли объекты, оставшиеся не реализованными по предыдущей Программе, а также ряд новых объектов - непрофильные активы, предложенные к приватизации отраслевыми министерствами и ведомствами.</w:t>
      </w:r>
    </w:p>
    <w:p>
      <w:pPr>
        <w:spacing w:after="120"/>
        <w:jc w:val="both"/>
      </w:pPr>
      <w:r>
        <w:rPr>
          <w:rFonts w:ascii="Arial" w:cs="Arial" w:eastAsia="Arial" w:hAnsi="Arial"/>
          <w:sz w:val="24"/>
          <w:szCs w:val="24"/>
        </w:rPr>
        <w:t xml:space="preserve">В данной Программе содержится перечень объектов организаций и объектов, находящихся в госсобственности и не подлежащих приватизации, список объектов, приватизация которых осуществляется путем продажи государственного пакета акций и госдоли в установленном порядке и перечень объектов,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В соответствии с Планом мероприятий на 2012 год по реализации Программы Правительства Кыргызской Республики "Стабильная и достойная жизнь" образовано Управление учета и инвентаризации, которым проводятся работы по подготовке инвентаризации и реестра государственного имущества. На сегодняшний день имеется информация по имуществу 38 государственных органов, в бумажном формате.</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составило 34,6 млн. сомов, в т.ч.:</w:t>
      </w:r>
    </w:p>
    <w:p>
      <w:pPr>
        <w:spacing w:after="120"/>
        <w:jc w:val="both"/>
      </w:pPr>
      <w:r>
        <w:rPr>
          <w:rFonts w:ascii="Arial" w:cs="Arial" w:eastAsia="Arial" w:hAnsi="Arial"/>
          <w:sz w:val="24"/>
          <w:szCs w:val="24"/>
        </w:rPr>
        <w:t xml:space="preserve">- от приватизации госсобственности - 0,0 млн. сомов;</w:t>
      </w:r>
    </w:p>
    <w:p>
      <w:pPr>
        <w:spacing w:after="120"/>
        <w:jc w:val="both"/>
      </w:pPr>
      <w:r>
        <w:rPr>
          <w:rFonts w:ascii="Arial" w:cs="Arial" w:eastAsia="Arial" w:hAnsi="Arial"/>
          <w:sz w:val="24"/>
          <w:szCs w:val="24"/>
        </w:rPr>
        <w:t xml:space="preserve">- дивидендов - 0,0 млн. сомов;</w:t>
      </w:r>
    </w:p>
    <w:p>
      <w:pPr>
        <w:spacing w:after="120"/>
        <w:jc w:val="both"/>
      </w:pPr>
      <w:r>
        <w:rPr>
          <w:rFonts w:ascii="Arial" w:cs="Arial" w:eastAsia="Arial" w:hAnsi="Arial"/>
          <w:sz w:val="24"/>
          <w:szCs w:val="24"/>
        </w:rPr>
        <w:t xml:space="preserve">- от сдачи в аренду государственного имущества - 3,9 млн. сомов;</w:t>
      </w:r>
    </w:p>
    <w:p>
      <w:pPr>
        <w:spacing w:after="120"/>
        <w:jc w:val="both"/>
      </w:pPr>
      <w:r>
        <w:rPr>
          <w:rFonts w:ascii="Arial" w:cs="Arial" w:eastAsia="Arial" w:hAnsi="Arial"/>
          <w:sz w:val="24"/>
          <w:szCs w:val="24"/>
        </w:rPr>
        <w:t xml:space="preserve">- от прибыли госпредприятий не менее 50% - 28,5 млн. сомов;</w:t>
      </w:r>
    </w:p>
    <w:p>
      <w:pPr>
        <w:spacing w:after="120"/>
        <w:jc w:val="both"/>
      </w:pPr>
      <w:r>
        <w:rPr>
          <w:rFonts w:ascii="Arial" w:cs="Arial" w:eastAsia="Arial" w:hAnsi="Arial"/>
          <w:sz w:val="24"/>
          <w:szCs w:val="24"/>
        </w:rPr>
        <w:t xml:space="preserve">- проценты по субординированному займу - 2,2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национализированными объектами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N 941-V, были проведены аукционы по реализации 4-х национализированных объектов. Проведен анализ национализированных объектов и разработан проект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N 941-V", который предусматривает включение некоторых национализированных объектов в Перечень объектов, подлежащих приватизации. Данный проект одобрен постановлением Правительства Кыргызской Республики от 22 марта 2012 года N 189 и направлен на утверждение Жогорку Кенеша Кыргызской Республики.</w:t>
      </w:r>
    </w:p>
    <w:p>
      <w:pPr>
        <w:spacing w:after="120"/>
        <w:jc w:val="both"/>
      </w:pPr>
      <w:r>
        <w:rPr>
          <w:rFonts w:ascii="Arial" w:cs="Arial" w:eastAsia="Arial" w:hAnsi="Arial"/>
          <w:sz w:val="24"/>
          <w:szCs w:val="24"/>
        </w:rPr>
        <w:t xml:space="preserve">Разработан график приватизации национализированных объектов на 2012 год, утвержденный приказом Фонда по управлению государственным имуществом при Правительстве Кыргызской Республики от 2 февраля 2012 года N 4-п, и отдельный график приватизации 49% акций ЗАО "Альфа Телеком".</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6.1. Социальная защита. 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апреля 2012 года, составляет 445,3 тыс. чел., из них: получатели ежемесячных пособий малообеспеченным семьям, имеющим детей (ЕПМС), - 374,6 тыс. чел. или 6,7% от постоянного населения; получатели ежемесячных социальных пособий (ЕСП) - 70,7 тыс. чел. или 1,3% от постоянного населения.</w:t>
      </w:r>
    </w:p>
    <w:p>
      <w:pPr>
        <w:spacing w:after="120"/>
        <w:jc w:val="both"/>
      </w:pPr>
      <w:r>
        <w:rPr>
          <w:rFonts w:ascii="Arial" w:cs="Arial" w:eastAsia="Arial" w:hAnsi="Arial"/>
          <w:sz w:val="24"/>
          <w:szCs w:val="24"/>
        </w:rPr>
        <w:t xml:space="preserve">В целом по республике на 01.04.2012 года средний размер ЕПМС увеличился на 25,1% и составил 304,0 сомов, ЕСП - на 33,4% и составил 1992,5 сома.</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апреля 2012 года, средняя численность получателей ежемесячных денежных компенсаций взамен льгот составляет 55,4 тыс. чел., что на 3,5% (1,9 тыс. чел.) больше аналогичного периода 2012 года, что связано с ростом численности инвалидов по слуху и зрению.</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01.04.2012 года, стипендии в среднем получили 2,4 тыс. чел. на общую сумму 21,6 млн. сомов. Численность получателей по сравнению с аналогичным периодом 2011 года сократилась на 20,0%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апреля 2012 года общая численность получателей пособий по беременности и родам, пособий на погребение составила 6,7 тыс. чел. Сумма начисленных пособий составила 41,7 млн. сомов, что на 51,6% (14,2 млн. сомов) больше аналогичного периода прошлого года.</w:t>
      </w:r>
    </w:p>
    <w:p>
      <w:pPr>
        <w:spacing w:after="120"/>
        <w:jc w:val="both"/>
      </w:pPr>
      <w:r>
        <w:rPr>
          <w:rFonts w:ascii="Arial" w:cs="Arial" w:eastAsia="Arial" w:hAnsi="Arial"/>
          <w:sz w:val="24"/>
          <w:szCs w:val="24"/>
        </w:rPr>
        <w:t xml:space="preserve">Пособие по беременности и родам выплачено 6248 чел. на сумму 40,9 млн. сомов, пособие на погребение - 511 чел. на сумму 0,729 млн. сомов. Средний размер пособия по беременности и родам увеличился на 44,9% и составил 1637 сомов, пособия на погребение - на 11,1% и составил 1428 сомов.</w:t>
      </w:r>
    </w:p>
    <w:p>
      <w:pPr>
        <w:spacing w:after="120"/>
        <w:jc w:val="both"/>
      </w:pPr>
      <w:r>
        <w:rPr>
          <w:rFonts w:ascii="Arial" w:cs="Arial" w:eastAsia="Arial" w:hAnsi="Arial"/>
          <w:sz w:val="24"/>
          <w:szCs w:val="24"/>
        </w:rPr>
        <w:t xml:space="preserve">По состоянию на 10.04.2012 года(15), семьям погибших и пропавших граждан в результате трагических событий 2010 года выделена единовременная материальная помощь (ЕМП) в размере 1,0 млн. сомов. Всего такую помощь получили 525 семей на общую сумму 525,0 млн. сомов.</w:t>
      </w:r>
    </w:p>
    <w:p>
      <w:pPr>
        <w:spacing w:after="120"/>
        <w:jc w:val="both"/>
      </w:pPr>
      <w:r>
        <w:rPr>
          <w:rFonts w:ascii="Arial" w:cs="Arial" w:eastAsia="Arial" w:hAnsi="Arial"/>
          <w:sz w:val="24"/>
          <w:szCs w:val="24"/>
        </w:rPr>
        <w:t xml:space="preserve">Единовременное денежное пособие (ЕДП) в размере 20,0 тыс. сомов выделено 412 семьям погибших на общую сумму 8,2 млн. сомов. Единовременная материальная помощь (ЕМП) в размере от 50,0 до 100,0 тыс. сомов выделена 2179 пострадавшим на общую сумму 125,3 млн. сомов.</w:t>
      </w:r>
    </w:p>
    <w:p>
      <w:pPr>
        <w:spacing w:after="120"/>
        <w:jc w:val="both"/>
      </w:pPr>
      <w:r>
        <w:rPr>
          <w:rFonts w:ascii="Arial" w:cs="Arial" w:eastAsia="Arial" w:hAnsi="Arial"/>
          <w:sz w:val="24"/>
          <w:szCs w:val="24"/>
        </w:rPr>
        <w:t xml:space="preserve">Членам семей погибших, а также пострадавшим гражданам, выплачены дополнительные ежемесячные социальные пособия (ДЕСП) в размере 3700 сомов. Всего на выплату ДЕСП по апрельским, майским и июньским событиям 2010 года из средств республиканского бюджета выделено 52,3 млн. сомов (814 чел.).</w:t>
      </w:r>
    </w:p>
    <w:p>
      <w:pPr>
        <w:spacing w:after="120"/>
        <w:jc w:val="both"/>
      </w:pPr>
      <w:r>
        <w:rPr>
          <w:rFonts w:ascii="Arial" w:cs="Arial" w:eastAsia="Arial" w:hAnsi="Arial"/>
          <w:sz w:val="24"/>
          <w:szCs w:val="24"/>
        </w:rPr>
        <w:t xml:space="preserve">Социальное обслуживание. В республике функционируют 15 домов-интернатов, из которых 14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2313 подопечных, в том числе престарелых и ЛОВЗ - 793, с психоневрологическим диагнозом - 1119 взрослых и 401 ребенок.</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53,6 млн. сомов, что на 39,2% (15,1 млн. сомов) больше аналогичного периода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социальной сферы за январь-март 2012 года(16)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│N│      Наименование показателя     │Ед. изм.│Январь-│Январь-│Отклон.│</w:t>
      </w:r>
    </w:p>
    <w:p>
      <w:pPr>
        <w:spacing w:after="120"/>
        <w:jc w:val="center"/>
      </w:pPr>
      <w:r>
        <w:rPr>
          <w:rFonts w:ascii="Arial" w:cs="Arial" w:eastAsia="Arial" w:hAnsi="Arial"/>
          <w:sz w:val="24"/>
          <w:szCs w:val="24"/>
        </w:rPr>
        <w:t xml:space="preserve">│ │                                  │        │ март  │ март  │ (+,-) │</w:t>
      </w:r>
    </w:p>
    <w:p>
      <w:pPr>
        <w:spacing w:after="120"/>
        <w:jc w:val="center"/>
      </w:pPr>
      <w:r>
        <w:rPr>
          <w:rFonts w:ascii="Arial" w:cs="Arial" w:eastAsia="Arial" w:hAnsi="Arial"/>
          <w:sz w:val="24"/>
          <w:szCs w:val="24"/>
        </w:rPr>
        <w:t xml:space="preserve">│ │                                  │        │2011 г.│2012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│1│Среднемесячный размер номинальной │сомов   │ 7350,0│10127,0│ 2777,0│</w:t>
      </w:r>
    </w:p>
    <w:p>
      <w:pPr>
        <w:spacing w:after="120"/>
        <w:jc w:val="center"/>
      </w:pPr>
      <w:r>
        <w:rPr>
          <w:rFonts w:ascii="Arial" w:cs="Arial" w:eastAsia="Arial" w:hAnsi="Arial"/>
          <w:sz w:val="24"/>
          <w:szCs w:val="24"/>
        </w:rPr>
        <w:t xml:space="preserve">│ │заработной платы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│2│Прожиточный минимум               │сом/ме- │ 4411,3│ 4229,5│ -182  │</w:t>
      </w:r>
    </w:p>
    <w:p>
      <w:pPr>
        <w:spacing w:after="120"/>
        <w:jc w:val="center"/>
      </w:pPr>
      <w:r>
        <w:rPr>
          <w:rFonts w:ascii="Arial" w:cs="Arial" w:eastAsia="Arial" w:hAnsi="Arial"/>
          <w:sz w:val="24"/>
          <w:szCs w:val="24"/>
        </w:rPr>
        <w:t xml:space="preserve">│ │                                  │сяц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│3│Прожиточный минимум               │сом/ме- │ 4940,5│ 4717,1│ -223,4│</w:t>
      </w:r>
    </w:p>
    <w:p>
      <w:pPr>
        <w:spacing w:after="120"/>
        <w:jc w:val="center"/>
      </w:pPr>
      <w:r>
        <w:rPr>
          <w:rFonts w:ascii="Arial" w:cs="Arial" w:eastAsia="Arial" w:hAnsi="Arial"/>
          <w:sz w:val="24"/>
          <w:szCs w:val="24"/>
        </w:rPr>
        <w:t xml:space="preserve">│ │трудоспособного населения         │сяц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│4│Численность получателей государственных пособий(17)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│ЕПМС                              │тыс.    │  366,0│  374,6│    8,6│</w:t>
      </w:r>
    </w:p>
    <w:p>
      <w:pPr>
        <w:spacing w:after="120"/>
        <w:jc w:val="center"/>
      </w:pPr>
      <w:r>
        <w:rPr>
          <w:rFonts w:ascii="Arial" w:cs="Arial" w:eastAsia="Arial" w:hAnsi="Arial"/>
          <w:sz w:val="24"/>
          <w:szCs w:val="24"/>
        </w:rPr>
        <w:t xml:space="preserve">│ │                                  │чел.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│ЕСП                               │тыс.    │   68,2│   70,7│    2,5│</w:t>
      </w:r>
    </w:p>
    <w:p>
      <w:pPr>
        <w:spacing w:after="120"/>
        <w:jc w:val="center"/>
      </w:pPr>
      <w:r>
        <w:rPr>
          <w:rFonts w:ascii="Arial" w:cs="Arial" w:eastAsia="Arial" w:hAnsi="Arial"/>
          <w:sz w:val="24"/>
          <w:szCs w:val="24"/>
        </w:rPr>
        <w:t xml:space="preserve">│ │                                  │чел.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│5│Средние размеры государственных пособий(18)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│ЕПМС                              │сомов   │  243,0│  304,0│   61,0│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│ЕСП                               │сомов   │ 1493,6│ 1992,5│  498,9│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│6│Соотношение среднего размера государственных пособий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│ЕПМС к прожиточному минимуму на   │   %    │    6,5│    8,4│    1,9│</w:t>
      </w:r>
    </w:p>
    <w:p>
      <w:pPr>
        <w:spacing w:after="120"/>
        <w:jc w:val="center"/>
      </w:pPr>
      <w:r>
        <w:rPr>
          <w:rFonts w:ascii="Arial" w:cs="Arial" w:eastAsia="Arial" w:hAnsi="Arial"/>
          <w:sz w:val="24"/>
          <w:szCs w:val="24"/>
        </w:rPr>
        <w:t xml:space="preserve">│ │детей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│ЕСП к прожиточному минимуму       │   %    │   33,8│   47,1│   13,3│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│7│Финансирование социальных выплат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│Государственные пособия (ЕПМС,    │млн.    │  630,0│  855,9│  225,9│</w:t>
      </w:r>
    </w:p>
    <w:p>
      <w:pPr>
        <w:spacing w:after="120"/>
        <w:jc w:val="center"/>
      </w:pPr>
      <w:r>
        <w:rPr>
          <w:rFonts w:ascii="Arial" w:cs="Arial" w:eastAsia="Arial" w:hAnsi="Arial"/>
          <w:sz w:val="24"/>
          <w:szCs w:val="24"/>
        </w:rPr>
        <w:t xml:space="preserve">│ │ЕСП)                              │сомов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│Денежные компенсации взамен льгот │млн.    │  354,6│  348,2│   -6,4│</w:t>
      </w:r>
    </w:p>
    <w:p>
      <w:pPr>
        <w:spacing w:after="120"/>
        <w:jc w:val="center"/>
      </w:pPr>
      <w:r>
        <w:rPr>
          <w:rFonts w:ascii="Arial" w:cs="Arial" w:eastAsia="Arial" w:hAnsi="Arial"/>
          <w:sz w:val="24"/>
          <w:szCs w:val="24"/>
        </w:rPr>
        <w:t xml:space="preserve">│ │                                  │сомов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январе-марте 2012 года (без учета малых предприятий) составила 10127,0 сомов. По сравнению с январем-мартом 2011 года увеличилась на 37,8%, а ее реальный размер, исчисленный с учетом индекса потребительских цен, возрос на 35,0%. Рост заработной платы в январе-марте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Увеличение размера заработной платы в январе-марте 2012 года по сравнению с соответствующим периодом прошлого года наблюдалось во всех видах экономической деятельности, но наиболее значительное - в образовании (на 71,4%) и здравоохранении (в 2,2 раза). В январе-марте 2012 года значительно превысила среднереспубликанский уровень заработная плата работников финансовой деятельности, транспорта и связи,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марта 2012 года по сравнению с аналогичной датой 2011 года увеличилась на 1,5%, а по сравнению с аналогичной датой предыдущего месяца - на 0,8%.</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прошлого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2%).</w:t>
      </w:r>
    </w:p>
    <w:p>
      <w:pPr>
        <w:spacing w:after="120"/>
        <w:jc w:val="both"/>
      </w:pPr>
      <w:r>
        <w:rPr>
          <w:rFonts w:ascii="Arial" w:cs="Arial" w:eastAsia="Arial" w:hAnsi="Arial"/>
          <w:sz w:val="24"/>
          <w:szCs w:val="24"/>
        </w:rPr>
        <w:t xml:space="preserve">Социальное обслуживание пенсионеров. Всего общая сумма доходов Социального фонда за январь-март 2012 года, по предварительным итогам, составила 6834,7 млн. сомов, что на 43,6% больше по сравнению с соответствующим периодом 2011 года.</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24 марта 2012 года N 100, в целях оказания государственной поддержки животноводам Нарынской, Ошской и Джалал-Абадской областей, пострадавшим от обильных снегопадов, в марте т.г. профинансированы пенсии и иные социальные выплаты за апрель и май 2012 года в сумме 323,1 млн. сомов.</w:t>
      </w:r>
    </w:p>
    <w:p>
      <w:pPr>
        <w:spacing w:after="120"/>
        <w:jc w:val="both"/>
      </w:pPr>
      <w:r>
        <w:rPr>
          <w:rFonts w:ascii="Arial" w:cs="Arial" w:eastAsia="Arial" w:hAnsi="Arial"/>
          <w:sz w:val="24"/>
          <w:szCs w:val="24"/>
        </w:rPr>
        <w:t xml:space="preserve">За 1 квартал 2012 года Фонд обязательного медицинского страхования профинансирован в сумме 97,5 млн. сомов, а Фонд оздоровления трудящихся - в сумме 8,9 млн. сомов.</w:t>
      </w:r>
    </w:p>
    <w:p>
      <w:pPr>
        <w:spacing w:after="120"/>
        <w:jc w:val="both"/>
      </w:pPr>
      <w:r>
        <w:rPr>
          <w:rFonts w:ascii="Arial" w:cs="Arial" w:eastAsia="Arial" w:hAnsi="Arial"/>
          <w:sz w:val="24"/>
          <w:szCs w:val="24"/>
        </w:rPr>
        <w:t xml:space="preserve">На 1 января 2012 года численность пенсионеров по республике составила 545861 чел., что на 15699 чел. больше по сравнению с 2011 годом, а численность работающих составила 1183537 чел. Таким образом, соотношение работающих и пенсионеров составляет 2,17/1.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пенсионного обеспечения за 1 квартал 2011-2012 гг.(19)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│N│  Наименование показателя │ Ед. изм.│ Январь- │  Январь-  │  Откл. │</w:t>
      </w:r>
    </w:p>
    <w:p>
      <w:pPr>
        <w:spacing w:after="120"/>
        <w:jc w:val="center"/>
      </w:pPr>
      <w:r>
        <w:rPr>
          <w:rFonts w:ascii="Arial" w:cs="Arial" w:eastAsia="Arial" w:hAnsi="Arial"/>
          <w:sz w:val="24"/>
          <w:szCs w:val="24"/>
        </w:rPr>
        <w:t xml:space="preserve">│ │                          │         │  март   │   март    │от факт.│</w:t>
      </w:r>
    </w:p>
    <w:p>
      <w:pPr>
        <w:spacing w:after="120"/>
        <w:jc w:val="center"/>
      </w:pPr>
      <w:r>
        <w:rPr>
          <w:rFonts w:ascii="Arial" w:cs="Arial" w:eastAsia="Arial" w:hAnsi="Arial"/>
          <w:sz w:val="24"/>
          <w:szCs w:val="24"/>
        </w:rPr>
        <w:t xml:space="preserve">│ │                          │         │ 2011 г. │  2012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│1│Всего доходов:            │млн.сомов│   4760,5│    6834,7 │  2074,2│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│Поступления страховых     │млн.сомов│   2827,5│    4038,0 │  1210,5│</w:t>
      </w:r>
    </w:p>
    <w:p>
      <w:pPr>
        <w:spacing w:after="120"/>
        <w:jc w:val="center"/>
      </w:pPr>
      <w:r>
        <w:rPr>
          <w:rFonts w:ascii="Arial" w:cs="Arial" w:eastAsia="Arial" w:hAnsi="Arial"/>
          <w:sz w:val="24"/>
          <w:szCs w:val="24"/>
        </w:rPr>
        <w:t xml:space="preserve">│ │взносов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│Поступления из            │млн.сомов│   1897,2│    2720,3 │   823,1│</w:t>
      </w:r>
    </w:p>
    <w:p>
      <w:pPr>
        <w:spacing w:after="120"/>
        <w:jc w:val="center"/>
      </w:pPr>
      <w:r>
        <w:rPr>
          <w:rFonts w:ascii="Arial" w:cs="Arial" w:eastAsia="Arial" w:hAnsi="Arial"/>
          <w:sz w:val="24"/>
          <w:szCs w:val="24"/>
        </w:rPr>
        <w:t xml:space="preserve">│ │республиканского бюджета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│2│Всего расходов:           │млн.сомов│   4748,5│    7159,8 │  2411,3│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средствам фонда ОМС    │млн.сомов│     63,2│      97,5 │    34,3│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Фонд оздоровления       │млн.сомов│      7,6│       8,9 │     1,3│</w:t>
      </w:r>
    </w:p>
    <w:p>
      <w:pPr>
        <w:spacing w:after="120"/>
        <w:jc w:val="center"/>
      </w:pPr>
      <w:r>
        <w:rPr>
          <w:rFonts w:ascii="Arial" w:cs="Arial" w:eastAsia="Arial" w:hAnsi="Arial"/>
          <w:sz w:val="24"/>
          <w:szCs w:val="24"/>
        </w:rPr>
        <w:t xml:space="preserve">│ │трудящихся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│3│Текущий статус ГНПФ       │млн.сомов│    206,8│     203,8 │    -3,0│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│4│Общее количество          │чел.     │ 530162  │  545861   │ 15699  │</w:t>
      </w:r>
    </w:p>
    <w:p>
      <w:pPr>
        <w:spacing w:after="120"/>
        <w:jc w:val="center"/>
      </w:pPr>
      <w:r>
        <w:rPr>
          <w:rFonts w:ascii="Arial" w:cs="Arial" w:eastAsia="Arial" w:hAnsi="Arial"/>
          <w:sz w:val="24"/>
          <w:szCs w:val="24"/>
        </w:rPr>
        <w:t xml:space="preserve">│ │пенсионеров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│5│Профинансированы и        │млн.сомов│   4476,4│    6679,6 │  2203,2│</w:t>
      </w:r>
    </w:p>
    <w:p>
      <w:pPr>
        <w:spacing w:after="120"/>
        <w:jc w:val="center"/>
      </w:pPr>
      <w:r>
        <w:rPr>
          <w:rFonts w:ascii="Arial" w:cs="Arial" w:eastAsia="Arial" w:hAnsi="Arial"/>
          <w:sz w:val="24"/>
          <w:szCs w:val="24"/>
        </w:rPr>
        <w:t xml:space="preserve">│ │выплачены пенсии и иные   │         │         │           │        │</w:t>
      </w:r>
    </w:p>
    <w:p>
      <w:pPr>
        <w:spacing w:after="120"/>
        <w:jc w:val="center"/>
      </w:pPr>
      <w:r>
        <w:rPr>
          <w:rFonts w:ascii="Arial" w:cs="Arial" w:eastAsia="Arial" w:hAnsi="Arial"/>
          <w:sz w:val="24"/>
          <w:szCs w:val="24"/>
        </w:rPr>
        <w:t xml:space="preserve">│ │соц. выплаты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│6│Среднемесячный размер     │сомов    │   2800,0│ 3760,0(21)│   960  │</w:t>
      </w:r>
    </w:p>
    <w:p>
      <w:pPr>
        <w:spacing w:after="120"/>
        <w:jc w:val="center"/>
      </w:pPr>
      <w:r>
        <w:rPr>
          <w:rFonts w:ascii="Arial" w:cs="Arial" w:eastAsia="Arial" w:hAnsi="Arial"/>
          <w:sz w:val="24"/>
          <w:szCs w:val="24"/>
        </w:rPr>
        <w:t xml:space="preserve">│ │пенсий(20)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│7│Соотношение пенсионеров и │чел.     │   1:1,3 │  1:2,17   │        │</w:t>
      </w:r>
    </w:p>
    <w:p>
      <w:pPr>
        <w:spacing w:after="120"/>
        <w:jc w:val="center"/>
      </w:pPr>
      <w:r>
        <w:rPr>
          <w:rFonts w:ascii="Arial" w:cs="Arial" w:eastAsia="Arial" w:hAnsi="Arial"/>
          <w:sz w:val="24"/>
          <w:szCs w:val="24"/>
        </w:rPr>
        <w:t xml:space="preserve">│ │работающих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│8│Прожиточный минимум       │сомов в  │   3958,7│    3749,2 │   209,5│</w:t>
      </w:r>
    </w:p>
    <w:p>
      <w:pPr>
        <w:spacing w:after="120"/>
        <w:jc w:val="center"/>
      </w:pPr>
      <w:r>
        <w:rPr>
          <w:rFonts w:ascii="Arial" w:cs="Arial" w:eastAsia="Arial" w:hAnsi="Arial"/>
          <w:sz w:val="24"/>
          <w:szCs w:val="24"/>
        </w:rPr>
        <w:t xml:space="preserve">│ │пенсионера(22)            │месяц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 или на 960 сомов.</w:t>
      </w:r>
    </w:p>
    <w:p>
      <w:pPr>
        <w:spacing w:after="120"/>
        <w:jc w:val="both"/>
      </w:pPr>
      <w:r>
        <w:rPr>
          <w:rFonts w:ascii="Arial" w:cs="Arial" w:eastAsia="Arial" w:hAnsi="Arial"/>
          <w:sz w:val="24"/>
          <w:szCs w:val="24"/>
        </w:rPr>
        <w:t xml:space="preserve">Основной задачей является обеспечение достойного уровня пенсионного обеспечения и социальной поддержки пенсионеров. В этой связи в настоящее время приоритетным вопросом является доведение среднего размера пенсии до прожиточного минимума пенсионера.</w:t>
      </w:r>
    </w:p>
    <w:p>
      <w:pPr>
        <w:spacing w:after="120"/>
        <w:jc w:val="both"/>
      </w:pPr>
      <w:r>
        <w:rPr>
          <w:rFonts w:ascii="Arial" w:cs="Arial" w:eastAsia="Arial" w:hAnsi="Arial"/>
          <w:sz w:val="24"/>
          <w:szCs w:val="24"/>
        </w:rPr>
        <w:t xml:space="preserve">В этих целях в соответствии с постановлением Правительства Кыргызской Республики от 23 марта 2012 года N 199 "О повышении страховых частей пенсий с 1 мая 2012 года" с 1 мая 2012 года повышены страховые части пенсий. На данное повышение пенсий в 2012 году в бюджете Социального фонда предусмотрены средства в сумме 1797,0 млн. сомов.</w:t>
      </w:r>
    </w:p>
    <w:p>
      <w:pPr>
        <w:spacing w:after="120"/>
        <w:jc w:val="both"/>
      </w:pPr>
      <w:r>
        <w:rPr>
          <w:rFonts w:ascii="Arial" w:cs="Arial" w:eastAsia="Arial" w:hAnsi="Arial"/>
          <w:sz w:val="24"/>
          <w:szCs w:val="24"/>
        </w:rPr>
        <w:t xml:space="preserve">Повышение страховых частей пенсии в мае т.г. осуществлено как в твердо установленных суммах в размере 150 сомов для низких размеров пенсий и 1500 сомов для высоких, так и в дифференцированных процентных повышениях для пенсий среднего уровня (от 20% до 8%). При этом механизме повышение пенсий в среднем составит 111,0% или 398 сомов, при прогнозируемом уровне инфляции в 106,3%.</w:t>
      </w:r>
    </w:p>
    <w:p>
      <w:pPr>
        <w:spacing w:after="120"/>
        <w:jc w:val="both"/>
      </w:pPr>
      <w:r>
        <w:rPr>
          <w:rFonts w:ascii="Arial" w:cs="Arial" w:eastAsia="Arial" w:hAnsi="Arial"/>
          <w:sz w:val="24"/>
          <w:szCs w:val="24"/>
        </w:rPr>
        <w:t xml:space="preserve">6.2. Рынок труда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естественных и миграционных процессов, численность населения республики в январе-феврале 2012 года увеличилась на 19,3 тыс. чел., или на 0,3%. По оценочным данным, численность постоянного населения на 1 марта 2012 года составила 5571 тыс. чел.</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19,9 тыс. чел., или 21,9 на 1000 населения (20,3 - в январе-феврале 2011 года). В январе-феврале 2012 года родилось 26,7 тыс. детей, или 29,3 на 1000 населения (27,7 - в январе-феврале 2011 года). Умерло 6,8 тыс. человек, или 7,4 на 1000 населения (на уровне аналогичного периода прошлого года). Умерло 500 детей в возрасте до одного года, или 18,7 на 1000 родившихся (20,2 - в январе-феврале 2011 года).</w:t>
      </w:r>
    </w:p>
    <w:p>
      <w:pPr>
        <w:spacing w:after="120"/>
        <w:jc w:val="both"/>
      </w:pPr>
      <w:r>
        <w:rPr>
          <w:rFonts w:ascii="Arial" w:cs="Arial" w:eastAsia="Arial" w:hAnsi="Arial"/>
          <w:sz w:val="24"/>
          <w:szCs w:val="24"/>
        </w:rPr>
        <w:t xml:space="preserve">Демографическая ситуация в январе-феврале 2012 года характеризовалась значительным снижением внешней миграционной активности населения. Так, в январе-феврале 2012 года в республику на постоянное место жительства прибыло 1,1 тыс. чел., выбыло 1,7 тыс. чел., миграционный отток населения составил - 0,6 тыс. чел. (-6,2 тыс. чел. - в январе-феврале 2011 года). По сравнению с январем-февралем 2011 года также значительно сократился объем внутриреспубликанской миграции населения. По-прежнему, наиболее высокая интенсивность выбытия по внешней миграции наблюдалась из Таласской и Чуйской областей (соответственно, 6 и 7 человек на 10 тыс. жителей).</w:t>
      </w:r>
    </w:p>
    <w:p>
      <w:pPr>
        <w:spacing w:after="120"/>
        <w:jc w:val="both"/>
      </w:pPr>
      <w:r>
        <w:rPr>
          <w:rFonts w:ascii="Arial" w:cs="Arial" w:eastAsia="Arial" w:hAnsi="Arial"/>
          <w:sz w:val="24"/>
          <w:szCs w:val="24"/>
        </w:rPr>
        <w:t xml:space="preserve">Занятость населения. В 2010 году экономически активное население по данным НСК Кыргызской Республики составило 2456,0 тыс. чел. Численность занятого населения составила 2243,7 тыс. чел. Уровень экономической активности населения в текущем году составил 64,2% от общей численности населения страны, значительно снизившись по сравнению с аналогичным периодом прошлого года (64,4%). Уровень общей безработицы в 2010 году сложился в размере 8,6%.</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Число обратившихся в службы занятости за 1 квартал т.г. составило 37088 чел., что на 1960 чел., или 5% меньше, чем за аналогичный период 2011 года. Зарегистрировались в службах занятости, как ищущие работу 17478 человека, что на 714 человек, или 4% меньше, чем за аналогичный период 2011 года.</w:t>
      </w:r>
    </w:p>
    <w:p>
      <w:pPr>
        <w:spacing w:after="120"/>
        <w:jc w:val="both"/>
      </w:pPr>
      <w:r>
        <w:rPr>
          <w:rFonts w:ascii="Arial" w:cs="Arial" w:eastAsia="Arial" w:hAnsi="Arial"/>
          <w:sz w:val="24"/>
          <w:szCs w:val="24"/>
        </w:rPr>
        <w:t xml:space="preserve">По состоянию на 1 апреля т.г. в службах занятости состоит на учете 96251 чел., 42% из которых составляет молодежь в возрасте до 29 лет. Имеют официальный статус безработных 61774 чел., что на 3494 чел. меньше, чем за аналогичный период прошлого года. Из числа безработных 51% (31796) составляют женщины, около 19% (12035) являются молодыми людьми до 29 лет.</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за 1 квартал т.г. активными мерами на рынке труда было охвачено 14309 безработных, однако, это меньше на 1499 безработных, или на 9% в сравнении с аналогичным периодом 2011 года.</w:t>
      </w:r>
    </w:p>
    <w:p>
      <w:pPr>
        <w:spacing w:after="120"/>
        <w:jc w:val="both"/>
      </w:pPr>
      <w:r>
        <w:rPr>
          <w:rFonts w:ascii="Arial" w:cs="Arial" w:eastAsia="Arial" w:hAnsi="Arial"/>
          <w:sz w:val="24"/>
          <w:szCs w:val="24"/>
        </w:rPr>
        <w:t xml:space="preserve">На общественные оплачиваемые работы были направлены 3260 человек, что меньше на 957 человек, или 23%, чем в прошлом году.</w:t>
      </w:r>
    </w:p>
    <w:p>
      <w:pPr>
        <w:spacing w:after="120"/>
        <w:jc w:val="both"/>
      </w:pPr>
      <w:r>
        <w:rPr>
          <w:rFonts w:ascii="Arial" w:cs="Arial" w:eastAsia="Arial" w:hAnsi="Arial"/>
          <w:sz w:val="24"/>
          <w:szCs w:val="24"/>
        </w:rPr>
        <w:t xml:space="preserve">Обучение, переобучение востребованным на рынке труда профессиям было предложено 2279 безработным, что на 12% меньше, чем в прошлый период.</w:t>
      </w:r>
    </w:p>
    <w:p>
      <w:pPr>
        <w:spacing w:after="120"/>
        <w:jc w:val="both"/>
      </w:pPr>
      <w:r>
        <w:rPr>
          <w:rFonts w:ascii="Arial" w:cs="Arial" w:eastAsia="Arial" w:hAnsi="Arial"/>
          <w:sz w:val="24"/>
          <w:szCs w:val="24"/>
        </w:rPr>
        <w:t xml:space="preserve">Льготные микрокредиты получили 497 человек, что больше на 43 человека, или на 9%, чем за аналогичный период прошлого года.</w:t>
      </w:r>
    </w:p>
    <w:p>
      <w:pPr>
        <w:spacing w:after="120"/>
        <w:jc w:val="both"/>
      </w:pPr>
      <w:r>
        <w:rPr>
          <w:rFonts w:ascii="Arial" w:cs="Arial" w:eastAsia="Arial" w:hAnsi="Arial"/>
          <w:sz w:val="24"/>
          <w:szCs w:val="24"/>
        </w:rPr>
        <w:t xml:space="preserve">Миграция. В Кыргызстане экспорт рабочей силы является распространенным явлением. По предварительным данным, чистый приток денежных переводов физических лиц за отчетный период составил 176,2 млн. долл.США, что на 14,5% превысило показатель за соответствующий период 2011 года. При этом, как и прежде, подавляющий объем притока денежных средств приходился на Российскую Федерацию и составил 194,6 млн. долл.США (95,3%)(23).</w:t>
      </w:r>
    </w:p>
    <w:p>
      <w:pPr>
        <w:spacing w:after="120"/>
        <w:jc w:val="both"/>
      </w:pPr>
      <w:r>
        <w:rPr>
          <w:rFonts w:ascii="Arial" w:cs="Arial" w:eastAsia="Arial" w:hAnsi="Arial"/>
          <w:sz w:val="24"/>
          <w:szCs w:val="24"/>
        </w:rPr>
        <w:t xml:space="preserve">Кроме того, в рамках Программы Правительства Кыргызской Республики "Стабильность и достойная жизнь", в настоящее время межведомственной рабочей группой осуществляется разработка новой редакции Трудового кодекса. Главная отличительная черта новой версии заключается в том, что трудовые правоотношения будут строиться исключительно на основе контракта, независимо, в государственной, частной, или иной сферах деятельности.</w:t>
      </w:r>
    </w:p>
    <w:p>
      <w:pPr>
        <w:spacing w:after="120"/>
        <w:jc w:val="both"/>
      </w:pPr>
      <w:r>
        <w:rPr>
          <w:rFonts w:ascii="Arial" w:cs="Arial" w:eastAsia="Arial" w:hAnsi="Arial"/>
          <w:sz w:val="24"/>
          <w:szCs w:val="24"/>
        </w:rPr>
        <w:t xml:space="preserve">Молодежная политика. Государственная молодежная политика в Кыргызской Республике реализуется через создание социально-экономических, правовых и других условий для становления, самореализации молодых граждан и защиты их интересов.</w:t>
      </w:r>
    </w:p>
    <w:p>
      <w:pPr>
        <w:spacing w:after="120"/>
        <w:jc w:val="both"/>
      </w:pPr>
      <w:r>
        <w:rPr>
          <w:rFonts w:ascii="Arial" w:cs="Arial" w:eastAsia="Arial" w:hAnsi="Arial"/>
          <w:sz w:val="24"/>
          <w:szCs w:val="24"/>
        </w:rPr>
        <w:t xml:space="preserve">В настоящее время молодежь (возрастная группа 14-28 лет) составляет 1657 тыс. чел., или 30% всего населения республики и 68% экономически активного населения. Из них численность занятой молодежи составляет 796,2 тыс. чел., или 48%. Из числа занятой молодежи имеют высшее образование 121 тыс. чел., или 15%.</w:t>
      </w:r>
    </w:p>
    <w:p>
      <w:pPr>
        <w:spacing w:after="120"/>
        <w:jc w:val="both"/>
      </w:pPr>
      <w:r>
        <w:rPr>
          <w:rFonts w:ascii="Arial" w:cs="Arial" w:eastAsia="Arial" w:hAnsi="Arial"/>
          <w:sz w:val="24"/>
          <w:szCs w:val="24"/>
        </w:rPr>
        <w:t xml:space="preserve">Среднее профессиональное образование имеют 41,4 тыс., или 5% молодых людей, начальное профессиональное образование (профтехлицеи) имеют 46,9 тыс. человек, или 6%. Таким образом, лишь 26% занятой молодежи имеют специальность. Остальные заняты в основном в сельском хозяйстве, а также на низкооплачиваемых, неквалифицированных работах.</w:t>
      </w:r>
    </w:p>
    <w:p>
      <w:pPr>
        <w:spacing w:after="120"/>
        <w:jc w:val="both"/>
      </w:pPr>
      <w:r>
        <w:rPr>
          <w:rFonts w:ascii="Arial" w:cs="Arial" w:eastAsia="Arial" w:hAnsi="Arial"/>
          <w:sz w:val="24"/>
          <w:szCs w:val="24"/>
        </w:rPr>
        <w:t xml:space="preserve">Большое значение имеет проблема молодежной безработицы, поскольку молодежь представляет собой наиболее крупный сегмент в структуре рынка труда, и это в настоящее время порождает тенденцию к росту предложения рабочей силы. По официальным данным уровень безработицы среди молодежи достигает 10,1%, при этом в возрастной группе от 15 до 19 лет уровень безработицы составляет свыше 19%, в возрастной группе от 20 до 24 лет около 16%, и только в возрасте старше 25 лет наблюдается снижение уровня безработицы до 9%. Почти 60% официально зарегистрированных безработных молодых людей не имеют работы длительное время, и среди них более 14% выпускников ВУЗов.</w:t>
      </w:r>
    </w:p>
    <w:p>
      <w:pPr>
        <w:spacing w:after="120"/>
        <w:jc w:val="both"/>
      </w:pPr>
      <w:r>
        <w:rPr>
          <w:rFonts w:ascii="Arial" w:cs="Arial" w:eastAsia="Arial" w:hAnsi="Arial"/>
          <w:sz w:val="24"/>
          <w:szCs w:val="24"/>
        </w:rPr>
        <w:t xml:space="preserve">Молодежная биржа труда. Всего по различным вопросам в Молодежную биржу труда и молодежные биржи труда в регионах за первый квартал т.г. обратилось 1539 чел., 48% из которых молодые женщины. Из общего числа обратившихся трудоустроено 615 чел., из которых 49% женщин и 20 подростков.</w:t>
      </w:r>
    </w:p>
    <w:p>
      <w:pPr>
        <w:spacing w:after="120"/>
        <w:jc w:val="both"/>
      </w:pPr>
      <w:r>
        <w:rPr>
          <w:rFonts w:ascii="Arial" w:cs="Arial" w:eastAsia="Arial" w:hAnsi="Arial"/>
          <w:sz w:val="24"/>
          <w:szCs w:val="24"/>
        </w:rPr>
        <w:t xml:space="preserve">Молодежные биржи труда ежемесячно организуют "Ярмарки вакансий". За отчетный период было проведено 5 "Ярмарок вакансий", которые посетили 981 человек, из них 359 женщин, 30 подростков. Было направлено на работу - 775 человек, из них молодых женщин - 236. Экстренно трудоустроен 71 человек, из них 31 женщина. Всего "Ярмарку вакансий" посетили 36 работодателей.</w:t>
      </w:r>
    </w:p>
    <w:p>
      <w:pPr>
        <w:spacing w:after="120"/>
        <w:jc w:val="both"/>
      </w:pPr>
      <w:r>
        <w:rPr>
          <w:rFonts w:ascii="Arial" w:cs="Arial" w:eastAsia="Arial" w:hAnsi="Arial"/>
          <w:sz w:val="24"/>
          <w:szCs w:val="24"/>
        </w:rPr>
        <w:t xml:space="preserve">Гендерная политика. Гендерное равенство - это один из индикаторов уровня демократизации общества, уровня его цивилизованности. Гендерное равенство имеет политическую, экономическую и социальную основы. Несмотря на относительно высокую правовую обеспеченность, механизмы, предоставляющие женщинам равные возможности с мужчинами, во многих существующих нормах законодательных актов не предусмотрены.</w:t>
      </w:r>
    </w:p>
    <w:p>
      <w:pPr>
        <w:spacing w:after="120"/>
        <w:jc w:val="both"/>
      </w:pPr>
      <w:r>
        <w:rPr>
          <w:rFonts w:ascii="Arial" w:cs="Arial" w:eastAsia="Arial" w:hAnsi="Arial"/>
          <w:sz w:val="24"/>
          <w:szCs w:val="24"/>
        </w:rPr>
        <w:t xml:space="preserve">В настоящее время созданной межведомственной рабочей группой ведется разработка проектов Национальной стратегии до 2020 года и Национального плана действий на 2012-2014 годы по достижению гендерного равенства. Разработка нового НПД - одно из принципиальных условий успешной интеграции в мировое сообщество, поскольку во всем мире степень развития общества определяется такими показателями, как гендерное равенство и действенное искоренение не только явных, но и скрытых форм дискриминации по половому признаку.</w:t>
      </w:r>
    </w:p>
    <w:p>
      <w:pPr>
        <w:spacing w:after="120"/>
        <w:jc w:val="both"/>
      </w:pPr>
      <w:r>
        <w:rPr>
          <w:rFonts w:ascii="Arial" w:cs="Arial" w:eastAsia="Arial" w:hAnsi="Arial"/>
          <w:sz w:val="24"/>
          <w:szCs w:val="24"/>
        </w:rPr>
        <w:t xml:space="preserve">В основу разработки национальных программ по улучшению положения женщин и достижению гендерного равенства в Кыргызской Республике легли принципы и структура Пекинской Платформы Действий по улучшению положения женщин.</w:t>
      </w:r>
    </w:p>
    <w:p>
      <w:pPr>
        <w:spacing w:after="120"/>
        <w:jc w:val="both"/>
      </w:pPr>
      <w:r>
        <w:rPr>
          <w:rFonts w:ascii="Arial" w:cs="Arial" w:eastAsia="Arial" w:hAnsi="Arial"/>
          <w:sz w:val="24"/>
          <w:szCs w:val="24"/>
        </w:rPr>
        <w:t xml:space="preserve">Во всех регионах и городах Бишкек и Ош параллельно шел процесс разработки проектов региональных планов по достижению гендерного равенства, по опыту пилотного проекта для Чуйской области. Практически все проблемы в регионах имеют сходный характер и общее происхождение. Из-за роста миграции растет число детей без присмотра, школьная преступность. Из-за плохой информированности возникают проблемы со здоровьем, как у мужчин, так и у женщин. Недостаточное гендерное образование ведет к дискриминации и нарушению прав женщин, их низкой представленности на уровне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за 1 квартал 2012 года характеризовалась тенденцией роста показателя рождаемости, который составил 29,3 на 1000 населения, по предварительным данным (2011 г. - 27,7). Продолжает сохраняться тенденция к росту показателя естественного прироста населения, составив по итогам I квартала 2012 года 21,9 на 1000 населения (2011 г. - 20,3).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здравоохранения(24)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показателя │      Ед. изм.    │Январь-│Январь-│  Откл. │</w:t>
      </w:r>
    </w:p>
    <w:p>
      <w:pPr>
        <w:spacing w:after="120"/>
        <w:jc w:val="center"/>
      </w:pPr>
      <w:r>
        <w:rPr>
          <w:rFonts w:ascii="Arial" w:cs="Arial" w:eastAsia="Arial" w:hAnsi="Arial"/>
          <w:sz w:val="24"/>
          <w:szCs w:val="24"/>
        </w:rPr>
        <w:t xml:space="preserve">│                         │                  │ март  │ март  │от факт.│</w:t>
      </w:r>
    </w:p>
    <w:p>
      <w:pPr>
        <w:spacing w:after="120"/>
        <w:jc w:val="center"/>
      </w:pPr>
      <w:r>
        <w:rPr>
          <w:rFonts w:ascii="Arial" w:cs="Arial" w:eastAsia="Arial" w:hAnsi="Arial"/>
          <w:sz w:val="24"/>
          <w:szCs w:val="24"/>
        </w:rPr>
        <w:t xml:space="preserve">│                         │                  │2011 г.│2012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│Рождаемость              │на 1 тыс.         │  27,7 │  29,3 │   1,6  │</w:t>
      </w:r>
    </w:p>
    <w:p>
      <w:pPr>
        <w:spacing w:after="120"/>
        <w:jc w:val="center"/>
      </w:pPr>
      <w:r>
        <w:rPr>
          <w:rFonts w:ascii="Arial" w:cs="Arial" w:eastAsia="Arial" w:hAnsi="Arial"/>
          <w:sz w:val="24"/>
          <w:szCs w:val="24"/>
        </w:rPr>
        <w:t xml:space="preserve">│                         │населения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естественного │на 1 тыс.         │  20,3 │  21,9 │   1,6  │</w:t>
      </w:r>
    </w:p>
    <w:p>
      <w:pPr>
        <w:spacing w:after="120"/>
        <w:jc w:val="center"/>
      </w:pPr>
      <w:r>
        <w:rPr>
          <w:rFonts w:ascii="Arial" w:cs="Arial" w:eastAsia="Arial" w:hAnsi="Arial"/>
          <w:sz w:val="24"/>
          <w:szCs w:val="24"/>
        </w:rPr>
        <w:t xml:space="preserve">│прироста                 │населения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общей         │на 1 тыс.         │   7,4 │   7,4 │   0    │</w:t>
      </w:r>
    </w:p>
    <w:p>
      <w:pPr>
        <w:spacing w:after="120"/>
        <w:jc w:val="center"/>
      </w:pPr>
      <w:r>
        <w:rPr>
          <w:rFonts w:ascii="Arial" w:cs="Arial" w:eastAsia="Arial" w:hAnsi="Arial"/>
          <w:sz w:val="24"/>
          <w:szCs w:val="24"/>
        </w:rPr>
        <w:t xml:space="preserve">│смертности               │населения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младенческой  │на 1000 родившихся│  20,2 │  18,7 │  -1,5  │</w:t>
      </w:r>
    </w:p>
    <w:p>
      <w:pPr>
        <w:spacing w:after="120"/>
        <w:jc w:val="center"/>
      </w:pPr>
      <w:r>
        <w:rPr>
          <w:rFonts w:ascii="Arial" w:cs="Arial" w:eastAsia="Arial" w:hAnsi="Arial"/>
          <w:sz w:val="24"/>
          <w:szCs w:val="24"/>
        </w:rPr>
        <w:t xml:space="preserve">│смертности               │живыми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│Коэффициент детской      │на 1000 родившихся│  23,5 │  21,6 │  -1,9  │</w:t>
      </w:r>
    </w:p>
    <w:p>
      <w:pPr>
        <w:spacing w:after="120"/>
        <w:jc w:val="center"/>
      </w:pPr>
      <w:r>
        <w:rPr>
          <w:rFonts w:ascii="Arial" w:cs="Arial" w:eastAsia="Arial" w:hAnsi="Arial"/>
          <w:sz w:val="24"/>
          <w:szCs w:val="24"/>
        </w:rPr>
        <w:t xml:space="preserve">│смертности               │живыми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материнской   │на 100000         │  32,7 │  53,7 │  21,0  │</w:t>
      </w:r>
    </w:p>
    <w:p>
      <w:pPr>
        <w:spacing w:after="120"/>
        <w:jc w:val="center"/>
      </w:pPr>
      <w:r>
        <w:rPr>
          <w:rFonts w:ascii="Arial" w:cs="Arial" w:eastAsia="Arial" w:hAnsi="Arial"/>
          <w:sz w:val="24"/>
          <w:szCs w:val="24"/>
        </w:rPr>
        <w:t xml:space="preserve">│смертности               │родившихся живыми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рассматриваемый период отмечается снижение показателей детской, младенческой смертности. Показатель материнской смертности остается высоким, каждый случай подвергается экспертизе.</w:t>
      </w:r>
    </w:p>
    <w:p>
      <w:pPr>
        <w:spacing w:after="120"/>
        <w:jc w:val="both"/>
      </w:pPr>
      <w:r>
        <w:rPr>
          <w:rFonts w:ascii="Arial" w:cs="Arial" w:eastAsia="Arial" w:hAnsi="Arial"/>
          <w:sz w:val="24"/>
          <w:szCs w:val="24"/>
        </w:rPr>
        <w:t xml:space="preserve">Снижение показателей детской и младенческой смертности связаны со снижением перинатальной смертности и внедрением эффективных перинатальных услуг - рациональное ведение родов, раннее прикладывание к груди, тепловая цепь, своевременная реанимация новорожденных. 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both"/>
      </w:pPr>
      <w:r>
        <w:rPr>
          <w:rFonts w:ascii="Arial" w:cs="Arial" w:eastAsia="Arial" w:hAnsi="Arial"/>
          <w:sz w:val="24"/>
          <w:szCs w:val="24"/>
        </w:rPr>
        <w:t xml:space="preserve">За 1 квартал 2012 года показатель общей смертности на 1000 населения по предварительным данным остался на уровне 2011 года, составив 7,4.</w:t>
      </w:r>
    </w:p>
    <w:p>
      <w:pPr>
        <w:spacing w:after="120"/>
        <w:jc w:val="both"/>
      </w:pPr>
      <w:r>
        <w:rPr>
          <w:rFonts w:ascii="Arial" w:cs="Arial" w:eastAsia="Arial" w:hAnsi="Arial"/>
          <w:sz w:val="24"/>
          <w:szCs w:val="24"/>
        </w:rPr>
        <w:t xml:space="preserve">Показатель младенческой смертности на 1000 родившихся живыми за 1 квартал 2012 года составил 18,7 (2011 г. - 20,2). Коэффициент детской смертности за 1 квартал 2012 года, по предварительным данным, составил 21,6 на 1000 родившихся живыми (2011 г. - 23,5). Показатель материнской смертности за 1 квартал 2012 года, по предварительным данным, составил 53,7 на 100000 родившихся живыми (2011 г. - 32,7).</w:t>
      </w:r>
    </w:p>
    <w:p>
      <w:pPr>
        <w:spacing w:after="120"/>
        <w:jc w:val="both"/>
      </w:pPr>
      <w:r>
        <w:rPr>
          <w:rFonts w:ascii="Arial" w:cs="Arial" w:eastAsia="Arial" w:hAnsi="Arial"/>
          <w:sz w:val="24"/>
          <w:szCs w:val="24"/>
        </w:rPr>
        <w:t xml:space="preserve">Заболеваемость. За I квартал 2012 года(25) в республике зарегистрировано 106,6 тыс. случаев инфекционных и паразитарных болезней. В структуре инфекционной паталогии 83,2% приходится на грипп и острые респираторно-вирусные инфекции, 2,6% на паразитарные заболевания, 2,6% - на острые кишечные инфекции, 3,2% - на вирусные гепатиты, 1,2% - на туберкулез, 0,8% - на бруцеллез и 6,4% - на прочие инфекции.</w:t>
      </w:r>
    </w:p>
    <w:p>
      <w:pPr>
        <w:spacing w:after="120"/>
        <w:jc w:val="both"/>
      </w:pPr>
      <w:r>
        <w:rPr>
          <w:rFonts w:ascii="Arial" w:cs="Arial" w:eastAsia="Arial" w:hAnsi="Arial"/>
          <w:sz w:val="24"/>
          <w:szCs w:val="24"/>
        </w:rPr>
        <w:t xml:space="preserve">За 3 месяца текущего года не зарегистрированы случаи дифтерии, полиомиелита, столбняка, кори, краснухи. Достигнуто снижение заболеваемости (в расчете на 100 тыс. населения) сифилисом на 9%, бруцеллезом на 37%, эпидемиологическим паротитом - на 28%, брюшным тифом - на 25%.</w:t>
      </w:r>
    </w:p>
    <w:p>
      <w:pPr>
        <w:spacing w:after="120"/>
        <w:jc w:val="both"/>
      </w:pPr>
      <w:r>
        <w:rPr>
          <w:rFonts w:ascii="Arial" w:cs="Arial" w:eastAsia="Arial" w:hAnsi="Arial"/>
          <w:sz w:val="24"/>
          <w:szCs w:val="24"/>
        </w:rPr>
        <w:t xml:space="preserve">При этом, остается высокой заболеваемость острыми кишечными инфекциями, ВИЧ-инфекцией, чесоткой, эхиноккокозом, туберкулезом, вирусным гепатитом А.</w:t>
      </w:r>
    </w:p>
    <w:p>
      <w:pPr>
        <w:spacing w:after="120"/>
        <w:jc w:val="both"/>
      </w:pPr>
      <w:r>
        <w:rPr>
          <w:rFonts w:ascii="Arial" w:cs="Arial" w:eastAsia="Arial" w:hAnsi="Arial"/>
          <w:sz w:val="24"/>
          <w:szCs w:val="24"/>
        </w:rPr>
        <w:t xml:space="preserve">За 1 квартал 2012 года зарегистрирован 1 завозной случай тропической малярии в г.Бишкек, в очаге проведены противоэпидемические и информационно-образовательные мероприятия. При финансовой поддержке проекта Глобального фонда "Программа элиминации малярии в Кыргызской Республике на 2011-2015 годы" закуплено 2140 кг инсектицида, 19 холодильников для паразитологических лабораторий территориальных ЦГСЭН.</w:t>
      </w:r>
    </w:p>
    <w:p>
      <w:pPr>
        <w:spacing w:after="120"/>
        <w:jc w:val="both"/>
      </w:pPr>
      <w:r>
        <w:rPr>
          <w:rFonts w:ascii="Arial" w:cs="Arial" w:eastAsia="Arial" w:hAnsi="Arial"/>
          <w:sz w:val="24"/>
          <w:szCs w:val="24"/>
        </w:rPr>
        <w:t xml:space="preserve">Центрами госсанэпиднадзора продолжается контроль качества ввозимой, производимой и реализуемой в республике пищевой соли, который включает лабораторное исследование на содержание йода. За 1 квартал 2012 года ЦГСЭН республики проведено исследование 612 проб соли, из них отклонения выявлены в 18,3% проб.</w:t>
      </w:r>
    </w:p>
    <w:p>
      <w:pPr>
        <w:spacing w:after="120"/>
        <w:jc w:val="both"/>
      </w:pPr>
      <w:r>
        <w:rPr>
          <w:rFonts w:ascii="Arial" w:cs="Arial" w:eastAsia="Arial" w:hAnsi="Arial"/>
          <w:sz w:val="24"/>
          <w:szCs w:val="24"/>
        </w:rPr>
        <w:t xml:space="preserve">В соответствии с Законом Кыргызской Республики "Об иммунопрофилактике" от 26 июня 2001 года N 56 неукоснительно выполняется основной принцип Закона о бесплатной иммунизации детей в рамках календаря профилактических прививок. Так, за 3 месяца 2012 года, охват всеми видами профилактических прививок составил выше 25%,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Ведется обследование детей в Ошской и Джалал-Абадской областях, по Ошской области обследовано 87703 лица, что составляет 94,7%. Выявлено 103 ВИЧ "+". По Джалал-Абадской области обследовано 54167 лиц - 95,3%, выявлено 17 ВИЧ "+", ведется работа по диспансеризации среди выявленных.</w:t>
      </w:r>
    </w:p>
    <w:p>
      <w:pPr>
        <w:spacing w:after="120"/>
        <w:jc w:val="both"/>
      </w:pPr>
      <w:r>
        <w:rPr>
          <w:rFonts w:ascii="Arial" w:cs="Arial" w:eastAsia="Arial" w:hAnsi="Arial"/>
          <w:sz w:val="24"/>
          <w:szCs w:val="24"/>
        </w:rPr>
        <w:t xml:space="preserve">Начата работа по электродному слежению за случаями ВИЧ, прогнозированию АРВ препаратов. На 01.03.2012 г. получают APT - 547 лиц, живущих с ВИЧ/СПИДом, в т.ч. детей - 191.</w:t>
      </w:r>
    </w:p>
    <w:p>
      <w:pPr>
        <w:spacing w:after="120"/>
        <w:jc w:val="both"/>
      </w:pPr>
      <w:r>
        <w:rPr>
          <w:rFonts w:ascii="Arial" w:cs="Arial" w:eastAsia="Arial" w:hAnsi="Arial"/>
          <w:sz w:val="24"/>
          <w:szCs w:val="24"/>
        </w:rPr>
        <w:t xml:space="preserve">Кроме этого, существуют проблемы, выходящие за рамки сектора здравоохранения, к ним относятся: рост внутренней и внешней миграции, детская бедность, доступ к дошкольным учреждениям, ранние браки и ранние роды. Рост внутренней миграции приводит к появлению категории не прописанных по месту жительства женщин, соответственно, они не становятся на медицинский учет. А с ростом внешней миграции, беременные женщины с осложнениями не наблюдаются и приезжают на роды домой в преддверии родов. Тяжелые трудовые нагрузки, которые несут на себе беременные женщины (ведение домашнего хозяйства и уход за членами семьи, деятельность в неформальном секторе занятости) и неэффективная система государственной поддержки материнства, работающих матерей, оказывают влияние на рост материнской смертности и состояние репродуктивного здоровья.</w:t>
      </w:r>
    </w:p>
    <w:p>
      <w:pPr>
        <w:spacing w:after="120"/>
        <w:jc w:val="both"/>
      </w:pPr>
      <w:r>
        <w:rPr>
          <w:rFonts w:ascii="Arial" w:cs="Arial" w:eastAsia="Arial" w:hAnsi="Arial"/>
          <w:sz w:val="24"/>
          <w:szCs w:val="24"/>
        </w:rPr>
        <w:t xml:space="preserve">По итогам 1 квартала 2012 года расходы по сектору "Здравоохранение" составили 2215,8 млн. сомов с учетом капитальных вложений.</w:t>
      </w:r>
    </w:p>
    <w:p>
      <w:pPr>
        <w:spacing w:after="120"/>
        <w:jc w:val="both"/>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Кыргызской Республики составило 474,9 млн. сомов, в том числе "Приобретение медикаментов" - 95,8 млн. сомов, "Приобретение продуктов питания" - 32,9 млн. сомов.</w:t>
      </w:r>
    </w:p>
    <w:p>
      <w:pPr>
        <w:spacing w:after="120"/>
        <w:jc w:val="both"/>
      </w:pPr>
      <w:r>
        <w:rPr>
          <w:rFonts w:ascii="Arial" w:cs="Arial" w:eastAsia="Arial" w:hAnsi="Arial"/>
          <w:sz w:val="24"/>
          <w:szCs w:val="24"/>
        </w:rPr>
        <w:t xml:space="preserve">Исполнение Программы Государственных гарантий по обеспечению граждан республики медико-санитарной помощью (ФОМС - Единый плательщик) профинансировано в объеме 1579,3 млн. сомов. 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профинансировано в объеме 64,8 млн. сомов. По лечебно-оздоровительному объединению профинансировано в объеме 33,2 млн. сомов. По Ошской спецбольнице при Управлении делами Президента Кыргызской Республики профинансировано в объеме 0,8 млн. сомов(26).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апреля 2012 года, в стране функционируют: 741 дошкольная организация, которые посещают 98,7 тыс. детей, 2204 школы с 1015,2 тыс. учащимися; 126 образовательных организаций среднего профессионального образования с численностью 72,3 тыс. студентов и 54 образовательных организаций высшего профессионального образования с контингентом 239,2 тыс. студентов.</w:t>
      </w:r>
    </w:p>
    <w:p>
      <w:pPr>
        <w:spacing w:after="120"/>
        <w:jc w:val="both"/>
      </w:pPr>
      <w:r>
        <w:rPr>
          <w:rFonts w:ascii="Arial" w:cs="Arial" w:eastAsia="Arial" w:hAnsi="Arial"/>
          <w:sz w:val="24"/>
          <w:szCs w:val="24"/>
        </w:rPr>
        <w:t xml:space="preserve">Проведена работа над Программой обязательной предшкольной подготовки детей к школе, и методическими рекомендациями к Программе из расчета 240 часов обучения.</w:t>
      </w:r>
    </w:p>
    <w:p>
      <w:pPr>
        <w:spacing w:after="120"/>
        <w:jc w:val="both"/>
      </w:pPr>
      <w:r>
        <w:rPr>
          <w:rFonts w:ascii="Arial" w:cs="Arial" w:eastAsia="Arial" w:hAnsi="Arial"/>
          <w:sz w:val="24"/>
          <w:szCs w:val="24"/>
        </w:rPr>
        <w:t xml:space="preserve">Ведется организационная работа для обеспечения проведения предшкольной подготовки для детей, которые не имеют возможности посещать детские сады, и намерены пойти в школу с 2012-2013 учебного года. За отчетный период проведен подготовительный этап общереспубликанского тестирования абитуриентов в апреле-мае 2012 года.</w:t>
      </w:r>
    </w:p>
    <w:p>
      <w:pPr>
        <w:spacing w:after="120"/>
        <w:jc w:val="both"/>
      </w:pPr>
      <w:r>
        <w:rPr>
          <w:rFonts w:ascii="Arial" w:cs="Arial" w:eastAsia="Arial" w:hAnsi="Arial"/>
          <w:sz w:val="24"/>
          <w:szCs w:val="24"/>
        </w:rPr>
        <w:t xml:space="preserve">С целью формирования плана приема студентов на 2012-2013 учебный год на основе государственных образовательных грантов в вузах и на бюджетные места в средних профессиональных учебных заведениях осуществлен сбор заявок министерств, ведомств и областных государственных администраций о потребности в специалистах с высшим и средним профессиональным образованием.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сфере образования(27)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показателя   │   Ед. изм.  │Январь-│Январь-│  Откл. │</w:t>
      </w:r>
    </w:p>
    <w:p>
      <w:pPr>
        <w:spacing w:after="120"/>
        <w:jc w:val="center"/>
      </w:pPr>
      <w:r>
        <w:rPr>
          <w:rFonts w:ascii="Arial" w:cs="Arial" w:eastAsia="Arial" w:hAnsi="Arial"/>
          <w:sz w:val="24"/>
          <w:szCs w:val="24"/>
        </w:rPr>
        <w:t xml:space="preserve">│                              │             │ март  │ март  │от факт.│</w:t>
      </w:r>
    </w:p>
    <w:p>
      <w:pPr>
        <w:spacing w:after="120"/>
        <w:jc w:val="center"/>
      </w:pPr>
      <w:r>
        <w:rPr>
          <w:rFonts w:ascii="Arial" w:cs="Arial" w:eastAsia="Arial" w:hAnsi="Arial"/>
          <w:sz w:val="24"/>
          <w:szCs w:val="24"/>
        </w:rPr>
        <w:t xml:space="preserve">│                              │             │2011 г.│2012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детей, получающих │тыс. учащихся│ 1018,9│ 1015,2│  -3,7  │</w:t>
      </w:r>
    </w:p>
    <w:p>
      <w:pPr>
        <w:spacing w:after="120"/>
        <w:jc w:val="center"/>
      </w:pPr>
      <w:r>
        <w:rPr>
          <w:rFonts w:ascii="Arial" w:cs="Arial" w:eastAsia="Arial" w:hAnsi="Arial"/>
          <w:sz w:val="24"/>
          <w:szCs w:val="24"/>
        </w:rPr>
        <w:t xml:space="preserve">│школьное образование в        │             │       │       │        │</w:t>
      </w:r>
    </w:p>
    <w:p>
      <w:pPr>
        <w:spacing w:after="120"/>
        <w:jc w:val="center"/>
      </w:pPr>
      <w:r>
        <w:rPr>
          <w:rFonts w:ascii="Arial" w:cs="Arial" w:eastAsia="Arial" w:hAnsi="Arial"/>
          <w:sz w:val="24"/>
          <w:szCs w:val="24"/>
        </w:rPr>
        <w:t xml:space="preserve">│возрасте 6-17 лет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детей, получающих │тыс. детей   │   85,2│   98,7│  13,5  │</w:t>
      </w:r>
    </w:p>
    <w:p>
      <w:pPr>
        <w:spacing w:after="120"/>
        <w:jc w:val="center"/>
      </w:pPr>
      <w:r>
        <w:rPr>
          <w:rFonts w:ascii="Arial" w:cs="Arial" w:eastAsia="Arial" w:hAnsi="Arial"/>
          <w:sz w:val="24"/>
          <w:szCs w:val="24"/>
        </w:rPr>
        <w:t xml:space="preserve">│дошкольное образование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студентов,        │тыс. человек │   64,3│   72,3│   8,0  │</w:t>
      </w:r>
    </w:p>
    <w:p>
      <w:pPr>
        <w:spacing w:after="120"/>
        <w:jc w:val="center"/>
      </w:pPr>
      <w:r>
        <w:rPr>
          <w:rFonts w:ascii="Arial" w:cs="Arial" w:eastAsia="Arial" w:hAnsi="Arial"/>
          <w:sz w:val="24"/>
          <w:szCs w:val="24"/>
        </w:rPr>
        <w:t xml:space="preserve">│обучающихся в образовательных │             │       │       │        │</w:t>
      </w:r>
    </w:p>
    <w:p>
      <w:pPr>
        <w:spacing w:after="120"/>
        <w:jc w:val="center"/>
      </w:pPr>
      <w:r>
        <w:rPr>
          <w:rFonts w:ascii="Arial" w:cs="Arial" w:eastAsia="Arial" w:hAnsi="Arial"/>
          <w:sz w:val="24"/>
          <w:szCs w:val="24"/>
        </w:rPr>
        <w:t xml:space="preserve">│организациях среднего         │             │       │       │        │</w:t>
      </w:r>
    </w:p>
    <w:p>
      <w:pPr>
        <w:spacing w:after="120"/>
        <w:jc w:val="center"/>
      </w:pPr>
      <w:r>
        <w:rPr>
          <w:rFonts w:ascii="Arial" w:cs="Arial" w:eastAsia="Arial" w:hAnsi="Arial"/>
          <w:sz w:val="24"/>
          <w:szCs w:val="24"/>
        </w:rPr>
        <w:t xml:space="preserve">│профессионального образования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студентов,        │тыс. человек │  230,3│  239,2│   8,9  │</w:t>
      </w:r>
    </w:p>
    <w:p>
      <w:pPr>
        <w:spacing w:after="120"/>
        <w:jc w:val="center"/>
      </w:pPr>
      <w:r>
        <w:rPr>
          <w:rFonts w:ascii="Arial" w:cs="Arial" w:eastAsia="Arial" w:hAnsi="Arial"/>
          <w:sz w:val="24"/>
          <w:szCs w:val="24"/>
        </w:rPr>
        <w:t xml:space="preserve">│обучающихся в образовательных │             │       │       │        │</w:t>
      </w:r>
    </w:p>
    <w:p>
      <w:pPr>
        <w:spacing w:after="120"/>
        <w:jc w:val="center"/>
      </w:pPr>
      <w:r>
        <w:rPr>
          <w:rFonts w:ascii="Arial" w:cs="Arial" w:eastAsia="Arial" w:hAnsi="Arial"/>
          <w:sz w:val="24"/>
          <w:szCs w:val="24"/>
        </w:rPr>
        <w:t xml:space="preserve">│организациях высшего          │             │       │       │        │</w:t>
      </w:r>
    </w:p>
    <w:p>
      <w:pPr>
        <w:spacing w:after="120"/>
        <w:jc w:val="center"/>
      </w:pPr>
      <w:r>
        <w:rPr>
          <w:rFonts w:ascii="Arial" w:cs="Arial" w:eastAsia="Arial" w:hAnsi="Arial"/>
          <w:sz w:val="24"/>
          <w:szCs w:val="24"/>
        </w:rPr>
        <w:t xml:space="preserve">│профессионального образования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рамках реформирования системы финансирования образования проделана следующая работа.</w:t>
      </w:r>
    </w:p>
    <w:p>
      <w:pPr>
        <w:spacing w:after="120"/>
        <w:jc w:val="both"/>
      </w:pPr>
      <w:r>
        <w:rPr>
          <w:rFonts w:ascii="Arial" w:cs="Arial" w:eastAsia="Arial" w:hAnsi="Arial"/>
          <w:sz w:val="24"/>
          <w:szCs w:val="24"/>
        </w:rPr>
        <w:t xml:space="preserve">В рамках внедрения подушевого финансирования - на основе базы данных по численности учащихся, а также данным по доходам и расходам местного бюджета на 2012 год в разрезе городов Бишкек и Ош произведены расчеты: потребности в средствах государственного бюджета общеобразовательных учреждений по минимальному стандарту; норматива покрытия потребности общеобразовательных учреждений по минимальному стандарту на 2011 год; доли собственных доходов местных бюджетов городов, подлежащих направлению на образование в 2012-2013 годах.</w:t>
      </w:r>
    </w:p>
    <w:p>
      <w:pPr>
        <w:spacing w:after="120"/>
        <w:jc w:val="both"/>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both"/>
      </w:pPr>
      <w:r>
        <w:rPr>
          <w:rFonts w:ascii="Arial" w:cs="Arial" w:eastAsia="Arial" w:hAnsi="Arial"/>
          <w:sz w:val="24"/>
          <w:szCs w:val="24"/>
        </w:rPr>
        <w:t xml:space="preserve">Постановлением Правительства Кыргызской Республики "О стратегических направлениях развития системы образования в Кыргызской Республике" от 23 марта 2012 года N 201 одобрены Стратегия развития образования в Кыргызской Республике до 2020 года, одноименная Концепция, Среднесрочная программа развития образования Кыргызской Республики на 2012-2014 годы.</w:t>
      </w:r>
    </w:p>
    <w:p>
      <w:pPr>
        <w:spacing w:after="120"/>
        <w:jc w:val="both"/>
      </w:pPr>
      <w:r>
        <w:rPr>
          <w:rFonts w:ascii="Arial" w:cs="Arial" w:eastAsia="Arial" w:hAnsi="Arial"/>
          <w:sz w:val="24"/>
          <w:szCs w:val="24"/>
        </w:rPr>
        <w:t xml:space="preserve">Основной целью стратегических документов является создание условий для устойчивого развития системы образования через эффективное использование ресурсов и повышение качества предоставляемых образовательных услуг. Основными проблемными зонами, требующими решения на всех уровнях системы, определены - управление и финансирование, работа с кадрами и создание системы мониторинга и оценки. Всего с 2012 по 2020 год включительно предстоит реализовать три трехлетних плана действий: 2012-2014 годы, 2015-2017 годы, 2018-2020 годы (в соответствии с принципом трехлетнего прогноза бюджета Кыргызской Республики).</w:t>
      </w:r>
    </w:p>
    <w:p>
      <w:pPr>
        <w:spacing w:after="120"/>
        <w:jc w:val="both"/>
      </w:pPr>
      <w:r>
        <w:rPr>
          <w:rFonts w:ascii="Arial" w:cs="Arial" w:eastAsia="Arial" w:hAnsi="Arial"/>
          <w:sz w:val="24"/>
          <w:szCs w:val="24"/>
        </w:rPr>
        <w:t xml:space="preserve">Проводится работа по апробации "Комплекта учебно-программной документации по модульной технологии обучения, основанной на компетенциях, для подготовки рабочих кадров из числа взрослого безработного населения в профессионально-технических учебных заведениях системы НПО".</w:t>
      </w:r>
    </w:p>
    <w:p>
      <w:pPr>
        <w:spacing w:after="120"/>
        <w:jc w:val="both"/>
      </w:pPr>
      <w:r>
        <w:rPr>
          <w:rFonts w:ascii="Arial" w:cs="Arial" w:eastAsia="Arial" w:hAnsi="Arial"/>
          <w:sz w:val="24"/>
          <w:szCs w:val="24"/>
        </w:rPr>
        <w:t xml:space="preserve">Систематически пополняется книжный фонд через Книжную палату Кыргызской Республики. За 1 квартал т.г. из Книжной палаты Кыргызской Республики получено 190 единиц различных учебников, учебно-методической литературы, художественных изданий и периодической печати.</w:t>
      </w:r>
    </w:p>
    <w:p>
      <w:pPr>
        <w:spacing w:after="120"/>
        <w:jc w:val="both"/>
      </w:pPr>
      <w:r>
        <w:rPr>
          <w:rFonts w:ascii="Arial" w:cs="Arial" w:eastAsia="Arial" w:hAnsi="Arial"/>
          <w:sz w:val="24"/>
          <w:szCs w:val="24"/>
        </w:rPr>
        <w:t xml:space="preserve">Продолжается сотрудничество с Общественным фондом "SOS Детские деревни Кыргызстана" и в рамках этого сотрудничества ведется работа по разработке рекомендаций "Анализ законодательства в сфере трудоустройства детей-сирот и детей, лишенных родительского попечения", направленных на способствование эффективной социальной интеграции молодежи, покидающих систему опеки.</w:t>
      </w:r>
    </w:p>
    <w:p>
      <w:pPr>
        <w:spacing w:after="120"/>
        <w:jc w:val="both"/>
      </w:pPr>
      <w:r>
        <w:rPr>
          <w:rFonts w:ascii="Arial" w:cs="Arial" w:eastAsia="Arial" w:hAnsi="Arial"/>
          <w:sz w:val="24"/>
          <w:szCs w:val="24"/>
        </w:rPr>
        <w:t xml:space="preserve">На сегодняшний день заключено соглашение с проектом МОМ (Международная Организация по Миграции) о реализации проекта "На пути к улучшенной системе ПТО Кыргызстана", который будет направлен на укрепление учебно-материальной базы (ремонт, оснащение оборудованием, обеспечение учебными методическими материалами и повышение квалификации преподавателей и мастеров производственного обучения) 5-ти учебных заведений системы ПТО.</w:t>
      </w:r>
    </w:p>
    <w:p>
      <w:pPr>
        <w:spacing w:after="120"/>
        <w:jc w:val="both"/>
      </w:pPr>
      <w:r>
        <w:rPr>
          <w:rFonts w:ascii="Arial" w:cs="Arial" w:eastAsia="Arial" w:hAnsi="Arial"/>
          <w:sz w:val="24"/>
          <w:szCs w:val="24"/>
        </w:rPr>
        <w:t xml:space="preserve">В марте т.г. в соответствии с договором между Министерством молодежи, труда и занятости Кыргызской Республики и Университетом Кыргыз-Турк "Манас" состоялось открытие учебного центра на базе ПЛ N 91 г.Бишкек по 9 направлениям в области туризма. После окончания выпускники смогут трудоустроиться в Турции и других странах.</w:t>
      </w:r>
    </w:p>
    <w:p>
      <w:pPr>
        <w:spacing w:after="120"/>
        <w:jc w:val="both"/>
      </w:pPr>
      <w:r>
        <w:rPr>
          <w:rFonts w:ascii="Arial" w:cs="Arial" w:eastAsia="Arial" w:hAnsi="Arial"/>
          <w:sz w:val="24"/>
          <w:szCs w:val="24"/>
        </w:rPr>
        <w:t xml:space="preserve">В рамках программы ЕС "Поддержка систем образования в Кыргызской Республике" начали работать пять проектов:</w:t>
      </w:r>
    </w:p>
    <w:p>
      <w:pPr>
        <w:spacing w:after="120"/>
        <w:jc w:val="both"/>
      </w:pPr>
      <w:r>
        <w:rPr>
          <w:rFonts w:ascii="Arial" w:cs="Arial" w:eastAsia="Arial" w:hAnsi="Arial"/>
          <w:sz w:val="24"/>
          <w:szCs w:val="24"/>
        </w:rPr>
        <w:t xml:space="preserve">- "Улучшение доступа к современному и инновационному профессиональному обучению для лучшей занятости и повышение дохода сельских жителей";</w:t>
      </w:r>
    </w:p>
    <w:p>
      <w:pPr>
        <w:spacing w:after="120"/>
        <w:jc w:val="both"/>
      </w:pPr>
      <w:r>
        <w:rPr>
          <w:rFonts w:ascii="Arial" w:cs="Arial" w:eastAsia="Arial" w:hAnsi="Arial"/>
          <w:sz w:val="24"/>
          <w:szCs w:val="24"/>
        </w:rPr>
        <w:t xml:space="preserve">- "Обеспечение широкого доступа к начальному профессиональному образованию и профессиональной подготовке";</w:t>
      </w:r>
    </w:p>
    <w:p>
      <w:pPr>
        <w:spacing w:after="120"/>
        <w:jc w:val="both"/>
      </w:pPr>
      <w:r>
        <w:rPr>
          <w:rFonts w:ascii="Arial" w:cs="Arial" w:eastAsia="Arial" w:hAnsi="Arial"/>
          <w:sz w:val="24"/>
          <w:szCs w:val="24"/>
        </w:rPr>
        <w:t xml:space="preserve">- "Усиление развития социального партнерства в профессиональном образовании и обучении в Кыргызстане";</w:t>
      </w:r>
    </w:p>
    <w:p>
      <w:pPr>
        <w:spacing w:after="120"/>
        <w:jc w:val="both"/>
      </w:pPr>
      <w:r>
        <w:rPr>
          <w:rFonts w:ascii="Arial" w:cs="Arial" w:eastAsia="Arial" w:hAnsi="Arial"/>
          <w:sz w:val="24"/>
          <w:szCs w:val="24"/>
        </w:rPr>
        <w:t xml:space="preserve">- "Инклюзивное профессиональное образование и обучение: создание возможностей трудоустройства для лиц с ограниченными возможностями и других уязвимых групп через улучшение сотрудничества между профессионально-техническими учебными заведениями и работодателями";</w:t>
      </w:r>
    </w:p>
    <w:p>
      <w:pPr>
        <w:spacing w:after="120"/>
        <w:jc w:val="both"/>
      </w:pPr>
      <w:r>
        <w:rPr>
          <w:rFonts w:ascii="Arial" w:cs="Arial" w:eastAsia="Arial" w:hAnsi="Arial"/>
          <w:sz w:val="24"/>
          <w:szCs w:val="24"/>
        </w:rPr>
        <w:t xml:space="preserve">- "По пути к улучшенной системе профессионально-технического образования в Кыргызстане".</w:t>
      </w:r>
    </w:p>
    <w:p>
      <w:pPr>
        <w:spacing w:after="120"/>
        <w:jc w:val="both"/>
      </w:pPr>
      <w:r>
        <w:rPr>
          <w:rFonts w:ascii="Arial" w:cs="Arial" w:eastAsia="Arial" w:hAnsi="Arial"/>
          <w:sz w:val="24"/>
          <w:szCs w:val="24"/>
        </w:rPr>
        <w:t xml:space="preserve">Расходы на образование и науку за январь-март 2012 года составили 920,9 млн. сомов с учетом капитальных вложений. По состоянию на 1 апреля т.г., расходы Министерства образования и науки Кыргызской Республики по подведомственным образовательным организациям профинансированы в целом в сумме 455,3 млн. сомов при предварительном плане I квартала 592,9 млн. сомов(28).</w:t>
      </w:r>
    </w:p>
    <w:p>
      <w:pPr>
        <w:spacing w:after="120"/>
        <w:jc w:val="both"/>
      </w:pPr>
      <w:r>
        <w:rPr>
          <w:rFonts w:ascii="Arial" w:cs="Arial" w:eastAsia="Arial" w:hAnsi="Arial"/>
          <w:sz w:val="24"/>
          <w:szCs w:val="24"/>
        </w:rPr>
        <w:t xml:space="preserve">По статье "Приобретение прочих услуг" профинансировано 13713,0 тыс. сомов или 25,8% плана. Из них 6000,0 тыс. сомов СМОР "Жаштык" на проведение спортивной универсиады, 1300,0 тыс. сомов - на проведение республиканской олимпиады школьников, 3200,2 - приобретение мыломоющих средств, канцелярских товаров, вывоз мусора для детских домов, вспомогательных школ-интернатов, школ-интернатов, 3213,0 тыс. сомов - на завершение программы "Депозит молодого учителя".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Проведена работа по сохранению и развитию историко-культурного наследия. За отчетный период подготовлен Номинационный файл трилогии эпоса "Манас" для включения в Список нематериального наследия ЮНЕСКО.</w:t>
      </w:r>
    </w:p>
    <w:p>
      <w:pPr>
        <w:spacing w:after="120"/>
        <w:jc w:val="both"/>
      </w:pPr>
      <w:r>
        <w:rPr>
          <w:rFonts w:ascii="Arial" w:cs="Arial" w:eastAsia="Arial" w:hAnsi="Arial"/>
          <w:sz w:val="24"/>
          <w:szCs w:val="24"/>
        </w:rPr>
        <w:t xml:space="preserve">В целях совершенствования законодательной базы 14 марта 2012 года проекты законов Кыргызской Республики "О внесении изменений и дополнений в Закон Кыргызской Республики "Об охране и использовании историко-культурного наследия" и "О нематериальном культурном наследии" были одобрены в первом чтении на пленарном заседании Жогорку Кенеша Кыргызской Республики.</w:t>
      </w:r>
    </w:p>
    <w:p>
      <w:pPr>
        <w:spacing w:after="120"/>
        <w:jc w:val="both"/>
      </w:pPr>
      <w:r>
        <w:rPr>
          <w:rFonts w:ascii="Arial" w:cs="Arial" w:eastAsia="Arial" w:hAnsi="Arial"/>
          <w:sz w:val="24"/>
          <w:szCs w:val="24"/>
        </w:rPr>
        <w:t xml:space="preserve">В целях оптимизации работы Художественно-экспертной комиссии (ХЭК) пересмотрено и утверждено Положение и новый состав комиссии.</w:t>
      </w:r>
    </w:p>
    <w:p>
      <w:pPr>
        <w:spacing w:after="120"/>
        <w:jc w:val="both"/>
      </w:pPr>
      <w:r>
        <w:rPr>
          <w:rFonts w:ascii="Arial" w:cs="Arial" w:eastAsia="Arial" w:hAnsi="Arial"/>
          <w:sz w:val="24"/>
          <w:szCs w:val="24"/>
        </w:rPr>
        <w:t xml:space="preserve">В рамках программы сотрудничества с Европейским Союзом стартовал проект "Укрепление музыкальной культуры в Центральной Азии посредством регионального сотрудничества, интеграции и международных сетей". Завершена реконструкция концертного зала Кыргызской Национальной консерватории, где установлено осветительное звуковое оборудование.</w:t>
      </w:r>
    </w:p>
    <w:p>
      <w:pPr>
        <w:spacing w:after="120"/>
        <w:jc w:val="both"/>
      </w:pPr>
      <w:r>
        <w:rPr>
          <w:rFonts w:ascii="Arial" w:cs="Arial" w:eastAsia="Arial" w:hAnsi="Arial"/>
          <w:sz w:val="24"/>
          <w:szCs w:val="24"/>
        </w:rPr>
        <w:t xml:space="preserve">В 1 квартале 2012 года на развитие культуры и туризма направлены средства в сумме 241,5 млн. сомов.</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 надбавках за выслугу лет работникам учреждений культуры, искусства и информации" от 13 сентября 2011 года N 545 с 1 января 2012 года урегулирована выплата надбавок за выслугу лет в сфере культуры, искусства и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последовательного решения задач социально-экономического развития Кыргызской Республики, создания базовых условий для устойчивого экономического развития и определения перспективных направлений деятельности органов государственной власти по достижению задач, поставленных на 2012 год, сохранению устойчивости бюджета и финансовой системы в целом, а также во исполнение Программы Правительства Кыргызской Республики, утвержденной постановлением Жогорку Кенеша Кыргызской Республики от 23 декабря 2011 года N 1451-V, был разработан и принят План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N 55), где предложены мероприятия, направленные на создание макроэкономических условий, оптимизацию бюджетной и фискальной политики, устойчивую работу финансового рынка и банков, привлечение инвестиций и развитие предпринимательства, разработку оперативных мер по управлению реальным и социальным сектором, а также обеспечение общественной, энергетической, бюджетно-финансовой, продовольственной безопасности.</w:t>
      </w:r>
    </w:p>
    <w:p>
      <w:pPr>
        <w:spacing w:after="120"/>
        <w:jc w:val="both"/>
      </w:pPr>
      <w:r>
        <w:rPr>
          <w:rFonts w:ascii="Arial" w:cs="Arial" w:eastAsia="Arial" w:hAnsi="Arial"/>
          <w:sz w:val="24"/>
          <w:szCs w:val="24"/>
        </w:rPr>
        <w:t xml:space="preserve">Планом мероприятий на 2012 год по реализации среднесрочной Программы Правительства "Стабильность и достойная жизнь" было утверждено 162 задачи, из них 85 задач запланировано к выполнению до 15 апреля 2012 года.</w:t>
      </w:r>
    </w:p>
    <w:p>
      <w:pPr>
        <w:spacing w:after="120"/>
        <w:jc w:val="both"/>
      </w:pPr>
      <w:r>
        <w:rPr>
          <w:rFonts w:ascii="Arial" w:cs="Arial" w:eastAsia="Arial" w:hAnsi="Arial"/>
          <w:sz w:val="24"/>
          <w:szCs w:val="24"/>
        </w:rPr>
        <w:t xml:space="preserve">Мониторинг и оценка исполнения Плана мероприятий на 2012 год показывает, что, по состоянию на 15 апреля 2012 года, обеспечено решение 49 поставленных задач, что составляет 58% от общего количества задач. Частичное выполнение органы государственной власти обеспечили по 19 задачам, что составляет 22% от общего количества задач, запланированных к выполнению до 15 апреля 2012 года. Не решено 12 задач, что составляет 14% от общего количества задач, в том числе:</w:t>
      </w:r>
    </w:p>
    <w:p>
      <w:pPr>
        <w:spacing w:after="120"/>
        <w:jc w:val="both"/>
      </w:pPr>
      <w:r>
        <w:rPr>
          <w:rFonts w:ascii="Arial" w:cs="Arial" w:eastAsia="Arial" w:hAnsi="Arial"/>
          <w:sz w:val="24"/>
          <w:szCs w:val="24"/>
        </w:rPr>
        <w:t xml:space="preserve">по три задачи:</w:t>
      </w:r>
    </w:p>
    <w:p>
      <w:pPr>
        <w:spacing w:after="120"/>
        <w:jc w:val="both"/>
      </w:pPr>
      <w:r>
        <w:rPr>
          <w:rFonts w:ascii="Arial" w:cs="Arial" w:eastAsia="Arial" w:hAnsi="Arial"/>
          <w:sz w:val="24"/>
          <w:szCs w:val="24"/>
        </w:rPr>
        <w:t xml:space="preserve">-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 Министерство экономики и антимонопольной политики Кыргызской Республики;</w:t>
      </w:r>
    </w:p>
    <w:p>
      <w:pPr>
        <w:spacing w:after="120"/>
        <w:jc w:val="both"/>
      </w:pPr>
      <w:r>
        <w:rPr>
          <w:rFonts w:ascii="Arial" w:cs="Arial" w:eastAsia="Arial" w:hAnsi="Arial"/>
          <w:sz w:val="24"/>
          <w:szCs w:val="24"/>
        </w:rPr>
        <w:t xml:space="preserve">по одной задаче:</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В План мероприятий на 100 дней было включено 57 задач, из которых решено 52 или 92% от запланированного количества. В процессе решения 5 задач или 8%.</w:t>
      </w:r>
    </w:p>
    <w:p>
      <w:pPr>
        <w:spacing w:after="120"/>
        <w:jc w:val="both"/>
      </w:pPr>
      <w:r>
        <w:rPr>
          <w:rFonts w:ascii="Arial" w:cs="Arial" w:eastAsia="Arial" w:hAnsi="Arial"/>
          <w:sz w:val="24"/>
          <w:szCs w:val="24"/>
        </w:rPr>
        <w:t xml:space="preserve">Доработан проект Среднесрочной программы развития Кыргызской Республики на 2012-2014 годы с учетом полученных предложений и замечаний от международных донорских организаций, комитетов Жогорку Кенеша Кыргызской Республики и одобрен постановлением Правительства Кыргызской Республики "Об одобрении проекта Среднесрочной программы развития Кыргызской Республики на 2012-2014 годы" от 12 апреля 2012 года N 239. Программа нацелена на выведение экономики страны на устойчивый вектор развития и улучшение состояния бюджета для преодоления социальных последствий, повышения качества жизни и сокращения бедности в стране. В данном документе сделан акцент на следующих направлениях развития: (i) реформа системы государственного управления и борьба с коррупцией; (ii) ускоренное продвижение экономических приоритетов через запуск и реализацию крупных национальных проектов; (iii) обновление политики управления государственными активами; (iv) повышение эффективности политики социального развития и сокращение бедности.</w:t>
      </w:r>
    </w:p>
    <w:p>
      <w:pPr>
        <w:spacing w:after="120"/>
        <w:jc w:val="both"/>
      </w:pPr>
      <w:r>
        <w:rPr>
          <w:rFonts w:ascii="Arial" w:cs="Arial" w:eastAsia="Arial" w:hAnsi="Arial"/>
          <w:sz w:val="24"/>
          <w:szCs w:val="24"/>
        </w:rPr>
        <w:t xml:space="preserve">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Основные задачи до конца текущего года:</w:t>
      </w:r>
    </w:p>
    <w:p>
      <w:pPr>
        <w:spacing w:after="120"/>
        <w:jc w:val="both"/>
      </w:pPr>
      <w:r>
        <w:rPr>
          <w:rFonts w:ascii="Arial" w:cs="Arial" w:eastAsia="Arial" w:hAnsi="Arial"/>
          <w:sz w:val="24"/>
          <w:szCs w:val="24"/>
        </w:rPr>
        <w:t xml:space="preserve">1. Постоянный мониторинг макроэкономических показателей в целях своевременного выявления угроз и предупреждения рисков.</w:t>
      </w:r>
    </w:p>
    <w:p>
      <w:pPr>
        <w:spacing w:after="120"/>
        <w:jc w:val="both"/>
      </w:pPr>
      <w:r>
        <w:rPr>
          <w:rFonts w:ascii="Arial" w:cs="Arial" w:eastAsia="Arial" w:hAnsi="Arial"/>
          <w:sz w:val="24"/>
          <w:szCs w:val="24"/>
        </w:rPr>
        <w:t xml:space="preserve">2.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3. Оперативный мониторинг выполнения прогнозных показателей социально-экономического развития Кыргызской Республики. Подготовка Отчета результатов мониторинга, Рекомендации по внесению изменений в экономический прогноз/бюджет.</w:t>
      </w:r>
    </w:p>
    <w:p>
      <w:pPr>
        <w:spacing w:after="120"/>
        <w:jc w:val="both"/>
      </w:pPr>
      <w:r>
        <w:rPr>
          <w:rFonts w:ascii="Arial" w:cs="Arial" w:eastAsia="Arial" w:hAnsi="Arial"/>
          <w:sz w:val="24"/>
          <w:szCs w:val="24"/>
        </w:rPr>
        <w:t xml:space="preserve">4. Своевременное исполнение министерствами, ведомствами и ОГА мероприятий, предусмотренных Планом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N 55).</w:t>
      </w:r>
    </w:p>
    <w:p>
      <w:pPr>
        <w:spacing w:after="120"/>
        <w:jc w:val="both"/>
      </w:pPr>
      <w:r>
        <w:rPr>
          <w:rFonts w:ascii="Arial" w:cs="Arial" w:eastAsia="Arial" w:hAnsi="Arial"/>
          <w:sz w:val="24"/>
          <w:szCs w:val="24"/>
        </w:rPr>
        <w:t xml:space="preserve">5. Обеспечение поступлений доходов в соответствии с установленными параметрами на 2012 год.</w:t>
      </w:r>
    </w:p>
    <w:p>
      <w:pPr>
        <w:spacing w:after="120"/>
        <w:jc w:val="both"/>
      </w:pPr>
      <w:r>
        <w:rPr>
          <w:rFonts w:ascii="Arial" w:cs="Arial" w:eastAsia="Arial" w:hAnsi="Arial"/>
          <w:sz w:val="24"/>
          <w:szCs w:val="24"/>
        </w:rPr>
        <w:t xml:space="preserve">6. Недопущение снижения уровня сбора страховых взносов Социальным фондом.</w:t>
      </w:r>
    </w:p>
    <w:p>
      <w:pPr>
        <w:spacing w:after="120"/>
        <w:jc w:val="both"/>
      </w:pPr>
      <w:r>
        <w:rPr>
          <w:rFonts w:ascii="Arial" w:cs="Arial" w:eastAsia="Arial" w:hAnsi="Arial"/>
          <w:sz w:val="24"/>
          <w:szCs w:val="24"/>
        </w:rPr>
        <w:t xml:space="preserve">7. Продвижение вопросов в Правительстве и Жогорку Кенеше Кыргызской Республики по принятию внесенных проектов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(2) Предварительные данные, по состоянию на 29 февраля 2012 г.</w:t>
      </w:r>
    </w:p>
    <w:p>
      <w:pPr>
        <w:spacing w:after="120"/>
        <w:jc w:val="both"/>
      </w:pPr>
      <w:r>
        <w:rPr>
          <w:rFonts w:ascii="Arial" w:cs="Arial" w:eastAsia="Arial" w:hAnsi="Arial"/>
          <w:sz w:val="24"/>
          <w:szCs w:val="24"/>
        </w:rPr>
        <w:t xml:space="preserve">(3)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(4) Из банковской системы с 1 декабря 2010 г. исключен ОАО "АзияУниверсалБанк": в связи с судебным решением о возбуждении процедуры банкротства и прекращением режима консервации (согласно постановлению правления НБКР от 1.11.2010 г. N 83/1). С 24.12.2010 г. в банковскую систему введен ОАО "Залкар Банк", получивший лицензию в соответствии с постановлением правления НБКР от 16.12.2010 г. N 91/1.</w:t>
      </w:r>
    </w:p>
    <w:p>
      <w:pPr>
        <w:spacing w:after="120"/>
        <w:jc w:val="both"/>
      </w:pPr>
      <w:r>
        <w:rPr>
          <w:rFonts w:ascii="Arial" w:cs="Arial" w:eastAsia="Arial" w:hAnsi="Arial"/>
          <w:sz w:val="24"/>
          <w:szCs w:val="24"/>
        </w:rPr>
        <w:t xml:space="preserve">(5)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(6) По состоянию на 31.12.2011 г., депозиты привлекают 12 кредитных союзов (на основании лицензии НБКР).</w:t>
      </w:r>
    </w:p>
    <w:p>
      <w:pPr>
        <w:spacing w:after="120"/>
        <w:jc w:val="both"/>
      </w:pPr>
      <w:r>
        <w:rPr>
          <w:rFonts w:ascii="Arial" w:cs="Arial" w:eastAsia="Arial" w:hAnsi="Arial"/>
          <w:sz w:val="24"/>
          <w:szCs w:val="24"/>
        </w:rPr>
        <w:t xml:space="preserve">(7) Учитывая, что кредитные союзы представляют ПРО на ежеквартальной основе до 12 числа, информация по объему депозитной базы представлена по состоянию на 31.12.2011 г.</w:t>
      </w:r>
    </w:p>
    <w:p>
      <w:pPr>
        <w:spacing w:after="120"/>
        <w:jc w:val="both"/>
      </w:pPr>
      <w:r>
        <w:rPr>
          <w:rFonts w:ascii="Arial" w:cs="Arial" w:eastAsia="Arial" w:hAnsi="Arial"/>
          <w:sz w:val="24"/>
          <w:szCs w:val="24"/>
        </w:rPr>
        <w:t xml:space="preserve">(8) Учитывая, что МФО представляют ПРО на полугодовой основе и доля кредитного портфеля занимает 92,0% от всего кредитного портфеля небанковских учреждений, информация по кредитному портфелю НФКУ представлена по итогам 2011 г.</w:t>
      </w:r>
    </w:p>
    <w:p>
      <w:pPr>
        <w:spacing w:after="120"/>
        <w:jc w:val="both"/>
      </w:pPr>
      <w:r>
        <w:rPr>
          <w:rFonts w:ascii="Arial" w:cs="Arial" w:eastAsia="Arial" w:hAnsi="Arial"/>
          <w:sz w:val="24"/>
          <w:szCs w:val="24"/>
        </w:rPr>
        <w:t xml:space="preserve">(9) При расчете структуры суммарных доходов и суммарных расходов "доходы/убытки от операций с иностранной валютой" использованы в "чистом" виде, на нетто-основе.</w:t>
      </w:r>
    </w:p>
    <w:p>
      <w:pPr>
        <w:spacing w:after="120"/>
        <w:jc w:val="both"/>
      </w:pPr>
      <w:r>
        <w:rPr>
          <w:rFonts w:ascii="Arial" w:cs="Arial" w:eastAsia="Arial" w:hAnsi="Arial"/>
          <w:sz w:val="24"/>
          <w:szCs w:val="24"/>
        </w:rPr>
        <w:t xml:space="preserve">(10) Без учета стоимости давальческого сырья.</w:t>
      </w:r>
    </w:p>
    <w:p>
      <w:pPr>
        <w:spacing w:after="120"/>
        <w:jc w:val="both"/>
      </w:pPr>
      <w:r>
        <w:rPr>
          <w:rFonts w:ascii="Arial" w:cs="Arial" w:eastAsia="Arial" w:hAnsi="Arial"/>
          <w:sz w:val="24"/>
          <w:szCs w:val="24"/>
        </w:rPr>
        <w:t xml:space="preserve">(11) Данные Министерства сельского хозяйства и мелиорации КР.</w:t>
      </w:r>
    </w:p>
    <w:p>
      <w:pPr>
        <w:spacing w:after="120"/>
        <w:jc w:val="both"/>
      </w:pPr>
      <w:r>
        <w:rPr>
          <w:rFonts w:ascii="Arial" w:cs="Arial" w:eastAsia="Arial" w:hAnsi="Arial"/>
          <w:sz w:val="24"/>
          <w:szCs w:val="24"/>
        </w:rPr>
        <w:t xml:space="preserve">(12) По данным Пограничных войск Государственного комитета национальной безопасности КР.</w:t>
      </w:r>
    </w:p>
    <w:p>
      <w:pPr>
        <w:spacing w:after="120"/>
        <w:jc w:val="both"/>
      </w:pPr>
      <w:r>
        <w:rPr>
          <w:rFonts w:ascii="Arial" w:cs="Arial" w:eastAsia="Arial" w:hAnsi="Arial"/>
          <w:sz w:val="24"/>
          <w:szCs w:val="24"/>
        </w:rPr>
        <w:t xml:space="preserve">(13) По данным Государственной налоговой службы при Правительстве КР.</w:t>
      </w:r>
    </w:p>
    <w:p>
      <w:pPr>
        <w:spacing w:after="120"/>
        <w:jc w:val="both"/>
      </w:pPr>
      <w:r>
        <w:rPr>
          <w:rFonts w:ascii="Arial" w:cs="Arial" w:eastAsia="Arial" w:hAnsi="Arial"/>
          <w:sz w:val="24"/>
          <w:szCs w:val="24"/>
        </w:rPr>
        <w:t xml:space="preserve">(14) Отчетность за квартал/год предоставляется на 60-й день после отчетного периода.</w:t>
      </w:r>
    </w:p>
    <w:p>
      <w:pPr>
        <w:spacing w:after="120"/>
        <w:jc w:val="both"/>
      </w:pPr>
      <w:r>
        <w:rPr>
          <w:rFonts w:ascii="Arial" w:cs="Arial" w:eastAsia="Arial" w:hAnsi="Arial"/>
          <w:sz w:val="24"/>
          <w:szCs w:val="24"/>
        </w:rPr>
        <w:t xml:space="preserve">(15) Данные по нарастанию.</w:t>
      </w:r>
    </w:p>
    <w:p>
      <w:pPr>
        <w:spacing w:after="120"/>
        <w:jc w:val="both"/>
      </w:pPr>
      <w:r>
        <w:rPr>
          <w:rFonts w:ascii="Arial" w:cs="Arial" w:eastAsia="Arial" w:hAnsi="Arial"/>
          <w:sz w:val="24"/>
          <w:szCs w:val="24"/>
        </w:rPr>
        <w:t xml:space="preserve">(16) По данным Министерства социального развития КР и НСК КР.</w:t>
      </w:r>
    </w:p>
    <w:p>
      <w:pPr>
        <w:spacing w:after="120"/>
        <w:jc w:val="both"/>
      </w:pPr>
      <w:r>
        <w:rPr>
          <w:rFonts w:ascii="Arial" w:cs="Arial" w:eastAsia="Arial" w:hAnsi="Arial"/>
          <w:sz w:val="24"/>
          <w:szCs w:val="24"/>
        </w:rPr>
        <w:t xml:space="preserve">(17) От наличного населения.</w:t>
      </w:r>
    </w:p>
    <w:p>
      <w:pPr>
        <w:spacing w:after="120"/>
        <w:jc w:val="both"/>
      </w:pPr>
      <w:r>
        <w:rPr>
          <w:rFonts w:ascii="Arial" w:cs="Arial" w:eastAsia="Arial" w:hAnsi="Arial"/>
          <w:sz w:val="24"/>
          <w:szCs w:val="24"/>
        </w:rPr>
        <w:t xml:space="preserve">(18) От прожиточного минимума.</w:t>
      </w:r>
    </w:p>
    <w:p>
      <w:pPr>
        <w:spacing w:after="120"/>
        <w:jc w:val="both"/>
      </w:pPr>
      <w:r>
        <w:rPr>
          <w:rFonts w:ascii="Arial" w:cs="Arial" w:eastAsia="Arial" w:hAnsi="Arial"/>
          <w:sz w:val="24"/>
          <w:szCs w:val="24"/>
        </w:rPr>
        <w:t xml:space="preserve">(19) По данным Социального Фонда КР.</w:t>
      </w:r>
    </w:p>
    <w:p>
      <w:pPr>
        <w:spacing w:after="120"/>
        <w:jc w:val="both"/>
      </w:pPr>
      <w:r>
        <w:rPr>
          <w:rFonts w:ascii="Arial" w:cs="Arial" w:eastAsia="Arial" w:hAnsi="Arial"/>
          <w:sz w:val="24"/>
          <w:szCs w:val="24"/>
        </w:rPr>
        <w:t xml:space="preserve">(20) С учетом компенсационных выплат.</w:t>
      </w:r>
    </w:p>
    <w:p>
      <w:pPr>
        <w:spacing w:after="120"/>
        <w:jc w:val="both"/>
      </w:pPr>
      <w:r>
        <w:rPr>
          <w:rFonts w:ascii="Arial" w:cs="Arial" w:eastAsia="Arial" w:hAnsi="Arial"/>
          <w:sz w:val="24"/>
          <w:szCs w:val="24"/>
        </w:rPr>
        <w:t xml:space="preserve">(21) По данным Социального Фонда КР на 1 января 2012 года.</w:t>
      </w:r>
    </w:p>
    <w:p>
      <w:pPr>
        <w:spacing w:after="120"/>
        <w:jc w:val="both"/>
      </w:pPr>
      <w:r>
        <w:rPr>
          <w:rFonts w:ascii="Arial" w:cs="Arial" w:eastAsia="Arial" w:hAnsi="Arial"/>
          <w:sz w:val="24"/>
          <w:szCs w:val="24"/>
        </w:rPr>
        <w:t xml:space="preserve">(22) С 2009 г. по данным НСК КР.</w:t>
      </w:r>
    </w:p>
    <w:p>
      <w:pPr>
        <w:spacing w:after="120"/>
        <w:jc w:val="both"/>
      </w:pPr>
      <w:r>
        <w:rPr>
          <w:rFonts w:ascii="Arial" w:cs="Arial" w:eastAsia="Arial" w:hAnsi="Arial"/>
          <w:sz w:val="24"/>
          <w:szCs w:val="24"/>
        </w:rPr>
        <w:t xml:space="preserve">(23) По оперативным данным НБКР.</w:t>
      </w:r>
    </w:p>
    <w:p>
      <w:pPr>
        <w:spacing w:after="120"/>
        <w:jc w:val="both"/>
      </w:pPr>
      <w:r>
        <w:rPr>
          <w:rFonts w:ascii="Arial" w:cs="Arial" w:eastAsia="Arial" w:hAnsi="Arial"/>
          <w:sz w:val="24"/>
          <w:szCs w:val="24"/>
        </w:rPr>
        <w:t xml:space="preserve">(24) По данным Министерства здравоохранения КР.</w:t>
      </w:r>
    </w:p>
    <w:p>
      <w:pPr>
        <w:spacing w:after="120"/>
        <w:jc w:val="both"/>
      </w:pPr>
      <w:r>
        <w:rPr>
          <w:rFonts w:ascii="Arial" w:cs="Arial" w:eastAsia="Arial" w:hAnsi="Arial"/>
          <w:sz w:val="24"/>
          <w:szCs w:val="24"/>
        </w:rPr>
        <w:t xml:space="preserve">(25) По данным Министерства здравоохранения КР.</w:t>
      </w:r>
    </w:p>
    <w:p>
      <w:pPr>
        <w:spacing w:after="120"/>
        <w:jc w:val="both"/>
      </w:pPr>
      <w:r>
        <w:rPr>
          <w:rFonts w:ascii="Arial" w:cs="Arial" w:eastAsia="Arial" w:hAnsi="Arial"/>
          <w:sz w:val="24"/>
          <w:szCs w:val="24"/>
        </w:rPr>
        <w:t xml:space="preserve">(26) По данным Министерства финансов КР.</w:t>
      </w:r>
    </w:p>
    <w:p>
      <w:pPr>
        <w:spacing w:after="120"/>
        <w:jc w:val="both"/>
      </w:pPr>
      <w:r>
        <w:rPr>
          <w:rFonts w:ascii="Arial" w:cs="Arial" w:eastAsia="Arial" w:hAnsi="Arial"/>
          <w:sz w:val="24"/>
          <w:szCs w:val="24"/>
        </w:rPr>
        <w:t xml:space="preserve">(27) По данным Министерства образования и науки КР.</w:t>
      </w:r>
    </w:p>
    <w:p>
      <w:pPr>
        <w:spacing w:after="120"/>
        <w:jc w:val="both"/>
      </w:pPr>
      <w:r>
        <w:rPr>
          <w:rFonts w:ascii="Arial" w:cs="Arial" w:eastAsia="Arial" w:hAnsi="Arial"/>
          <w:sz w:val="24"/>
          <w:szCs w:val="24"/>
        </w:rPr>
        <w:t xml:space="preserve">(28) По данным Министерства финансов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miwskxmbqqgwcylsi2t">
      <w:r>
        <w:rPr>
          <w:rFonts w:ascii="Arial" w:cs="Arial" w:eastAsia="Arial" w:hAnsi="Arial"/>
          <w:color w:val="132D3F"/>
          <w:sz w:val="16"/>
          <w:szCs w:val="16"/>
          <w:u w:val="single"/>
        </w:rPr>
        <w:t xml:space="preserve">dalil.kg/document/93337</w:t>
      </w:r>
    </w:hyperlink>
  </w:p>
  <w:p>
    <w:pPr>
      <w:spacing w:after="0" w:before="40"/>
      <w:jc w:val="center"/>
    </w:pPr>
    <w:hyperlink w:history="1" r:id="rIdwdwlgvgecahpw7unklv1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rnsh9haj06jyolomepn" Type="http://schemas.openxmlformats.org/officeDocument/2006/relationships/hyperlink" Target="https://dalil.kg/document/96105" TargetMode="External"/><Relationship Id="rIdhzmwhyhex7zongoxmtu1i" Type="http://schemas.openxmlformats.org/officeDocument/2006/relationships/hyperlink" Target="https://dalil.kg/document/9610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miwskxmbqqgwcylsi2t" Type="http://schemas.openxmlformats.org/officeDocument/2006/relationships/hyperlink" Target="https://dalil.kg/document/93337" TargetMode="External"/><Relationship Id="rIdwdwlgvgecahpw7unklv1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2026-09-25T05:48:23.695Z</dcterms:created>
  <dcterms:modified xsi:type="dcterms:W3CDTF">2026-09-25T05:48:23.695Z</dcterms:modified>
</cp:coreProperties>
</file>

<file path=docProps/custom.xml><?xml version="1.0" encoding="utf-8"?>
<Properties xmlns="http://schemas.openxmlformats.org/officeDocument/2006/custom-properties" xmlns:vt="http://schemas.openxmlformats.org/officeDocument/2006/docPropsVTypes"/>
</file>