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специальном счете </w:t>
      </w:r>
      <w:r>
        <w:rPr>
          <w:rFonts w:ascii="Arial" w:cs="Arial" w:eastAsia="Arial" w:hAnsi="Arial"/>
          <w:sz w:val="24"/>
          <w:szCs w:val="24"/>
        </w:rPr>
        <w:t xml:space="preserve">Лесной службы при Министерстве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kqthxyo2fzk96guhwi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базы, создания необходимых условий для эффективной работы и обеспечения социальной защиты работников Государственного агентства охраны окружающей среды и лесного хозяйства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специальном счете </w:t>
      </w:r>
      <w:r>
        <w:rPr>
          <w:rFonts w:ascii="Arial" w:cs="Arial" w:eastAsia="Arial" w:hAnsi="Arial"/>
          <w:sz w:val="24"/>
          <w:szCs w:val="24"/>
        </w:rPr>
        <w:t xml:space="preserve">Лесной службы при Министерстве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</w:t>
      </w:r>
      <w:hyperlink w:history="1" r:id="rIdikpjjeo5bpmjvsp9vlu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7jko2rwwbnefd85krs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обеспечить использование средств специального счета в соответствии с Положением,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Правительства Кыргызской Республики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о специальном счете Лесной службы при Министерстве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qe_pwzxukuuz3ds-0n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Средствами Специального счета являются средства, получаемые Лесной службой при Министерстве чрезвычайных ситуаций Кыргызской Республики (далее - Служба), помимо ассигнований, выделяемых из государственного бюджета Кыргызской Республики. Расходование средств Специального счета производится через систему казначейства согласно установленным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средства включаются в государственный бюджет Кыргызской Республики и выделяются в доходной и расходной частях бюджета отдельным приложением.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счет Службы открывается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материально-технических условий для повышения эффективности работы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и гарантий для работников системы Службы, повышения их заинтересованности в результатах своего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квалификации работников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единовременной материальной помощи работникам системы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ze3mgaq9zqiddmjyoo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Источники формирования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отчислений от специальных средств подведомственных подразделений Службы в соответствии с Положением о средствах бюджетных учреждений, аккумулируемых на специальных счетах в системе единого казначейского счета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гуманитарной, спонсорской помощи, грантов и средств от проведения марафонов.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oftisshqqpa7xxnqof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Поступление денежных средств осуществляется в наличной и безналичной форме, в национальной валюте,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и учета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 системы Службы для лечебных и иных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работникам системы Службы стоимости путевок в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и материальное поощрение работников системы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коммунально-эксплуатационные услуги, услуги связи, аренду помещений, командировочные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автотранспорта для служебных целей, запасных частей к нему и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доплат, надбавок и поощрительные выплаты, в том числе за ненормированный труд и сверхурочную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 по использованию личных автомашин в служебных целях согласно существующим нормативным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транспорте внутри города, района и частичную компенсацию расходов на 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долевое участие в строительстве жилья и оздоровительных учреждений, приобретение ведомственного жилья, капитальный и текущий ремонт служебных помещений и другие расходы по улучшению условий труда и быта работников системы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встреч иностранных гостей, оплату командировочных расходов при выезде за границу по обмену опытом работы и на повышение квалификации, а также другие расходы, не предусмотренные сметой;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в связи с рождением ребенка, заключением брака, в связи с юбилейными датами работников (50, 55, 60, 65, 70 лет), смертью сотрудника, его близких 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и гражданско-правовым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деятельности Службы и улучшение бытовых условий работников системы Службы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коллективному договору, заключаемому работодателем и представительным органом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природоохранные и хозяйственные мероприятия и затраты, связанные с деятельностью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0zswgz36nbzuhn519i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используются в строгом соответствии со статьями расходов, предусмотренными бюджетной 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Специального счета до утверждения сметы расходов не допускается и осуществляется только в пределах утвержденной сметы. При необходимости, сметы расходов средств, поступивших сверх утвержденных смет, могут быть дополнительно представлены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Остатки средств Специального счета,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-xmlsvahar1xro5nn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dalil.kg/document/93346</w:t>
      </w:r>
    </w:hyperlink>
  </w:p>
  <w:p>
    <w:pPr>
      <w:spacing w:after="0" w:before="40"/>
      <w:jc w:val="center"/>
    </w:pPr>
    <w:hyperlink w:history="1" r:id="rId_llcp5-etpdmwnmnudc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qthxyo2fzk96guhwin2" Type="http://schemas.openxmlformats.org/officeDocument/2006/relationships/hyperlink" Target="https://dalil.kg/document/230006801" TargetMode="External"/><Relationship Id="rIdikpjjeo5bpmjvsp9vlura" Type="http://schemas.openxmlformats.org/officeDocument/2006/relationships/hyperlink" Target="https://dalil.kg/document/93346#p1" TargetMode="External"/><Relationship Id="rIdo7jko2rwwbnefd85krsjl" Type="http://schemas.openxmlformats.org/officeDocument/2006/relationships/hyperlink" Target="https://dalil.kg/document/230006801" TargetMode="External"/><Relationship Id="rIdmqe_pwzxukuuz3ds-0ntv" Type="http://schemas.openxmlformats.org/officeDocument/2006/relationships/hyperlink" Target="https://dalil.kg/document/230006801" TargetMode="External"/><Relationship Id="rIdtze3mgaq9zqiddmjyoohv" Type="http://schemas.openxmlformats.org/officeDocument/2006/relationships/hyperlink" Target="https://dalil.kg/document/230006801" TargetMode="External"/><Relationship Id="rIdeoftisshqqpa7xxnqofds" Type="http://schemas.openxmlformats.org/officeDocument/2006/relationships/hyperlink" Target="https://dalil.kg/document/230006801" TargetMode="External"/><Relationship Id="rIdp0zswgz36nbzuhn519i_5" Type="http://schemas.openxmlformats.org/officeDocument/2006/relationships/hyperlink" Target="https://dalil.kg/document/2300068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-xmlsvahar1xro5nn-i" Type="http://schemas.openxmlformats.org/officeDocument/2006/relationships/hyperlink" Target="https://dalil.kg/document/93346" TargetMode="External"/><Relationship Id="rId_llcp5-etpdmwnmnudc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2026-09-25T01:49:00.029Z</dcterms:created>
  <dcterms:modified xsi:type="dcterms:W3CDTF">2026-09-25T01:49:00.029Z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