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b0xmh4wuiepyrgeoukudx">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мая 2012 года № 279</w:t>
      </w:r>
    </w:p>
    <w:p>
      <w:pPr>
        <w:spacing w:after="120"/>
        <w:jc w:val="both"/>
      </w:pPr>
      <w:r>
        <w:rPr>
          <w:rFonts w:ascii="Arial" w:cs="Arial" w:eastAsia="Arial" w:hAnsi="Arial"/>
          <w:sz w:val="24"/>
          <w:szCs w:val="24"/>
        </w:rPr>
        <w:t xml:space="preserve">Об отчете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В соответствии с пунктом 6 части 1 статьи 88 </w:t>
      </w:r>
      <w:hyperlink w:history="1" r:id="rId_3xzkfrcsd9jlumeondh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w:t>
      </w:r>
    </w:p>
    <w:p>
      <w:pPr>
        <w:spacing w:after="120"/>
        <w:jc w:val="both"/>
      </w:pPr>
      <w:r>
        <w:rPr>
          <w:rFonts w:ascii="Arial" w:cs="Arial" w:eastAsia="Arial" w:hAnsi="Arial"/>
          <w:sz w:val="24"/>
          <w:szCs w:val="24"/>
        </w:rPr>
        <w:t xml:space="preserve">- отчет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 проект Закона Кыргызской Республики "Об утверждении отчета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2. Направить на рассмотрение в Жогорку Кенеш Кыргызской Республики:</w:t>
      </w:r>
    </w:p>
    <w:p>
      <w:pPr>
        <w:spacing w:after="120"/>
        <w:jc w:val="both"/>
      </w:pPr>
      <w:r>
        <w:rPr>
          <w:rFonts w:ascii="Arial" w:cs="Arial" w:eastAsia="Arial" w:hAnsi="Arial"/>
          <w:sz w:val="24"/>
          <w:szCs w:val="24"/>
        </w:rPr>
        <w:t xml:space="preserve">- отчет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 проект Закона Кыргызской Республики "Об утверждении отчета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Правительства Кыргызской Республики при рассмотрении данного отчета и проекта Закона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Об утверждении отчета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отчет об исполнении республиканского бюджета Кыргызской Республики за 2011 год с учетом специальных средств по доходам в сумме 69237323,7 тыс. сомов, по расходам в сумме 83085329,4 тыс. сомов, с превышением расходов над доходами в сумме 13848005,7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"Об утверждении отчета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государственных расходов Кыргызской Республики в 2011 году, как и ранее, была нацелена на полное и своевременное финансирование всех социальных гарантий государства и создание благоприятных условий для экономического роста.</w:t>
      </w:r>
    </w:p>
    <w:p>
      <w:pPr>
        <w:spacing w:after="120"/>
        <w:jc w:val="both"/>
      </w:pPr>
      <w:r>
        <w:rPr>
          <w:rFonts w:ascii="Arial" w:cs="Arial" w:eastAsia="Arial" w:hAnsi="Arial"/>
          <w:sz w:val="24"/>
          <w:szCs w:val="24"/>
        </w:rPr>
        <w:t xml:space="preserve">В 2011 году бюджетная политика была направлена на приоритетное финансирование социальных секторов, а также на снижение фискального дефицита.</w:t>
      </w:r>
    </w:p>
    <w:p>
      <w:pPr>
        <w:spacing w:after="120"/>
        <w:jc w:val="both"/>
      </w:pPr>
      <w:r>
        <w:rPr>
          <w:rFonts w:ascii="Arial" w:cs="Arial" w:eastAsia="Arial" w:hAnsi="Arial"/>
          <w:sz w:val="24"/>
          <w:szCs w:val="24"/>
        </w:rPr>
        <w:t xml:space="preserve">Несмотря на ограниченность бюджетных средств, принятые обязательства по социальным выплатам государство выполняло без задержек.</w:t>
      </w:r>
    </w:p>
    <w:p>
      <w:pPr>
        <w:spacing w:after="120"/>
        <w:jc w:val="both"/>
      </w:pPr>
      <w:r>
        <w:rPr>
          <w:rFonts w:ascii="Arial" w:cs="Arial" w:eastAsia="Arial" w:hAnsi="Arial"/>
          <w:sz w:val="24"/>
          <w:szCs w:val="24"/>
        </w:rPr>
        <w:t xml:space="preserve">По итогам 2011 года совокупные доходы (текущие доходы и поступления от продажи нефинансовых активов) республиканского бюджета за 2011 год (с учетом специальных средств и внешних грантов ПГИ) составили 69237,3 млн. сомов, или 99,8% к плану в сумме 69360,0 млн. сомов.</w:t>
      </w:r>
    </w:p>
    <w:p>
      <w:pPr>
        <w:spacing w:after="120"/>
        <w:jc w:val="both"/>
      </w:pPr>
      <w:r>
        <w:rPr>
          <w:rFonts w:ascii="Arial" w:cs="Arial" w:eastAsia="Arial" w:hAnsi="Arial"/>
          <w:sz w:val="24"/>
          <w:szCs w:val="24"/>
        </w:rPr>
        <w:t xml:space="preserve">Общий объем налоговых поступлений составили 46125,2 млн. сомов, или выполнение плана в сумме 45180,8 млн. сомов составило 102,1%. В доход республиканского бюджета дополнительно поступило 944,4 млн. сомов. Номинальный темп роста данного показателя по сравнению с аналогичным показателем прошлого года составил 139,3%, или 13003,0 млн. сомов.</w:t>
      </w:r>
    </w:p>
    <w:p>
      <w:pPr>
        <w:spacing w:after="120"/>
        <w:jc w:val="both"/>
      </w:pPr>
      <w:r>
        <w:rPr>
          <w:rFonts w:ascii="Arial" w:cs="Arial" w:eastAsia="Arial" w:hAnsi="Arial"/>
          <w:sz w:val="24"/>
          <w:szCs w:val="24"/>
        </w:rPr>
        <w:t xml:space="preserve">Общая сумма поступивших в республиканский бюджет дивидендов, причитающихся на государственную долю акций от деятельности акционерных предприятий, составила 2923,2 млн. сомов, или план в сумме 2844,1 млн. сомов выполнен на 102,8%. По сравнению с аналогичным периодом 2010 года показатели доходов возросли в денежном выражении на 2233,4 млн. сомов.</w:t>
      </w:r>
    </w:p>
    <w:p>
      <w:pPr>
        <w:spacing w:after="120"/>
        <w:jc w:val="both"/>
      </w:pPr>
      <w:r>
        <w:rPr>
          <w:rFonts w:ascii="Arial" w:cs="Arial" w:eastAsia="Arial" w:hAnsi="Arial"/>
          <w:sz w:val="24"/>
          <w:szCs w:val="24"/>
        </w:rPr>
        <w:t xml:space="preserve">Зачисление в доходную часть республиканского бюджета грантов из-за границы в 2011 году составило 8752,3 млн. сомов, или 90,7% к плану. Из них грант ПГИ составил 4681,2 млн. сомов.</w:t>
      </w:r>
    </w:p>
    <w:p>
      <w:pPr>
        <w:spacing w:after="120"/>
        <w:jc w:val="both"/>
      </w:pPr>
      <w:r>
        <w:rPr>
          <w:rFonts w:ascii="Arial" w:cs="Arial" w:eastAsia="Arial" w:hAnsi="Arial"/>
          <w:sz w:val="24"/>
          <w:szCs w:val="24"/>
        </w:rPr>
        <w:t xml:space="preserve">Предприятиями и организациями возвращено по ранее выданным ссудам и кредитам (с учетом процентов) 5731,5 млн. сомов против запланированных 5851,8 млн. сомов к плану. По сравнению с аналогичным периодом 2010 года показатели доходов в денежном выражении уменьшилось на 929,1 млн. сомов.</w:t>
      </w:r>
    </w:p>
    <w:p>
      <w:pPr>
        <w:spacing w:after="120"/>
        <w:jc w:val="both"/>
      </w:pPr>
      <w:r>
        <w:rPr>
          <w:rFonts w:ascii="Arial" w:cs="Arial" w:eastAsia="Arial" w:hAnsi="Arial"/>
          <w:sz w:val="24"/>
          <w:szCs w:val="24"/>
        </w:rPr>
        <w:t xml:space="preserve">Доходы, поступившие за 2011 год в республиканский бюджет от приватизации государственной собственности, составили 159,4 млн. сомов, план в сумме 212,0 млн. сомов выполнен на 75,2%. По сравнению с аналогичным периодом 2010 года показатели доходов от приватизации в денежном выражении уменьшились на 1315,9 млн. сомов.</w:t>
      </w:r>
    </w:p>
    <w:p>
      <w:pPr>
        <w:spacing w:after="120"/>
        <w:jc w:val="both"/>
      </w:pPr>
      <w:r>
        <w:rPr>
          <w:rFonts w:ascii="Arial" w:cs="Arial" w:eastAsia="Arial" w:hAnsi="Arial"/>
          <w:sz w:val="24"/>
          <w:szCs w:val="24"/>
        </w:rPr>
        <w:t xml:space="preserve">Доходы по государственным казначейским векселям составили 8781,0 млн. сомов, или 100,1% к прогнозу.</w:t>
      </w:r>
    </w:p>
    <w:p>
      <w:pPr>
        <w:spacing w:after="120"/>
        <w:jc w:val="both"/>
      </w:pPr>
      <w:r>
        <w:rPr>
          <w:rFonts w:ascii="Arial" w:cs="Arial" w:eastAsia="Arial" w:hAnsi="Arial"/>
          <w:sz w:val="24"/>
          <w:szCs w:val="24"/>
        </w:rPr>
        <w:t xml:space="preserve">Совокупные расходы (текущие расходы и расходы по приобретению нефинансовых активов) республиканского бюджета Кыргызской Республики (с учетом специальных средств, внешних грантов и кредитов ПГИ) за 2011 год составило 83085,3 млн. сомов, или 96,5% от уточненного плана в сумме 86099,7 млн. сомов. К объему ВВП совокупные расходы республиканского бюджета составили 30,4 процента. По сравнению с прошлым годом расходы республиканского бюджета возросли на 22085,9 млн. сомов или на 36,2 процента.</w:t>
      </w:r>
    </w:p>
    <w:p>
      <w:pPr>
        <w:spacing w:after="120"/>
        <w:jc w:val="both"/>
      </w:pPr>
      <w:r>
        <w:rPr>
          <w:rFonts w:ascii="Arial" w:cs="Arial" w:eastAsia="Arial" w:hAnsi="Arial"/>
          <w:sz w:val="24"/>
          <w:szCs w:val="24"/>
        </w:rPr>
        <w:t xml:space="preserve">Совокупные расходы республиканского бюджета Кыргызской Республики за 2011 год (без учета специальных средств, внешних грантов и кредитов ПГИ) составили 65208,0 млн. сомов при уточненном плане 66360,0 млн. сомов, или исполнен на 98,3 процента. К объему ВВП совокупные расходы республиканского бюджета составили 23,9 процентных пункта. Абсолютный прирост расходов республиканского бюджета в 2011 году составил 16712,3 млн. сомов, или возрос на 34,5%.</w:t>
      </w:r>
    </w:p>
    <w:p>
      <w:pPr>
        <w:spacing w:after="120"/>
        <w:jc w:val="both"/>
      </w:pPr>
      <w:r>
        <w:rPr>
          <w:rFonts w:ascii="Arial" w:cs="Arial" w:eastAsia="Arial" w:hAnsi="Arial"/>
          <w:sz w:val="24"/>
          <w:szCs w:val="24"/>
        </w:rPr>
        <w:t xml:space="preserve">Относительно высокий процент исполнения плана расходов наблюдается по таким статьям, как "Заработная плата" - 99,0% (12389,4 млн. сомов), "Расходы представленные единой статьей в системе здравоохранения" 99,9% (5386,4 млн. сомов), "Приобретение медикаментов и изделий медицинского назначения" - 99,8% (425,0 млн. сомов), "Приобретение продуктов питания" - 99,7% (1461,6 млн. сомов), "Текущие гранты международным организациям" - 99,9% (199,8 млн. сомов), "Пособия" - 99,1% (13493,6 млн. сомов).</w:t>
      </w:r>
    </w:p>
    <w:p>
      <w:pPr>
        <w:spacing w:after="120"/>
        <w:jc w:val="both"/>
      </w:pPr>
      <w:r>
        <w:rPr>
          <w:rFonts w:ascii="Arial" w:cs="Arial" w:eastAsia="Arial" w:hAnsi="Arial"/>
          <w:sz w:val="24"/>
          <w:szCs w:val="24"/>
        </w:rPr>
        <w:t xml:space="preserve">Расходы республиканского бюджета на погашение основной суммы государственного долга составили 6669,2 млн. сомов или 99,9% при плане 6678,5 млн. сомов, в том числе расходы по погашению основной суммы внутреннего долга Правительства - 4695,9 млн. сомов, основной суммы внешнего долга Правительства - 1973,3 млн. сомов.</w:t>
      </w:r>
    </w:p>
    <w:p>
      <w:pPr>
        <w:spacing w:after="120"/>
        <w:jc w:val="both"/>
      </w:pPr>
      <w:r>
        <w:rPr>
          <w:rFonts w:ascii="Arial" w:cs="Arial" w:eastAsia="Arial" w:hAnsi="Arial"/>
          <w:sz w:val="24"/>
          <w:szCs w:val="24"/>
        </w:rPr>
        <w:t xml:space="preserve">Республиканский бюджет за 2011 год исполнен с дефицитом в сумме 13848,0 млн. сомов при плановом показателе дефицита 16739,7 млн. сомов.</w:t>
      </w:r>
    </w:p>
    <w:p>
      <w:pPr>
        <w:spacing w:after="120"/>
        <w:jc w:val="both"/>
      </w:pPr>
      <w:r>
        <w:rPr>
          <w:rFonts w:ascii="Arial" w:cs="Arial" w:eastAsia="Arial" w:hAnsi="Arial"/>
          <w:sz w:val="24"/>
          <w:szCs w:val="24"/>
        </w:rPr>
        <w:t xml:space="preserve">В соответствии с Законом Кыргызской Республики "Об основных принципах бюджетного права в Кыргызской Республике" отчет об исполнении республиканского бюджета Кыргызской Республики за соответствующий год составляется Министерством финансов Кыргызской Республики на основе отчетных данных министерств, государственных комитетов, административных ведомств, государственных комиссий и других центральных органов исполнительной власти и представляется в Правительство Кыргызской Республики в составе отчета об исполнении государственного бюджета.</w:t>
      </w:r>
    </w:p>
    <w:p>
      <w:pPr>
        <w:spacing w:after="120"/>
        <w:jc w:val="both"/>
      </w:pPr>
      <w:r>
        <w:rPr>
          <w:rFonts w:ascii="Arial" w:cs="Arial" w:eastAsia="Arial" w:hAnsi="Arial"/>
          <w:sz w:val="24"/>
          <w:szCs w:val="24"/>
        </w:rPr>
        <w:t xml:space="preserve">Согласно вышеуказанного Закона, а также в соответствии с подпунктом 6 пункта 1 статьи 88 Конституции Кыргызской Республики Правительство Кыргызской Республики представляет в Жогорку Кенеш Кыргызской Республики отчет об исполнении республиканского бюджета за соответствующий год в установленные сроки.</w:t>
      </w:r>
    </w:p>
    <w:p>
      <w:pPr>
        <w:spacing w:after="120"/>
        <w:jc w:val="both"/>
      </w:pPr>
      <w:r>
        <w:rPr>
          <w:rFonts w:ascii="Arial" w:cs="Arial" w:eastAsia="Arial" w:hAnsi="Arial"/>
          <w:sz w:val="24"/>
          <w:szCs w:val="24"/>
        </w:rPr>
        <w:t xml:space="preserve">В связи с вышеизложенным, Правительство Кыргызской Республики представляет Вам на рассмотрение отчет об исполнении республиканского бюджета Кыргызской Республики за 2011 год, а также проект Закона Кыргызской Республики "Об утверждении отчета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ПОЯСНИТЕЛЬНАЯ ЗАПИСКА
 к отчету об исполнении государственного бюджета 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Макроэкономическая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Нацстаткомитета КР за 2011 год реальный рост ВВП сложился на уровне 5,7%, что выше уровня 2010 года на 6,2 процентных пункта, а номинальный объем ВВП сложился на уровне 273,1 млрд. сомов.</w:t>
      </w:r>
    </w:p>
    <w:p>
      <w:pPr>
        <w:spacing w:after="120"/>
        <w:jc w:val="both"/>
      </w:pPr>
      <w:r>
        <w:rPr>
          <w:rFonts w:ascii="Arial" w:cs="Arial" w:eastAsia="Arial" w:hAnsi="Arial"/>
          <w:sz w:val="24"/>
          <w:szCs w:val="24"/>
        </w:rPr>
        <w:t xml:space="preserve">Реальный рост экономики без учета предприятий по разработке месторождении "Кумтор" составил 5,6% (спад на 1,0% в 2010 году) в результате роста производства в промышленности (без Кумтор) на 18,8%, в сельском хозяйстве на 2,3%, услуг на 5,6%.</w:t>
      </w:r>
    </w:p>
    <w:p>
      <w:pPr>
        <w:spacing w:after="120"/>
        <w:jc w:val="both"/>
      </w:pPr>
      <w:r>
        <w:rPr>
          <w:rFonts w:ascii="Arial" w:cs="Arial" w:eastAsia="Arial" w:hAnsi="Arial"/>
          <w:sz w:val="24"/>
          <w:szCs w:val="24"/>
        </w:rPr>
        <w:t xml:space="preserve">Индекс потребительских цен в 2011 году к декабрю прошлого года составил 5,7% (за 2010 год к декабрю 2009 года 19,2%).</w:t>
      </w:r>
    </w:p>
    <w:p>
      <w:pPr>
        <w:spacing w:after="120"/>
        <w:jc w:val="both"/>
      </w:pPr>
      <w:r>
        <w:rPr>
          <w:rFonts w:ascii="Arial" w:cs="Arial" w:eastAsia="Arial" w:hAnsi="Arial"/>
          <w:sz w:val="24"/>
          <w:szCs w:val="24"/>
        </w:rPr>
        <w:t xml:space="preserve">Индекс потребительских цен к соответствующему периоду прошлого года составил 16,6% (в 2010 году к 2009 г. - 8,0%).</w:t>
      </w:r>
    </w:p>
    <w:p>
      <w:pPr>
        <w:spacing w:after="120"/>
        <w:jc w:val="both"/>
      </w:pPr>
      <w:r>
        <w:rPr>
          <w:rFonts w:ascii="Arial" w:cs="Arial" w:eastAsia="Arial" w:hAnsi="Arial"/>
          <w:sz w:val="24"/>
          <w:szCs w:val="24"/>
        </w:rPr>
        <w:t xml:space="preserve">Учетный курс доллара понизился на 1,3% по отношению к концу декабря 2010 года и на конец декабря 2011 года составил 46,4847 сом/доллар США.</w:t>
      </w:r>
    </w:p>
    <w:p>
      <w:pPr>
        <w:spacing w:after="120"/>
        <w:jc w:val="both"/>
      </w:pPr>
      <w:r>
        <w:rPr>
          <w:rFonts w:ascii="Arial" w:cs="Arial" w:eastAsia="Arial" w:hAnsi="Arial"/>
          <w:sz w:val="24"/>
          <w:szCs w:val="24"/>
        </w:rPr>
        <w:t xml:space="preserve">По итогам 2011 года производство промышленной продукции в реальном выражении увеличилось на 11,9% (рост на 9,8% в 2010 году). В промышленности без учета Кумтора рост произошел на 18,8% (рост на 11,7% в 2010 году). Увеличение реальных темпов роста наблюдалось в обрабатывающей промышленности - на 9,8%, горнодобывающей промышленности - на 24,6%, энергетическом секторе - на 22,4%.</w:t>
      </w:r>
    </w:p>
    <w:p>
      <w:pPr>
        <w:spacing w:after="120"/>
        <w:jc w:val="both"/>
      </w:pPr>
      <w:r>
        <w:rPr>
          <w:rFonts w:ascii="Arial" w:cs="Arial" w:eastAsia="Arial" w:hAnsi="Arial"/>
          <w:sz w:val="24"/>
          <w:szCs w:val="24"/>
        </w:rPr>
        <w:t xml:space="preserve">В сфере услуг в 2011 году реальный рост составил 5,6% (спад на 0,9% в 2010 году). Рост услуг торговли, ремонта автомобилей, бытовых изделий и предметов личного пользования составил 6,7%, в том числе, рост розничной торговли (кроме торговли автомобилями и моторным топливом) составил 6,2%.</w:t>
      </w:r>
    </w:p>
    <w:p>
      <w:pPr>
        <w:spacing w:after="120"/>
        <w:jc w:val="both"/>
      </w:pPr>
      <w:r>
        <w:rPr>
          <w:rFonts w:ascii="Arial" w:cs="Arial" w:eastAsia="Arial" w:hAnsi="Arial"/>
          <w:sz w:val="24"/>
          <w:szCs w:val="24"/>
        </w:rPr>
        <w:t xml:space="preserve">Рост услуг гостиниц и ресторанов в 2011 году составил 9,2% (спад на 7,4% в 2010 году) в связи с увеличением потребительского спроса на данные виды услуг.</w:t>
      </w:r>
    </w:p>
    <w:p>
      <w:pPr>
        <w:spacing w:after="120"/>
        <w:jc w:val="both"/>
      </w:pPr>
      <w:r>
        <w:rPr>
          <w:rFonts w:ascii="Arial" w:cs="Arial" w:eastAsia="Arial" w:hAnsi="Arial"/>
          <w:sz w:val="24"/>
          <w:szCs w:val="24"/>
        </w:rPr>
        <w:t xml:space="preserve">Услуги почтовой и электрической связи в 2011 году увеличились на 11,4% по сравнению с 2010 годом, тарифные доходы составили 19141,7 млн. сомов.</w:t>
      </w:r>
    </w:p>
    <w:p>
      <w:pPr>
        <w:spacing w:after="120"/>
        <w:jc w:val="both"/>
      </w:pPr>
      <w:r>
        <w:rPr>
          <w:rFonts w:ascii="Arial" w:cs="Arial" w:eastAsia="Arial" w:hAnsi="Arial"/>
          <w:sz w:val="24"/>
          <w:szCs w:val="24"/>
        </w:rPr>
        <w:t xml:space="preserve">Услуги перевозок пассажиров в 2011 году выросли на 6,2%. Объем грузов, перевезенных всеми видами транспорта, увеличился на 2,1% (рост на 1,5% в 2010 году).</w:t>
      </w:r>
    </w:p>
    <w:p>
      <w:pPr>
        <w:spacing w:after="120"/>
        <w:jc w:val="both"/>
      </w:pPr>
      <w:r>
        <w:rPr>
          <w:rFonts w:ascii="Arial" w:cs="Arial" w:eastAsia="Arial" w:hAnsi="Arial"/>
          <w:sz w:val="24"/>
          <w:szCs w:val="24"/>
        </w:rPr>
        <w:t xml:space="preserve">В 2011 году объем продукции сельского хозяйства, охоты и лесного хозяйства составил 147347,6 млн. сомов, рост на 2,3% (спад на 2,6% в 2010 году).</w:t>
      </w:r>
    </w:p>
    <w:p>
      <w:pPr>
        <w:spacing w:after="120"/>
        <w:jc w:val="both"/>
      </w:pPr>
      <w:r>
        <w:rPr>
          <w:rFonts w:ascii="Arial" w:cs="Arial" w:eastAsia="Arial" w:hAnsi="Arial"/>
          <w:sz w:val="24"/>
          <w:szCs w:val="24"/>
        </w:rPr>
        <w:t xml:space="preserve">В 2011 году уровень освоения инвестиций в основной капитал за счет всех источников финансирования снизился на 6,6%, по сравнению с 2010 годом (спад на 9,2% в 2010 году). За отчетный период фактически освоено 47399,5 млн. сомов инвестиций в основной капитал.</w:t>
      </w:r>
    </w:p>
    <w:p>
      <w:pPr>
        <w:spacing w:after="120"/>
        <w:jc w:val="both"/>
      </w:pPr>
      <w:r>
        <w:rPr>
          <w:rFonts w:ascii="Arial" w:cs="Arial" w:eastAsia="Arial" w:hAnsi="Arial"/>
          <w:sz w:val="24"/>
          <w:szCs w:val="24"/>
        </w:rPr>
        <w:t xml:space="preserve">Исходя из общего объема использованных капитальных инвестиций, общий объем валовой продукции строительства за 2011 год составил 41761,8 млн. сомов со спадом на 3,9% (спад на 18,5% в 2010 году).</w:t>
      </w:r>
    </w:p>
    <w:p>
      <w:pPr>
        <w:spacing w:after="120"/>
        <w:jc w:val="both"/>
      </w:pPr>
      <w:r>
        <w:rPr>
          <w:rFonts w:ascii="Arial" w:cs="Arial" w:eastAsia="Arial" w:hAnsi="Arial"/>
          <w:sz w:val="24"/>
          <w:szCs w:val="24"/>
        </w:rPr>
        <w:t xml:space="preserve">Численность официально зарегистрированных безработных на конец 2011 года составила 61,1 тыс. человек и снизилась по сравнению с 2010 годом на 3,7% (увеличение на 3,3% в 2010 году).</w:t>
      </w:r>
    </w:p>
    <w:p>
      <w:pPr>
        <w:spacing w:after="120"/>
        <w:jc w:val="both"/>
      </w:pPr>
      <w:r>
        <w:rPr>
          <w:rFonts w:ascii="Arial" w:cs="Arial" w:eastAsia="Arial" w:hAnsi="Arial"/>
          <w:sz w:val="24"/>
          <w:szCs w:val="24"/>
        </w:rPr>
        <w:t xml:space="preserve">Реальный рост среднемесячной заработной платы за 2011 год составил 12,2%, в номинальном выражении среднемесячная заработная плата сложилась на уровне 9352 сомов.</w:t>
      </w:r>
    </w:p>
    <w:p>
      <w:pPr>
        <w:spacing w:after="120"/>
        <w:jc w:val="both"/>
      </w:pPr>
      <w:r>
        <w:rPr>
          <w:rFonts w:ascii="Arial" w:cs="Arial" w:eastAsia="Arial" w:hAnsi="Arial"/>
          <w:sz w:val="24"/>
          <w:szCs w:val="24"/>
        </w:rPr>
        <w:t xml:space="preserve">По предварительным данным внешнеторговый оборот за 2011 год составил 6488,6 млн. долл. США и увеличился по сравнению с 2010 годом на 30,3%, в том числе, экспорт - 2239,8 млн. долл. США (увеличение на 27,6%) и импорт - 4248,8 млн. долл. США (увеличение на 31,8%).</w:t>
      </w:r>
    </w:p>
    <w:p>
      <w:pPr>
        <w:spacing w:after="120"/>
        <w:jc w:val="both"/>
      </w:pPr>
      <w:r>
        <w:rPr>
          <w:rFonts w:ascii="Arial" w:cs="Arial" w:eastAsia="Arial" w:hAnsi="Arial"/>
          <w:sz w:val="24"/>
          <w:szCs w:val="24"/>
        </w:rPr>
        <w:t xml:space="preserve">Без учета золота объем экспорта составил 1233,6 млн. долл. США (увеличение на 13,4%).</w:t>
      </w:r>
    </w:p>
    <w:p>
      <w:pPr>
        <w:spacing w:after="120"/>
        <w:jc w:val="both"/>
      </w:pPr>
      <w:r>
        <w:rPr>
          <w:rFonts w:ascii="Arial" w:cs="Arial" w:eastAsia="Arial" w:hAnsi="Arial"/>
          <w:sz w:val="24"/>
          <w:szCs w:val="24"/>
        </w:rPr>
        <w:t xml:space="preserve">В связи с опережающим ростом объемов импорта над экспортом отрицательное сальдо торгового баланса составило 2009,0 млн. долл. США, увеличившись по сравнению с 2010 годом на 37,0%.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Исполнение доходной части государственного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ресурсную часть государственного бюджета за 2011 год всего поступило 103565,7 млн. сомов, или 99,5% к плану в сумме 104065,6 млн. сомов. Поступления по сравнению с аналогичным периодом 2010 года увеличились на 25338,4 млн. сомов, или на 32,4%. Удельный вес к ВВП составил 37,9%, что на 1,0% процентных пункта выше аналогичного уровня 2010 года.</w:t>
      </w:r>
    </w:p>
    <w:p>
      <w:pPr>
        <w:spacing w:after="120"/>
        <w:jc w:val="both"/>
      </w:pPr>
      <w:r>
        <w:rPr>
          <w:rFonts w:ascii="Arial" w:cs="Arial" w:eastAsia="Arial" w:hAnsi="Arial"/>
          <w:sz w:val="24"/>
          <w:szCs w:val="24"/>
        </w:rPr>
        <w:t xml:space="preserve">Совокупные доходы (текущие доходы и поступления от продажи нефинансовых активов) государственного бюджета за 2011 год (с учетом специальных средств и внешних грантов ПГИ) составили 77880,4 млн. сомов, или 99,8% к плану в сумме 78014,2 млн. сомов.</w:t>
      </w:r>
    </w:p>
    <w:p>
      <w:pPr>
        <w:spacing w:after="120"/>
        <w:jc w:val="both"/>
      </w:pPr>
      <w:r>
        <w:rPr>
          <w:rFonts w:ascii="Arial" w:cs="Arial" w:eastAsia="Arial" w:hAnsi="Arial"/>
          <w:sz w:val="24"/>
          <w:szCs w:val="24"/>
        </w:rPr>
        <w:t xml:space="preserve">Общий объем текущих доходов государственного бюджета за 2011 год составил 77424,3 млн. сомов или 100,0% от плана в сумме 77420,5 млн. сомов. В сравнении с показателем предыдущего года текущие доходы государственного бюджета возросли на 34,9% или на 20 039,3 млн. сомов.</w:t>
      </w:r>
    </w:p>
    <w:p>
      <w:pPr>
        <w:spacing w:after="120"/>
        <w:jc w:val="both"/>
      </w:pPr>
      <w:r>
        <w:rPr>
          <w:rFonts w:ascii="Arial" w:cs="Arial" w:eastAsia="Arial" w:hAnsi="Arial"/>
          <w:sz w:val="24"/>
          <w:szCs w:val="24"/>
        </w:rPr>
        <w:t xml:space="preserve">Объем налоговых доходов за отчетный период составил 53017,4 млн. сомов, или 101,5% от плана (сумма перевыполнения 788,6 млн. сомов). По отношению к уровню прошлого года налоговые доходы выросли на 13654,7 млн. сомов. В объеме ВВП доля налоговых поступлений составила 19,4% к ВВП и увеличилась на 0,8 процентных пункта.</w:t>
      </w:r>
    </w:p>
    <w:p>
      <w:pPr>
        <w:spacing w:after="120"/>
        <w:jc w:val="both"/>
      </w:pPr>
      <w:r>
        <w:rPr>
          <w:rFonts w:ascii="Arial" w:cs="Arial" w:eastAsia="Arial" w:hAnsi="Arial"/>
          <w:sz w:val="24"/>
          <w:szCs w:val="24"/>
        </w:rPr>
        <w:t xml:space="preserve">За отчетный период Государственной налоговой службой собрано доходов в сумме 30302,7 млн. сомов, плановый показатель перевыполнен на 100,8%, или на 247,8 млн. сомов. По сравнению с 2010 годом доходы ГНС выросли на 25,1% (на 6079,1 млн. сомов). В тоже время без учета Кумтор сборы ГНС в сравнении с прошлым годом увеличились на 22,0%, или на 4376,7 млн. сомов.</w:t>
      </w:r>
    </w:p>
    <w:p>
      <w:pPr>
        <w:spacing w:after="120"/>
        <w:jc w:val="both"/>
      </w:pPr>
      <w:r>
        <w:rPr>
          <w:rFonts w:ascii="Arial" w:cs="Arial" w:eastAsia="Arial" w:hAnsi="Arial"/>
          <w:sz w:val="24"/>
          <w:szCs w:val="24"/>
        </w:rPr>
        <w:t xml:space="preserve">Фактические сборы подоходного налога составили 4851,4 млн. сомов, при этом план с недобором на 1,8% или на 89,9 млн. сомов. По сравнению с прошлым годом рост составил 28,0% или 1062,5 млн. сомов, что связано в основном с ростом среднемесячной заработной платы на 12,2%, среднемесячная номинальная заработная плата одного работника за 2011 год сложилась на уровне 9352 сомов.</w:t>
      </w:r>
    </w:p>
    <w:p>
      <w:pPr>
        <w:spacing w:after="120"/>
        <w:jc w:val="both"/>
      </w:pPr>
      <w:r>
        <w:rPr>
          <w:rFonts w:ascii="Arial" w:cs="Arial" w:eastAsia="Arial" w:hAnsi="Arial"/>
          <w:sz w:val="24"/>
          <w:szCs w:val="24"/>
        </w:rPr>
        <w:t xml:space="preserve">Фактическое поступление по налогу на прибыль составило 2844,5 млн. сомов, плановый показатель выполнен на 102,2%, с перевыполнением в сумме 60,6 млн. сомов. По сравнению с фактом 2010 года наблюдается рост поступлений на 55,4% или на 1013,7 млн. сомов.</w:t>
      </w:r>
    </w:p>
    <w:p>
      <w:pPr>
        <w:spacing w:after="120"/>
        <w:jc w:val="both"/>
      </w:pPr>
      <w:r>
        <w:rPr>
          <w:rFonts w:ascii="Arial" w:cs="Arial" w:eastAsia="Arial" w:hAnsi="Arial"/>
          <w:sz w:val="24"/>
          <w:szCs w:val="24"/>
        </w:rPr>
        <w:t xml:space="preserve">Поступления налогов на основе патента составили 1528,7 млн. сомов, или 89,5% к плану. В общей сумме налогов на основе патента, налог на основе добровольного патента в сравнении с показателем 2010 года вырос всего на 5,7%, а налог на основе обязательного патента снизился на 3,8%. Не выполнение прогнозных показателей по налогу на основе добровольного патента связано с освобождением хозяйствующих субъектов, пострадавших во время событий в июне 2010 года, от уплаты налога на основе добровольного патента согласно Декрета Временного Правительства Кыргызской Республики № 77 от 19 июня 2010 года "О фискальных преференциях, льготах и отсрочках для физических и юридических лиц, пострадавших во время беспорядков в городе Ош, Ошской и Джалал-Абадской областях, и мерах по стабилизации и восстановлению региона"; снижением ставки патента по ТРК "Дордой" в среднем на 20%, ввиду уменьшения объемов торговли в связи с закрытием границ с Республиками Казахстан и Узбекистан; уменьшением количества предпринимателей, осуществляющих деятельность на ТРК "Карасуу" в связи с закрытием границ с Республикой Узбекистан; не приобретением патента отдельными развлекательными клубами в декабре 2011 года и приобретением Закона Кыргызской Республики от 1 ноября 2011 года № 191 "О запрете игорной деятельности в Кыргызской Республике".</w:t>
      </w:r>
    </w:p>
    <w:p>
      <w:pPr>
        <w:spacing w:after="120"/>
        <w:jc w:val="both"/>
      </w:pPr>
      <w:r>
        <w:rPr>
          <w:rFonts w:ascii="Arial" w:cs="Arial" w:eastAsia="Arial" w:hAnsi="Arial"/>
          <w:sz w:val="24"/>
          <w:szCs w:val="24"/>
        </w:rPr>
        <w:t xml:space="preserve">Невыполнение прогнозных показателей по налогу на основе обязательного патента связано с освобождением субъектов обязательного патентирования (обменное бюро, баня, дискотека и автостоянки), пострадавших во время событий в июне 2010 года, от уплаты налога на основе обязательного патента согласно вышеуказанного Декрета Временного Правительства Кыргызской Республики; потерями от субъектов игорной деятельности в связи с принятием Закона Кыргызской Республики от 1 ноября 2011 года № 191 "О запрете игорной деятельности в Кыргызской Республике". Также в соответствии с планом мероприятий "Экономика и безопасность" от расширения налогооблагаемой базы налога на основе обязательного патента на услуги по представлению игровых автоматов, в государственный бюджет на 2011 год дополнительно были заложены налоги на основе обязательного патента в сумме 40,0 млн. сомов.</w:t>
      </w:r>
    </w:p>
    <w:p>
      <w:pPr>
        <w:spacing w:after="120"/>
        <w:jc w:val="both"/>
      </w:pPr>
      <w:r>
        <w:rPr>
          <w:rFonts w:ascii="Arial" w:cs="Arial" w:eastAsia="Arial" w:hAnsi="Arial"/>
          <w:sz w:val="24"/>
          <w:szCs w:val="24"/>
        </w:rPr>
        <w:t xml:space="preserve">Налог на специальные средства при плановом показателе 1154,8 млн. сомов собрано 982,7 млн. сомов, план выполнен на 85,1% или меньше на 172,2 млн. сомов от установленного плана. Также сборы увеличились по сравнению с прошлогодними показателями на 25,3% или 198,4 млн. сомов. Невыполнение плана объясняется тем, что в 2011 году отдельные государственные учреждения были освобождены от уплаты данного вида налога.</w:t>
      </w:r>
    </w:p>
    <w:p>
      <w:pPr>
        <w:spacing w:after="120"/>
        <w:jc w:val="both"/>
      </w:pPr>
      <w:r>
        <w:rPr>
          <w:rFonts w:ascii="Arial" w:cs="Arial" w:eastAsia="Arial" w:hAnsi="Arial"/>
          <w:sz w:val="24"/>
          <w:szCs w:val="24"/>
        </w:rPr>
        <w:t xml:space="preserve">Поступления по земельному налогу в целом составили 761,8 млн. сомов, плановый показатель выполнен на 100,4%. Относительно прошлогоднего уровня поступления снизились на 4,6% или на 37,0 млн. сомов.</w:t>
      </w:r>
    </w:p>
    <w:p>
      <w:pPr>
        <w:spacing w:after="120"/>
        <w:jc w:val="both"/>
      </w:pPr>
      <w:r>
        <w:rPr>
          <w:rFonts w:ascii="Arial" w:cs="Arial" w:eastAsia="Arial" w:hAnsi="Arial"/>
          <w:sz w:val="24"/>
          <w:szCs w:val="24"/>
        </w:rPr>
        <w:t xml:space="preserve">По налогу на транспортные средства за отчетный период собрано 432,7 млн. сомов или 95,9% к плану. По отношению к факту 2010 года сборы увеличились на 8,0% или на 32,1 млн. сомов. В связи с обсуждением в ряде СМИ и Интернет изданиях вероятности отмены в 2011 году Государственного технического осмотра транспортных средств повлияло на поступления по данному виду налога.</w:t>
      </w:r>
    </w:p>
    <w:p>
      <w:pPr>
        <w:spacing w:after="120"/>
        <w:jc w:val="both"/>
      </w:pPr>
      <w:r>
        <w:rPr>
          <w:rFonts w:ascii="Arial" w:cs="Arial" w:eastAsia="Arial" w:hAnsi="Arial"/>
          <w:sz w:val="24"/>
          <w:szCs w:val="24"/>
        </w:rPr>
        <w:t xml:space="preserve">Фактическое поступление НДС на товары и услуги, производимые на территории Кыргызской Республики составило 5344,1 млн. сомов, план исполнен на 100,5% (сумма перевыполнения 24,1 млн. сомов). По сравнению с прошлым годом сборы увеличились на 26,3% (на 1112,1 млн. сомов).</w:t>
      </w:r>
    </w:p>
    <w:p>
      <w:pPr>
        <w:spacing w:after="120"/>
        <w:jc w:val="both"/>
      </w:pPr>
      <w:r>
        <w:rPr>
          <w:rFonts w:ascii="Arial" w:cs="Arial" w:eastAsia="Arial" w:hAnsi="Arial"/>
          <w:sz w:val="24"/>
          <w:szCs w:val="24"/>
        </w:rPr>
        <w:t xml:space="preserve">По налогу с продаж сборы составили 4128,4 млн. сомов, плановый показатель выполнен на 96,3%. В сравнении с показателем прошлого года также наблюдается увеличение поступлений на 11,6%, или на 429,5 млн. сомов. Основной причиной недопоступления данного вида налога послужило освобождение от уплаты налога с продаж, согласно принятого Временным Правительством Кыргызской Республики Декрета от 21 апреля 2010 года № 21 "О внесении изменений и дополнений в Налоговый кодекс Кыргызской Республики в части освобождения налога с продаж" реализации электроэнергии, теплоэнергии и природного газа.</w:t>
      </w:r>
    </w:p>
    <w:p>
      <w:pPr>
        <w:spacing w:after="120"/>
        <w:jc w:val="both"/>
      </w:pPr>
      <w:r>
        <w:rPr>
          <w:rFonts w:ascii="Arial" w:cs="Arial" w:eastAsia="Arial" w:hAnsi="Arial"/>
          <w:sz w:val="24"/>
          <w:szCs w:val="24"/>
        </w:rPr>
        <w:t xml:space="preserve">Поступления акцизного налога на товары, производимые на территории Кыргызской Республики составили 667,8 млн. сомов. Плановый показатель выполнен на 109,5%, сумма перевыполнения составила 58,0 млн. сомов. Темп роста относительно предыдущего года составил 28,2% или собрано больше на 147,0 млн. сомов.</w:t>
      </w:r>
    </w:p>
    <w:p>
      <w:pPr>
        <w:spacing w:after="120"/>
        <w:jc w:val="both"/>
      </w:pPr>
      <w:r>
        <w:rPr>
          <w:rFonts w:ascii="Arial" w:cs="Arial" w:eastAsia="Arial" w:hAnsi="Arial"/>
          <w:sz w:val="24"/>
          <w:szCs w:val="24"/>
        </w:rPr>
        <w:t xml:space="preserve">Налога за пользование недрами налоговыми органами собрано в сумме 385,8 млн. сомов, с перевыполнением плана на 6,0% или на 21,7 млн. сомов. По сравнению с прошлым годом сборы увеличились 87,5%, или на 180,1 млн. сомов.</w:t>
      </w:r>
    </w:p>
    <w:p>
      <w:pPr>
        <w:spacing w:after="120"/>
        <w:jc w:val="both"/>
      </w:pPr>
      <w:r>
        <w:rPr>
          <w:rFonts w:ascii="Arial" w:cs="Arial" w:eastAsia="Arial" w:hAnsi="Arial"/>
          <w:sz w:val="24"/>
          <w:szCs w:val="24"/>
        </w:rPr>
        <w:t xml:space="preserve">За рассматриваемый период Кумтором перечислено налога на валовый доход в сумме 6066,4 млн. сомов при плановом показателе 5734,4 млн. сомов, или 105,8% от плана, сумма перевыполнения составила 332,0 млн. сомов. По сравнению с прошлым годом Кумтором перечислено в бюджет больше на 1702,4 млн. сомов или на 39,0%.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по налоговым поступлениям в государственный бюджет за 2011 год по отношению к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доходов    │ 2010 г.│Уд. вес│ 2011 г.│Уд. вес│ Темп   │</w:t>
      </w:r>
    </w:p>
    <w:p>
      <w:pPr>
        <w:spacing w:after="120"/>
        <w:jc w:val="both"/>
      </w:pPr>
      <w:r>
        <w:rPr>
          <w:rFonts w:ascii="Arial" w:cs="Arial" w:eastAsia="Arial" w:hAnsi="Arial"/>
          <w:sz w:val="24"/>
          <w:szCs w:val="24"/>
        </w:rPr>
        <w:t xml:space="preserve">│                          │  факт  │ к ВВП │  факт  │ к ВВП │ роста  │</w:t>
      </w:r>
    </w:p>
    <w:p>
      <w:pPr>
        <w:spacing w:after="120"/>
        <w:jc w:val="both"/>
      </w:pPr>
      <w:r>
        <w:rPr>
          <w:rFonts w:ascii="Arial" w:cs="Arial" w:eastAsia="Arial" w:hAnsi="Arial"/>
          <w:sz w:val="24"/>
          <w:szCs w:val="24"/>
        </w:rPr>
        <w:t xml:space="preserve">│                          │        │2010 г.│        │2011 г.│ 2011/  │</w:t>
      </w:r>
    </w:p>
    <w:p>
      <w:pPr>
        <w:spacing w:after="120"/>
        <w:jc w:val="both"/>
      </w:pPr>
      <w:r>
        <w:rPr>
          <w:rFonts w:ascii="Arial" w:cs="Arial" w:eastAsia="Arial" w:hAnsi="Arial"/>
          <w:sz w:val="24"/>
          <w:szCs w:val="24"/>
        </w:rPr>
        <w:t xml:space="preserve">│                          │        │       │        │       │2010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│212177,4│       │273107,8│       │  128,7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поступления     │ 39362,7│  18,6 │ 53017,4│  19,4 │  134,7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│Подоходный налог с        │  3788,9│   1,8 │  4851,4│   1,8 │  128,0 │</w:t>
      </w:r>
    </w:p>
    <w:p>
      <w:pPr>
        <w:spacing w:after="120"/>
        <w:jc w:val="both"/>
      </w:pPr>
      <w:r>
        <w:rPr>
          <w:rFonts w:ascii="Arial" w:cs="Arial" w:eastAsia="Arial" w:hAnsi="Arial"/>
          <w:sz w:val="24"/>
          <w:szCs w:val="24"/>
        </w:rPr>
        <w:t xml:space="preserve">│физических лиц -          │        │       │        │       │        │</w:t>
      </w:r>
    </w:p>
    <w:p>
      <w:pPr>
        <w:spacing w:after="120"/>
        <w:jc w:val="both"/>
      </w:pPr>
      <w:r>
        <w:rPr>
          <w:rFonts w:ascii="Arial" w:cs="Arial" w:eastAsia="Arial" w:hAnsi="Arial"/>
          <w:sz w:val="24"/>
          <w:szCs w:val="24"/>
        </w:rPr>
        <w:t xml:space="preserve">│резидентов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прибыль          │  1830,8│   0,9 │  2844,5│   1,0 │  155,4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│НДС - всего:              │ 14602,0│   6,9 │ 20352,9│   7,5 │  139,4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товары и услуги,     │  4232,0│   2,0 │  5344,1│   2,0 │  126,3 │</w:t>
      </w:r>
    </w:p>
    <w:p>
      <w:pPr>
        <w:spacing w:after="120"/>
        <w:jc w:val="both"/>
      </w:pPr>
      <w:r>
        <w:rPr>
          <w:rFonts w:ascii="Arial" w:cs="Arial" w:eastAsia="Arial" w:hAnsi="Arial"/>
          <w:sz w:val="24"/>
          <w:szCs w:val="24"/>
        </w:rPr>
        <w:t xml:space="preserve">│производимые на территории│        │       │        │       │        │</w:t>
      </w:r>
    </w:p>
    <w:p>
      <w:pPr>
        <w:spacing w:after="120"/>
        <w:jc w:val="both"/>
      </w:pPr>
      <w:r>
        <w:rPr>
          <w:rFonts w:ascii="Arial" w:cs="Arial" w:eastAsia="Arial" w:hAnsi="Arial"/>
          <w:sz w:val="24"/>
          <w:szCs w:val="24"/>
        </w:rPr>
        <w:t xml:space="preserve">│КР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товары, ввозимые на  │ 10370,0│   4,9 │ 15008,8│   5,5 │  144,7 │</w:t>
      </w:r>
    </w:p>
    <w:p>
      <w:pPr>
        <w:spacing w:after="120"/>
        <w:jc w:val="both"/>
      </w:pPr>
      <w:r>
        <w:rPr>
          <w:rFonts w:ascii="Arial" w:cs="Arial" w:eastAsia="Arial" w:hAnsi="Arial"/>
          <w:sz w:val="24"/>
          <w:szCs w:val="24"/>
        </w:rPr>
        <w:t xml:space="preserve">│территорию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налог - всего    │  1689,3│   0,8 │  2187,0│   0,8 │  129,5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товары, производимые │   520,8│   0,2 │   667,8│   0,2 │  128,2 │</w:t>
      </w:r>
    </w:p>
    <w:p>
      <w:pPr>
        <w:spacing w:after="120"/>
        <w:jc w:val="both"/>
      </w:pPr>
      <w:r>
        <w:rPr>
          <w:rFonts w:ascii="Arial" w:cs="Arial" w:eastAsia="Arial" w:hAnsi="Arial"/>
          <w:sz w:val="24"/>
          <w:szCs w:val="24"/>
        </w:rPr>
        <w:t xml:space="preserve">│на территории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товары, ввозимые на  │  1168,5│   0,6 │  1519,2│   0,6 │  130,0 │</w:t>
      </w:r>
    </w:p>
    <w:p>
      <w:pPr>
        <w:spacing w:after="120"/>
        <w:jc w:val="both"/>
      </w:pPr>
      <w:r>
        <w:rPr>
          <w:rFonts w:ascii="Arial" w:cs="Arial" w:eastAsia="Arial" w:hAnsi="Arial"/>
          <w:sz w:val="24"/>
          <w:szCs w:val="24"/>
        </w:rPr>
        <w:t xml:space="preserve">│территорию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│Налоги за пользование     │   205,7│   0,1 │   385,8│   0,1 │  187,6 │</w:t>
      </w:r>
    </w:p>
    <w:p>
      <w:pPr>
        <w:spacing w:after="120"/>
        <w:jc w:val="both"/>
      </w:pPr>
      <w:r>
        <w:rPr>
          <w:rFonts w:ascii="Arial" w:cs="Arial" w:eastAsia="Arial" w:hAnsi="Arial"/>
          <w:sz w:val="24"/>
          <w:szCs w:val="24"/>
        </w:rPr>
        <w:t xml:space="preserve">│недрами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│Земельный налог           │   798,8│   0,4 │   761,8│   0,3 │   95,4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│Таможенные платежи        │  4347,7│   2,1 │  7146,8│   2,6 │  164,4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валовый доход от │  4364,0│   2,1 │  6066,4│   2,2 │  139   │</w:t>
      </w:r>
    </w:p>
    <w:p>
      <w:pPr>
        <w:spacing w:after="120"/>
        <w:jc w:val="both"/>
      </w:pPr>
      <w:r>
        <w:rPr>
          <w:rFonts w:ascii="Arial" w:cs="Arial" w:eastAsia="Arial" w:hAnsi="Arial"/>
          <w:sz w:val="24"/>
          <w:szCs w:val="24"/>
        </w:rPr>
        <w:t xml:space="preserve">│Кумтор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 11000,2│   5,2 │ 15654,6│   5,7 │  142,3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Государственной таможенной службы за отчетный период составили 23674,8 млн. сом или 103,3% от плана, с перевыполнением в размере 752,3 млн. сомов. В сравнении с уровнем прошлого года поступления таможенных платежей и налогов увеличились почти в 1,5 раза, или на 7788,6 млн. сом, в связи с ростом объема 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Сравнительный анализ неналоговых поступлений в государственный бюджет за 2010-2011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Факт  │Уд. вес│  Факт  │% вып. к│Уд. вес│</w:t>
      </w:r>
    </w:p>
    <w:p>
      <w:pPr>
        <w:spacing w:after="120"/>
        <w:jc w:val="both"/>
      </w:pPr>
      <w:r>
        <w:rPr>
          <w:rFonts w:ascii="Arial" w:cs="Arial" w:eastAsia="Arial" w:hAnsi="Arial"/>
          <w:sz w:val="24"/>
          <w:szCs w:val="24"/>
        </w:rPr>
        <w:t xml:space="preserve">│                          │ 2010 г.│ к ВВП │ 2011 г.│ 2010 г.│ к ВВП │</w:t>
      </w:r>
    </w:p>
    <w:p>
      <w:pPr>
        <w:spacing w:after="120"/>
        <w:jc w:val="both"/>
      </w:pPr>
      <w:r>
        <w:rPr>
          <w:rFonts w:ascii="Arial" w:cs="Arial" w:eastAsia="Arial" w:hAnsi="Arial"/>
          <w:sz w:val="24"/>
          <w:szCs w:val="24"/>
        </w:rPr>
        <w:t xml:space="preserve">│                          │        │2010 г.│        │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│212177,4│       │273107,8│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всего             │ 57385,0│ 27,0  │ 77424,3│  134,9 │ 28,3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 11000,2│  5,2  │ 15654,6│  142,3 │  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по депозитам     │    38,5│  0,02 │    72,0│  187,0 │  0,03 │</w:t>
      </w:r>
    </w:p>
    <w:p>
      <w:pPr>
        <w:spacing w:after="120"/>
        <w:jc w:val="both"/>
      </w:pPr>
      <w:r>
        <w:rPr>
          <w:rFonts w:ascii="Arial" w:cs="Arial" w:eastAsia="Arial" w:hAnsi="Arial"/>
          <w:sz w:val="24"/>
          <w:szCs w:val="24"/>
        </w:rPr>
        <w:t xml:space="preserve">│Правительства, находящимся│        │       │        │        │       │</w:t>
      </w:r>
    </w:p>
    <w:p>
      <w:pPr>
        <w:spacing w:after="120"/>
        <w:jc w:val="both"/>
      </w:pPr>
      <w:r>
        <w:rPr>
          <w:rFonts w:ascii="Arial" w:cs="Arial" w:eastAsia="Arial" w:hAnsi="Arial"/>
          <w:sz w:val="24"/>
          <w:szCs w:val="24"/>
        </w:rPr>
        <w:t xml:space="preserve">│в Национальном банке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по выданным      │   500,7│  0,2  │   533,4│  106,5 │  0,2  │</w:t>
      </w:r>
    </w:p>
    <w:p>
      <w:pPr>
        <w:spacing w:after="120"/>
        <w:jc w:val="both"/>
      </w:pPr>
      <w:r>
        <w:rPr>
          <w:rFonts w:ascii="Arial" w:cs="Arial" w:eastAsia="Arial" w:hAnsi="Arial"/>
          <w:sz w:val="24"/>
          <w:szCs w:val="24"/>
        </w:rPr>
        <w:t xml:space="preserve">│бюджетным ссудам и        │        │       │        │        │       │</w:t>
      </w:r>
    </w:p>
    <w:p>
      <w:pPr>
        <w:spacing w:after="120"/>
        <w:jc w:val="both"/>
      </w:pPr>
      <w:r>
        <w:rPr>
          <w:rFonts w:ascii="Arial" w:cs="Arial" w:eastAsia="Arial" w:hAnsi="Arial"/>
          <w:sz w:val="24"/>
          <w:szCs w:val="24"/>
        </w:rPr>
        <w:t xml:space="preserve">│кредитам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│Дивиденды, начисленные на │   689,8│  0,3  │  2923,2│  423,8 │  1,1  │</w:t>
      </w:r>
    </w:p>
    <w:p>
      <w:pPr>
        <w:spacing w:after="120"/>
        <w:jc w:val="both"/>
      </w:pPr>
      <w:r>
        <w:rPr>
          <w:rFonts w:ascii="Arial" w:cs="Arial" w:eastAsia="Arial" w:hAnsi="Arial"/>
          <w:sz w:val="24"/>
          <w:szCs w:val="24"/>
        </w:rPr>
        <w:t xml:space="preserve">│государственный пакет     │        │       │        │        │       │</w:t>
      </w:r>
    </w:p>
    <w:p>
      <w:pPr>
        <w:spacing w:after="120"/>
        <w:jc w:val="both"/>
      </w:pPr>
      <w:r>
        <w:rPr>
          <w:rFonts w:ascii="Arial" w:cs="Arial" w:eastAsia="Arial" w:hAnsi="Arial"/>
          <w:sz w:val="24"/>
          <w:szCs w:val="24"/>
        </w:rPr>
        <w:t xml:space="preserve">│акций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Национального     │   445,0│  0,2  │  1361,6│  306,0 │  0,5  │</w:t>
      </w:r>
    </w:p>
    <w:p>
      <w:pPr>
        <w:spacing w:after="120"/>
        <w:jc w:val="both"/>
      </w:pPr>
      <w:r>
        <w:rPr>
          <w:rFonts w:ascii="Arial" w:cs="Arial" w:eastAsia="Arial" w:hAnsi="Arial"/>
          <w:sz w:val="24"/>
          <w:szCs w:val="24"/>
        </w:rPr>
        <w:t xml:space="preserve">│банка Кыргызской          │        │       │        │        │       │</w:t>
      </w:r>
    </w:p>
    <w:p>
      <w:pPr>
        <w:spacing w:after="120"/>
        <w:jc w:val="both"/>
      </w:pPr>
      <w:r>
        <w:rPr>
          <w:rFonts w:ascii="Arial" w:cs="Arial" w:eastAsia="Arial" w:hAnsi="Arial"/>
          <w:sz w:val="24"/>
          <w:szCs w:val="24"/>
        </w:rPr>
        <w:t xml:space="preserve">│Республики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│Арендная плата            │  3220,7│  1,5  │  3251,6│  101,0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│Сборы и платежи           │   395,3│  0,2  │   718,9│  181,9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│Государственная пошлина   │   267,6│  0,1  │   304,8│  113,9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│Штрафы, санкции,          │   243,6│  0,1  │   335,9│  137,9 │  0,1  │</w:t>
      </w:r>
    </w:p>
    <w:p>
      <w:pPr>
        <w:spacing w:after="120"/>
        <w:jc w:val="both"/>
      </w:pPr>
      <w:r>
        <w:rPr>
          <w:rFonts w:ascii="Arial" w:cs="Arial" w:eastAsia="Arial" w:hAnsi="Arial"/>
          <w:sz w:val="24"/>
          <w:szCs w:val="24"/>
        </w:rPr>
        <w:t xml:space="preserve">│конфискации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│Поступления по спец.      │  4632,0│  2,2  │  5485,5│  118,4 │  2,0  │</w:t>
      </w:r>
    </w:p>
    <w:p>
      <w:pPr>
        <w:spacing w:after="120"/>
        <w:jc w:val="both"/>
      </w:pPr>
      <w:r>
        <w:rPr>
          <w:rFonts w:ascii="Arial" w:cs="Arial" w:eastAsia="Arial" w:hAnsi="Arial"/>
          <w:sz w:val="24"/>
          <w:szCs w:val="24"/>
        </w:rPr>
        <w:t xml:space="preserve">│средствам от бюджетных    │        │       │        │        │       │</w:t>
      </w:r>
    </w:p>
    <w:p>
      <w:pPr>
        <w:spacing w:after="120"/>
        <w:jc w:val="both"/>
      </w:pPr>
      <w:r>
        <w:rPr>
          <w:rFonts w:ascii="Arial" w:cs="Arial" w:eastAsia="Arial" w:hAnsi="Arial"/>
          <w:sz w:val="24"/>
          <w:szCs w:val="24"/>
        </w:rPr>
        <w:t xml:space="preserve">│учреждений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15654,6 млн. сомов или 100,7% от плана (сумма перевыполнения - 115,6 млн. сомов). По отношению к уровню предыдущего года сборы выросли на 4654,4 млн. сомов, или на 42,3%.</w:t>
      </w:r>
    </w:p>
    <w:p>
      <w:pPr>
        <w:spacing w:after="120"/>
        <w:jc w:val="both"/>
      </w:pPr>
      <w:r>
        <w:rPr>
          <w:rFonts w:ascii="Arial" w:cs="Arial" w:eastAsia="Arial" w:hAnsi="Arial"/>
          <w:sz w:val="24"/>
          <w:szCs w:val="24"/>
        </w:rPr>
        <w:t xml:space="preserve">Поступления официальных грантов (программные гранты и гранты ПГИ) составили 8752,3 млн. сомов с недобором плана на 900,3 млн. сомов. По отношению к факту 2010 года поступления грантов увеличились на 1730,2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2011 год в республиканский бюджет поступление ресурсов (с учетом специальных средств, внешних грантов и кредитов ПГИ) составило 94775,5 млн. сомов, или 99,2% от плана (95532,5 млн. сом). В сравнении с аналогичными показателями 2010 года поступления ресурсов увеличилось на 34,7%, что составило 24425,9 млн. сомов. Удельный вес в объеме ВВП составил 34,7%, тогда как за аналогичный период прошлого года этот показатель составлял 33,2%.</w:t>
      </w:r>
    </w:p>
    <w:p>
      <w:pPr>
        <w:spacing w:after="120"/>
        <w:jc w:val="both"/>
      </w:pPr>
      <w:r>
        <w:rPr>
          <w:rFonts w:ascii="Arial" w:cs="Arial" w:eastAsia="Arial" w:hAnsi="Arial"/>
          <w:sz w:val="24"/>
          <w:szCs w:val="24"/>
        </w:rPr>
        <w:t xml:space="preserve">Поступление ресурсов (без специальных средств, внешних грантов и кредитов ПГИ) составило 76681,9 млн. сомов, или 101,2% от плана (75792,8 млн. сомов). В сравнении с аналогичным периодом прошлого года поступления ресурсов увеличилось на 32,6%, что составило 18839,9 млн. сомов.</w:t>
      </w:r>
    </w:p>
    <w:p>
      <w:pPr>
        <w:spacing w:after="120"/>
        <w:jc w:val="both"/>
      </w:pPr>
      <w:r>
        <w:rPr>
          <w:rFonts w:ascii="Arial" w:cs="Arial" w:eastAsia="Arial" w:hAnsi="Arial"/>
          <w:sz w:val="24"/>
          <w:szCs w:val="24"/>
        </w:rPr>
        <w:t xml:space="preserve">Совокупные доходы (текущие доходы и поступления от продажи нефинансовых активов) республиканского бюджета за 2011 год (с учетом специальных средств и внешних грантов ПГИ) составили 69237,3 млн. сомов, или 99,8% к плану в сумме 69360,0 млн. (текст предоставлен "Toктoм") сомов.</w:t>
      </w:r>
    </w:p>
    <w:p>
      <w:pPr>
        <w:spacing w:after="120"/>
        <w:jc w:val="both"/>
      </w:pPr>
      <w:r>
        <w:rPr>
          <w:rFonts w:ascii="Arial" w:cs="Arial" w:eastAsia="Arial" w:hAnsi="Arial"/>
          <w:sz w:val="24"/>
          <w:szCs w:val="24"/>
        </w:rPr>
        <w:t xml:space="preserve">Общий объем текущих доходов республиканского бюджета за 2011 год составили 69021,6 млн. сомов, с перевыполнением плана на 95,1 млн. сомов. В сравнении с показателем предыдущего года доходы возросли на 38,5%, или на 19198,3 млн. сомов.</w:t>
      </w:r>
    </w:p>
    <w:p>
      <w:pPr>
        <w:spacing w:after="120"/>
        <w:jc w:val="both"/>
      </w:pPr>
      <w:r>
        <w:rPr>
          <w:rFonts w:ascii="Arial" w:cs="Arial" w:eastAsia="Arial" w:hAnsi="Arial"/>
          <w:sz w:val="24"/>
          <w:szCs w:val="24"/>
        </w:rPr>
        <w:t xml:space="preserve">Налоговых сборов в доход республиканского бюджета поступило 46125,2 млн. сомов и неналоговых доходов 14144,1 млн. сомов. При этом, план по налоговым доходам исполнен - на 102,1% и неналоговым доходам на 100,4%.</w:t>
      </w:r>
    </w:p>
    <w:p>
      <w:pPr>
        <w:spacing w:after="120"/>
        <w:jc w:val="both"/>
      </w:pPr>
      <w:r>
        <w:rPr>
          <w:rFonts w:ascii="Arial" w:cs="Arial" w:eastAsia="Arial" w:hAnsi="Arial"/>
          <w:sz w:val="24"/>
          <w:szCs w:val="24"/>
        </w:rPr>
        <w:t xml:space="preserve">В составе поступивших ресурсов наибольший удельный вес занимают поступления, обеспеченные:</w:t>
      </w:r>
    </w:p>
    <w:p>
      <w:pPr>
        <w:spacing w:after="120"/>
        <w:jc w:val="both"/>
      </w:pPr>
      <w:r>
        <w:rPr>
          <w:rFonts w:ascii="Arial" w:cs="Arial" w:eastAsia="Arial" w:hAnsi="Arial"/>
          <w:sz w:val="24"/>
          <w:szCs w:val="24"/>
        </w:rPr>
        <w:t xml:space="preserve">Государственной таможенной службой - 25,0%;</w:t>
      </w:r>
    </w:p>
    <w:p>
      <w:pPr>
        <w:spacing w:after="120"/>
        <w:jc w:val="both"/>
      </w:pPr>
      <w:r>
        <w:rPr>
          <w:rFonts w:ascii="Arial" w:cs="Arial" w:eastAsia="Arial" w:hAnsi="Arial"/>
          <w:sz w:val="24"/>
          <w:szCs w:val="24"/>
        </w:rPr>
        <w:t xml:space="preserve">Государственной налоговой службой - 24,1%;</w:t>
      </w:r>
    </w:p>
    <w:p>
      <w:pPr>
        <w:spacing w:after="120"/>
        <w:jc w:val="both"/>
      </w:pPr>
      <w:r>
        <w:rPr>
          <w:rFonts w:ascii="Arial" w:cs="Arial" w:eastAsia="Arial" w:hAnsi="Arial"/>
          <w:sz w:val="24"/>
          <w:szCs w:val="24"/>
        </w:rPr>
        <w:t xml:space="preserve">Внешними займами - 12,0%;</w:t>
      </w:r>
    </w:p>
    <w:p>
      <w:pPr>
        <w:spacing w:after="120"/>
        <w:jc w:val="both"/>
      </w:pPr>
      <w:r>
        <w:rPr>
          <w:rFonts w:ascii="Arial" w:cs="Arial" w:eastAsia="Arial" w:hAnsi="Arial"/>
          <w:sz w:val="24"/>
          <w:szCs w:val="24"/>
        </w:rPr>
        <w:t xml:space="preserve">Доходами от ГКВ - 9,3%;</w:t>
      </w:r>
    </w:p>
    <w:p>
      <w:pPr>
        <w:spacing w:after="120"/>
        <w:jc w:val="both"/>
      </w:pPr>
      <w:r>
        <w:rPr>
          <w:rFonts w:ascii="Arial" w:cs="Arial" w:eastAsia="Arial" w:hAnsi="Arial"/>
          <w:sz w:val="24"/>
          <w:szCs w:val="24"/>
        </w:rPr>
        <w:t xml:space="preserve">Грантами из-за границы - 9,2%;</w:t>
      </w:r>
    </w:p>
    <w:p>
      <w:pPr>
        <w:spacing w:after="120"/>
        <w:jc w:val="both"/>
      </w:pPr>
      <w:r>
        <w:rPr>
          <w:rFonts w:ascii="Arial" w:cs="Arial" w:eastAsia="Arial" w:hAnsi="Arial"/>
          <w:sz w:val="24"/>
          <w:szCs w:val="24"/>
        </w:rPr>
        <w:t xml:space="preserve">Возвратом бюджетных ссуд - 5,5%.</w:t>
      </w:r>
    </w:p>
    <w:p>
      <w:pPr>
        <w:spacing w:after="120"/>
        <w:jc w:val="both"/>
      </w:pPr>
      <w:r>
        <w:rPr>
          <w:rFonts w:ascii="Arial" w:cs="Arial" w:eastAsia="Arial" w:hAnsi="Arial"/>
          <w:sz w:val="24"/>
          <w:szCs w:val="24"/>
        </w:rPr>
        <w:t xml:space="preserve">Текущие доходы (без специальных средств и с учетом внешних грантов ПГИ), поступившие в республиканский бюджет за 2010 год, составили 64087,4 млн. сомов, или 101,3% к плану (63279,5 млн. сомов). По сравнению с аналогичным периодом 2010 года показатели доходов возросли на 40,4%, что составило в денежном выражении 18437,0 млн. сомов.</w:t>
      </w:r>
    </w:p>
    <w:p>
      <w:pPr>
        <w:spacing w:after="120"/>
        <w:jc w:val="both"/>
      </w:pPr>
      <w:r>
        <w:rPr>
          <w:rFonts w:ascii="Arial" w:cs="Arial" w:eastAsia="Arial" w:hAnsi="Arial"/>
          <w:sz w:val="24"/>
          <w:szCs w:val="24"/>
        </w:rPr>
        <w:t xml:space="preserve">Общий объем налоговых поступлений составили 46125,2 млн. сомов, или выполнение плана в сумме 45180,8 млн. сомов составило 102,1%. В доход республиканского бюджета дополнительно поступило 944,4 млн. сомов. Номинальный темп роста данного показателя по сравнению с аналогичным показателем прошлого года составил 139,3%, или 13003,0 млн. сомов. Значительный объем в структуре неналоговых поступлений занимают специальные средства бюджетных учреждений, которые составили 4934,2 млн. сомов. План в сумме 5646,9 млн. сомов исполнен на 87,4%. По сравнению с аналогичным периодом 2010 года показатели доходов возросли на 18,2%, что составило в денежном выражении 761,3 млн. сомов.</w:t>
      </w:r>
    </w:p>
    <w:p>
      <w:pPr>
        <w:spacing w:after="120"/>
        <w:jc w:val="both"/>
      </w:pPr>
      <w:r>
        <w:rPr>
          <w:rFonts w:ascii="Arial" w:cs="Arial" w:eastAsia="Arial" w:hAnsi="Arial"/>
          <w:sz w:val="24"/>
          <w:szCs w:val="24"/>
        </w:rPr>
        <w:t xml:space="preserve">Общая сумма поступивших в республиканский бюджет дивидендов, причитающихся на государственную долю акций от деятельности акционерных предприятий, составила 2923,2 млн. сомов, или план в сумме 2844,1 млн. сомов выполнен на 102,8%. По сравнению с аналогичным периодом 2010 года показатели доходов возросли в денежном выражении на 2233,4 млн. сомов.</w:t>
      </w:r>
    </w:p>
    <w:p>
      <w:pPr>
        <w:spacing w:after="120"/>
        <w:jc w:val="both"/>
      </w:pPr>
      <w:r>
        <w:rPr>
          <w:rFonts w:ascii="Arial" w:cs="Arial" w:eastAsia="Arial" w:hAnsi="Arial"/>
          <w:sz w:val="24"/>
          <w:szCs w:val="24"/>
        </w:rPr>
        <w:t xml:space="preserve">Зачисление в доходную часть республиканского бюджета грантов из-за границы в 2011 году составило 8752,3 млн. сомов, или 90,7% к плану. Из них грант ПГИ составил 4681,2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по ресурсной (доходной) части республиканского бюджета за 2011 год по сравнению с 2010 годом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Факт  │      2011 г.        │Номин.│ Ре-  │</w:t>
      </w:r>
    </w:p>
    <w:p>
      <w:pPr>
        <w:spacing w:after="120"/>
        <w:jc w:val="both"/>
      </w:pPr>
      <w:r>
        <w:rPr>
          <w:rFonts w:ascii="Arial" w:cs="Arial" w:eastAsia="Arial" w:hAnsi="Arial"/>
          <w:sz w:val="24"/>
          <w:szCs w:val="24"/>
        </w:rPr>
        <w:t xml:space="preserve">│   ресурсов и доходов    │2010 г.├───────┬───────┬─────┤ темп │ альн.│</w:t>
      </w:r>
    </w:p>
    <w:p>
      <w:pPr>
        <w:spacing w:after="120"/>
        <w:jc w:val="both"/>
      </w:pPr>
      <w:r>
        <w:rPr>
          <w:rFonts w:ascii="Arial" w:cs="Arial" w:eastAsia="Arial" w:hAnsi="Arial"/>
          <w:sz w:val="24"/>
          <w:szCs w:val="24"/>
        </w:rPr>
        <w:t xml:space="preserve">│                         │       │ план  │ факт  │  %  │роста │ темп │</w:t>
      </w:r>
    </w:p>
    <w:p>
      <w:pPr>
        <w:spacing w:after="120"/>
        <w:jc w:val="both"/>
      </w:pPr>
      <w:r>
        <w:rPr>
          <w:rFonts w:ascii="Arial" w:cs="Arial" w:eastAsia="Arial" w:hAnsi="Arial"/>
          <w:sz w:val="24"/>
          <w:szCs w:val="24"/>
        </w:rPr>
        <w:t xml:space="preserve">│                         │       │       │       │ вып.│      │ роста│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ресурсов           │70349,6│95532,5│94775,5│ 99,2│ 134,7│ 114,8│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│Ресурсы (без спец.       │57842,0│75792,8│76681,9│101,2│ 132,6│ 113,0│</w:t>
      </w:r>
    </w:p>
    <w:p>
      <w:pPr>
        <w:spacing w:after="120"/>
        <w:jc w:val="both"/>
      </w:pPr>
      <w:r>
        <w:rPr>
          <w:rFonts w:ascii="Arial" w:cs="Arial" w:eastAsia="Arial" w:hAnsi="Arial"/>
          <w:sz w:val="24"/>
          <w:szCs w:val="24"/>
        </w:rPr>
        <w:t xml:space="preserve">│средств, ПГИ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│49823,3│68926,4│69021,6│100,1│ 138,5│ 118,1│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│33122,2│45180,8│46125,2│102,1│ 139,3│ 118,8│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│Полученные официальные   │ 7022,1│ 9652,6│ 8752,3│ 90,7│ 124,6│ 106,2│</w:t>
      </w:r>
    </w:p>
    <w:p>
      <w:pPr>
        <w:spacing w:after="120"/>
        <w:jc w:val="both"/>
      </w:pPr>
      <w:r>
        <w:rPr>
          <w:rFonts w:ascii="Arial" w:cs="Arial" w:eastAsia="Arial" w:hAnsi="Arial"/>
          <w:sz w:val="24"/>
          <w:szCs w:val="24"/>
        </w:rPr>
        <w:t xml:space="preserve">│трансферты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9679,1│14093,0│14144,1│100,4│ 146,1│ 124,6│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по депозитам    │   38,5│   38,5│   72,0│187,0│ 187,0│ 159,4│</w:t>
      </w:r>
    </w:p>
    <w:p>
      <w:pPr>
        <w:spacing w:after="120"/>
        <w:jc w:val="both"/>
      </w:pPr>
      <w:r>
        <w:rPr>
          <w:rFonts w:ascii="Arial" w:cs="Arial" w:eastAsia="Arial" w:hAnsi="Arial"/>
          <w:sz w:val="24"/>
          <w:szCs w:val="24"/>
        </w:rPr>
        <w:t xml:space="preserve">│Правительства,           │       │       │       │     │      │      │</w:t>
      </w:r>
    </w:p>
    <w:p>
      <w:pPr>
        <w:spacing w:after="120"/>
        <w:jc w:val="both"/>
      </w:pPr>
      <w:r>
        <w:rPr>
          <w:rFonts w:ascii="Arial" w:cs="Arial" w:eastAsia="Arial" w:hAnsi="Arial"/>
          <w:sz w:val="24"/>
          <w:szCs w:val="24"/>
        </w:rPr>
        <w:t xml:space="preserve">│находящимся в            │       │       │       │     │      │      │</w:t>
      </w:r>
    </w:p>
    <w:p>
      <w:pPr>
        <w:spacing w:after="120"/>
        <w:jc w:val="both"/>
      </w:pPr>
      <w:r>
        <w:rPr>
          <w:rFonts w:ascii="Arial" w:cs="Arial" w:eastAsia="Arial" w:hAnsi="Arial"/>
          <w:sz w:val="24"/>
          <w:szCs w:val="24"/>
        </w:rPr>
        <w:t xml:space="preserve">│Национальном банке КР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по выданным     │  500,7│  522,9│  533,4│102,8│ 106,5│  90,8│</w:t>
      </w:r>
    </w:p>
    <w:p>
      <w:pPr>
        <w:spacing w:after="120"/>
        <w:jc w:val="both"/>
      </w:pPr>
      <w:r>
        <w:rPr>
          <w:rFonts w:ascii="Arial" w:cs="Arial" w:eastAsia="Arial" w:hAnsi="Arial"/>
          <w:sz w:val="24"/>
          <w:szCs w:val="24"/>
        </w:rPr>
        <w:t xml:space="preserve">│бюджетным ссудам и       │       │       │       │     │      │      │</w:t>
      </w:r>
    </w:p>
    <w:p>
      <w:pPr>
        <w:spacing w:after="120"/>
        <w:jc w:val="both"/>
      </w:pPr>
      <w:r>
        <w:rPr>
          <w:rFonts w:ascii="Arial" w:cs="Arial" w:eastAsia="Arial" w:hAnsi="Arial"/>
          <w:sz w:val="24"/>
          <w:szCs w:val="24"/>
        </w:rPr>
        <w:t xml:space="preserve">│кредитам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│Дивиденды, начисленные на│  689,8│ 2844,1│ 2923,2│102,8│ 423,8│ 361,3│</w:t>
      </w:r>
    </w:p>
    <w:p>
      <w:pPr>
        <w:spacing w:after="120"/>
        <w:jc w:val="both"/>
      </w:pPr>
      <w:r>
        <w:rPr>
          <w:rFonts w:ascii="Arial" w:cs="Arial" w:eastAsia="Arial" w:hAnsi="Arial"/>
          <w:sz w:val="24"/>
          <w:szCs w:val="24"/>
        </w:rPr>
        <w:t xml:space="preserve">│государственный пакет    │       │       │       │     │      │      │</w:t>
      </w:r>
    </w:p>
    <w:p>
      <w:pPr>
        <w:spacing w:after="120"/>
        <w:jc w:val="both"/>
      </w:pPr>
      <w:r>
        <w:rPr>
          <w:rFonts w:ascii="Arial" w:cs="Arial" w:eastAsia="Arial" w:hAnsi="Arial"/>
          <w:sz w:val="24"/>
          <w:szCs w:val="24"/>
        </w:rPr>
        <w:t xml:space="preserve">│акций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Национального    │  445,0│ 1300,0│ 1361,6│104,7│ 306,0│ 260,9│</w:t>
      </w:r>
    </w:p>
    <w:p>
      <w:pPr>
        <w:spacing w:after="120"/>
        <w:jc w:val="both"/>
      </w:pPr>
      <w:r>
        <w:rPr>
          <w:rFonts w:ascii="Arial" w:cs="Arial" w:eastAsia="Arial" w:hAnsi="Arial"/>
          <w:sz w:val="24"/>
          <w:szCs w:val="24"/>
        </w:rPr>
        <w:t xml:space="preserve">│банка Кыргызской         │       │       │       │     │      │      │</w:t>
      </w:r>
    </w:p>
    <w:p>
      <w:pPr>
        <w:spacing w:after="120"/>
        <w:jc w:val="both"/>
      </w:pPr>
      <w:r>
        <w:rPr>
          <w:rFonts w:ascii="Arial" w:cs="Arial" w:eastAsia="Arial" w:hAnsi="Arial"/>
          <w:sz w:val="24"/>
          <w:szCs w:val="24"/>
        </w:rPr>
        <w:t xml:space="preserve">│Республики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│Арендная плата           │ 2783,3│ 2766,4│ 2769,8│100,1│  99,5│  84,8│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│Плата за выдачу лицензий │    6,9│  179,8│  148,3│ 82,5│2149,3│1832,3│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│Поступления от           │ 4172,9│ 5646,9│ 4934,2│ 87,4│ 118,2│ 100,8│</w:t>
      </w:r>
    </w:p>
    <w:p>
      <w:pPr>
        <w:spacing w:after="120"/>
        <w:jc w:val="both"/>
      </w:pPr>
      <w:r>
        <w:rPr>
          <w:rFonts w:ascii="Arial" w:cs="Arial" w:eastAsia="Arial" w:hAnsi="Arial"/>
          <w:sz w:val="24"/>
          <w:szCs w:val="24"/>
        </w:rPr>
        <w:t xml:space="preserve">│спецсредств бюджетных    │       │       │       │     │      │      │</w:t>
      </w:r>
    </w:p>
    <w:p>
      <w:pPr>
        <w:spacing w:after="120"/>
        <w:jc w:val="both"/>
      </w:pPr>
      <w:r>
        <w:rPr>
          <w:rFonts w:ascii="Arial" w:cs="Arial" w:eastAsia="Arial" w:hAnsi="Arial"/>
          <w:sz w:val="24"/>
          <w:szCs w:val="24"/>
        </w:rPr>
        <w:t xml:space="preserve">│учреждений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│Штрафы, санкции,         │  157,1│  184,2│  237,2│128,8│ 151,0│ 128,7│</w:t>
      </w:r>
    </w:p>
    <w:p>
      <w:pPr>
        <w:spacing w:after="120"/>
        <w:jc w:val="both"/>
      </w:pPr>
      <w:r>
        <w:rPr>
          <w:rFonts w:ascii="Arial" w:cs="Arial" w:eastAsia="Arial" w:hAnsi="Arial"/>
          <w:sz w:val="24"/>
          <w:szCs w:val="24"/>
        </w:rPr>
        <w:t xml:space="preserve">│конфискации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неналоговые       │  443,0│  261,4│  593,5│227,1│ 134,0│ 114,2│</w:t>
      </w:r>
    </w:p>
    <w:p>
      <w:pPr>
        <w:spacing w:after="120"/>
        <w:jc w:val="both"/>
      </w:pPr>
      <w:r>
        <w:rPr>
          <w:rFonts w:ascii="Arial" w:cs="Arial" w:eastAsia="Arial" w:hAnsi="Arial"/>
          <w:sz w:val="24"/>
          <w:szCs w:val="24"/>
        </w:rPr>
        <w:t xml:space="preserve">│доходы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Предприятиями и организациями возвращено по ранее выданным ссудам и кредитам (с учетом процентов) 5731,5 млн. сомов против запланированных 5851,8 млн. сомов к плану. По сравнению с аналогичным периодом 2010 года показатели доходов в денежном выражении уменьшилось на 929,1 млн. сомов.</w:t>
      </w:r>
    </w:p>
    <w:p>
      <w:pPr>
        <w:spacing w:after="120"/>
        <w:jc w:val="both"/>
      </w:pPr>
      <w:r>
        <w:rPr>
          <w:rFonts w:ascii="Arial" w:cs="Arial" w:eastAsia="Arial" w:hAnsi="Arial"/>
          <w:sz w:val="24"/>
          <w:szCs w:val="24"/>
        </w:rPr>
        <w:t xml:space="preserve">Доходы, поступившие за 2011 год в республиканский бюджет от приватизации государственной собственности, составили 159,4 млн. сомов, план в сумме 212,0 млн. сомов выполнен на 75,2%. По сравнению с аналогичным периодом 2010 года показатели доходов от приватизации в денежном выражении уменьшились на 1315,9 млн. сомов.</w:t>
      </w:r>
    </w:p>
    <w:p>
      <w:pPr>
        <w:spacing w:after="120"/>
        <w:jc w:val="both"/>
      </w:pPr>
      <w:r>
        <w:rPr>
          <w:rFonts w:ascii="Arial" w:cs="Arial" w:eastAsia="Arial" w:hAnsi="Arial"/>
          <w:sz w:val="24"/>
          <w:szCs w:val="24"/>
        </w:rPr>
        <w:t xml:space="preserve">Доходы по государственным казначейским векселям составили 8781,0 млн. сомов, или 100,1% к прогнозу.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2011 год фактическое поступление текущих доходов местного бюджета с трансфертами в целом по республике составило 21364,4 млн. сомов, при этом номинальный темп роста относительно соответствующего показателя предыдущего года составил 141,3%, или 6245,7 млн. сомов. Фактическое поступление местных доходов без трансфертов составило 8402,7 млн. сомов или 98,9% от планового задания.</w:t>
      </w:r>
    </w:p>
    <w:p>
      <w:pPr>
        <w:spacing w:after="120"/>
        <w:jc w:val="both"/>
      </w:pPr>
      <w:r>
        <w:rPr>
          <w:rFonts w:ascii="Arial" w:cs="Arial" w:eastAsia="Arial" w:hAnsi="Arial"/>
          <w:sz w:val="24"/>
          <w:szCs w:val="24"/>
        </w:rPr>
        <w:t xml:space="preserve">Уровень налоговых доходов местного бюджета за 2011 год составили 6892,2 млн. сомов или 97,8% от установленного плана (сумма недопоступления 155,8 млн. сомов), при этом номинальный темп роста относительно соответствующего показателя предыдущего года увеличился на 10,4% или на 651,7 млн. сомов.</w:t>
      </w:r>
    </w:p>
    <w:p>
      <w:pPr>
        <w:spacing w:after="120"/>
        <w:jc w:val="both"/>
      </w:pPr>
      <w:r>
        <w:rPr>
          <w:rFonts w:ascii="Arial" w:cs="Arial" w:eastAsia="Arial" w:hAnsi="Arial"/>
          <w:sz w:val="24"/>
          <w:szCs w:val="24"/>
        </w:rPr>
        <w:t xml:space="preserve">По налогам на основе патента план выполнен на 90,6% или недопоступило 133,4 млн. сомов, в том числе по налогу на основе обязательного патента план выполнен на 84,6% или недопоступило 45,3 млн. сомов, по налогу на основе добровольного патента план выполнен на 92,1% или недопоступило 88,1 млн. сомов.</w:t>
      </w:r>
    </w:p>
    <w:p>
      <w:pPr>
        <w:spacing w:after="120"/>
        <w:jc w:val="both"/>
      </w:pPr>
      <w:r>
        <w:rPr>
          <w:rFonts w:ascii="Arial" w:cs="Arial" w:eastAsia="Arial" w:hAnsi="Arial"/>
          <w:sz w:val="24"/>
          <w:szCs w:val="24"/>
        </w:rPr>
        <w:t xml:space="preserve">План по налогу с владельцев транспортных средств выполнен на 95,9% (сумма недопоступления 18,5 млн. сомов). Относительно прошлогоднего уровня поступления также увеличились на 8,0% или на 32,1 млн. сомов. План по налогу с продаж выполнен на 96,3% (сумма недопоступления 78,8 млн. сомов), относительно прошлогоднего уровня поступления увеличились на 11,6% или на 214,7 млн. сомов.</w:t>
      </w:r>
    </w:p>
    <w:p>
      <w:pPr>
        <w:spacing w:after="120"/>
        <w:jc w:val="both"/>
      </w:pPr>
      <w:r>
        <w:rPr>
          <w:rFonts w:ascii="Arial" w:cs="Arial" w:eastAsia="Arial" w:hAnsi="Arial"/>
          <w:sz w:val="24"/>
          <w:szCs w:val="24"/>
        </w:rPr>
        <w:t xml:space="preserve">План по подоходному налогу выполнен на 98,4% (сумма недопоступления 26,9 млн. сомов), относительно прошлогоднего уровня поступления увеличились на 27,8% или на 364,9 млн. сомов.</w:t>
      </w:r>
    </w:p>
    <w:p>
      <w:pPr>
        <w:spacing w:after="120"/>
        <w:jc w:val="both"/>
      </w:pPr>
      <w:r>
        <w:rPr>
          <w:rFonts w:ascii="Arial" w:cs="Arial" w:eastAsia="Arial" w:hAnsi="Arial"/>
          <w:sz w:val="24"/>
          <w:szCs w:val="24"/>
        </w:rPr>
        <w:t xml:space="preserve">Поступления по земельному налогу в целом составили 761,8 млн. сомов, плановый показатель выполнен на 100,4% (сумма перевыполнения 3,3 млн. сомов). Относительно прошлогоднего уровня поступления снизились на 4,6% или на 37,0 млн. сомов (текст предоставлен "Toктoм"). План по налогу с земель несельскохозяйственного назначения выполнен на 97,1% или сумма недопоступления 11,2 млн. сомов, при этом темп роста по сравнению с соответствующим периодом прошлого года уменьшилось 10,8% или поступления снизились на 45,0 млн. сомов. Невыполнение прогнозных показателей по землям несельскохозяйственного назначения в основном повлияло недопоступление по г.Бишкек в сумме 27,1 млн. сомов. Это объясняется тем, что Бишкекским городским кенешем постановлением от 30 июня 2011 года № 238 было пересмотрено значение зонального коэффициента в сторону уменьшения. Также перевыполнен план по налогу за пользование приусадебными участками на 7,8%, или на 9,5 млн. сомов, при этом темп роста относительно предыдущего года составляет 0,2% или поступления увеличились на 0,2 млн. сомов.</w:t>
      </w:r>
    </w:p>
    <w:p>
      <w:pPr>
        <w:spacing w:after="120"/>
        <w:jc w:val="both"/>
      </w:pPr>
      <w:r>
        <w:rPr>
          <w:rFonts w:ascii="Arial" w:cs="Arial" w:eastAsia="Arial" w:hAnsi="Arial"/>
          <w:sz w:val="24"/>
          <w:szCs w:val="24"/>
        </w:rPr>
        <w:t xml:space="preserve">По земельному налогу сельскохозяйственного назначения план исполнен на 101,9% (сумма перевыполнения 4,9 млн. сомов), при этом темп роста относительно предыдущего года составляет 3,1% или поступления увеличились на 7,8 млн. сомов.</w:t>
      </w:r>
    </w:p>
    <w:p>
      <w:pPr>
        <w:spacing w:after="120"/>
        <w:jc w:val="both"/>
      </w:pPr>
      <w:r>
        <w:rPr>
          <w:rFonts w:ascii="Arial" w:cs="Arial" w:eastAsia="Arial" w:hAnsi="Arial"/>
          <w:sz w:val="24"/>
          <w:szCs w:val="24"/>
        </w:rPr>
        <w:t xml:space="preserve">Объем неналоговых доходов местного бюджета за рассматриваемый период составил в сумме 1510,6 млн. сомов, при этом плановый показатель выполнен на 104,5%, сумма перевыполнения 64,5 млн. сомов. Относительно предыдущего года поступления неналоговых доходов увеличились на 14,3% или на 189,4 млн. сомов.</w:t>
      </w:r>
    </w:p>
    <w:p>
      <w:pPr>
        <w:spacing w:after="120"/>
        <w:jc w:val="both"/>
      </w:pPr>
      <w:r>
        <w:rPr>
          <w:rFonts w:ascii="Arial" w:cs="Arial" w:eastAsia="Arial" w:hAnsi="Arial"/>
          <w:sz w:val="24"/>
          <w:szCs w:val="24"/>
        </w:rPr>
        <w:t xml:space="preserve">Так, фактическое поступление государственной пошлины взимаемой органами юстиции составило 280,1 млн. сомов или план выполнен на 95,0%. Относительно показателей соответствующего периода предыдущего года платежи увеличились на 13,9% или на 34,1 млн. сомов.</w:t>
      </w:r>
    </w:p>
    <w:p>
      <w:pPr>
        <w:spacing w:after="120"/>
        <w:jc w:val="both"/>
      </w:pPr>
      <w:r>
        <w:rPr>
          <w:rFonts w:ascii="Arial" w:cs="Arial" w:eastAsia="Arial" w:hAnsi="Arial"/>
          <w:sz w:val="24"/>
          <w:szCs w:val="24"/>
        </w:rPr>
        <w:t xml:space="preserve">Поступления по административным штрафам составили 94,6 млн. сомов, план выполнен на 99,2% или недопоступило в бюджет на сумму 0,8 млн. сомов, относительно прошлогоднего уровня поступления также увеличились на 12,9% или на 10,8 млн. сомов.</w:t>
      </w:r>
    </w:p>
    <w:p>
      <w:pPr>
        <w:spacing w:after="120"/>
        <w:jc w:val="both"/>
      </w:pPr>
      <w:r>
        <w:rPr>
          <w:rFonts w:ascii="Arial" w:cs="Arial" w:eastAsia="Arial" w:hAnsi="Arial"/>
          <w:sz w:val="24"/>
          <w:szCs w:val="24"/>
        </w:rPr>
        <w:t xml:space="preserve">Фактическое поступление сумм специальных средств от оказанных услуг бюджетными учреждениями составило 551,4 млн. сомов, с выполнением плана на 98,7% (сумма недопоступления 7,5 млн. сомов). Относительно показателей предыдущего года платежи увеличились на 20,1% или на 92,3 млн. сомов.</w:t>
      </w:r>
    </w:p>
    <w:p>
      <w:pPr>
        <w:spacing w:after="120"/>
        <w:jc w:val="both"/>
      </w:pPr>
      <w:r>
        <w:rPr>
          <w:rFonts w:ascii="Arial" w:cs="Arial" w:eastAsia="Arial" w:hAnsi="Arial"/>
          <w:sz w:val="24"/>
          <w:szCs w:val="24"/>
        </w:rPr>
        <w:t xml:space="preserve">Фактическое поступление в целом арендной платы составило 481,7 млн. сомов или план выполнен на 113,4%, сумма перевыполнения 57,0 млн. сомов. Вместе с тем поступление по плате за аренду пастбищ составило 5,3 млн. сомов. Относительно предыдущего года сбор платежей по арендной плате в целом увеличился на 10,1% или на 44,3 млн. сомов.</w:t>
      </w:r>
    </w:p>
    <w:p>
      <w:pPr>
        <w:spacing w:after="120"/>
        <w:jc w:val="both"/>
      </w:pPr>
      <w:r>
        <w:rPr>
          <w:rFonts w:ascii="Arial" w:cs="Arial" w:eastAsia="Arial" w:hAnsi="Arial"/>
          <w:sz w:val="24"/>
          <w:szCs w:val="24"/>
        </w:rPr>
        <w:t xml:space="preserve">Поступление в доход местных бюджетов сумм от продажи нефинансовых активов составило 240,3 млн. сомов, план выполнен на 150,1% сумма перевыполнения 80,2 млн. сомов. Относительно показателей предыдущего года поступления от продажи нефинансовых активов увеличились на 81,8% или на 108,1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Исполнение расходной части государственного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государственных расходов Кыргызской Республики в 2011 году, как и ранее, была нацелена на полное и своевременное финансирование всех социальных гарантий государства и создание благоприятных условий для экономического роста.</w:t>
      </w:r>
    </w:p>
    <w:p>
      <w:pPr>
        <w:spacing w:after="120"/>
        <w:jc w:val="both"/>
      </w:pPr>
      <w:r>
        <w:rPr>
          <w:rFonts w:ascii="Arial" w:cs="Arial" w:eastAsia="Arial" w:hAnsi="Arial"/>
          <w:sz w:val="24"/>
          <w:szCs w:val="24"/>
        </w:rPr>
        <w:t xml:space="preserve">В 2011 году бюджетная политика была направлена на приоритетное финансирование социальных секторов, а также на снижение фискального дефицита.</w:t>
      </w:r>
    </w:p>
    <w:p>
      <w:pPr>
        <w:spacing w:after="120"/>
        <w:jc w:val="both"/>
      </w:pPr>
      <w:r>
        <w:rPr>
          <w:rFonts w:ascii="Arial" w:cs="Arial" w:eastAsia="Arial" w:hAnsi="Arial"/>
          <w:sz w:val="24"/>
          <w:szCs w:val="24"/>
        </w:rPr>
        <w:t xml:space="preserve">Несмотря на ограниченность бюджетных средств, принятые обязательства по социальным выплатам государство выполняло без задержек.</w:t>
      </w:r>
    </w:p>
    <w:p>
      <w:pPr>
        <w:spacing w:after="120"/>
        <w:jc w:val="both"/>
      </w:pPr>
      <w:r>
        <w:rPr>
          <w:rFonts w:ascii="Arial" w:cs="Arial" w:eastAsia="Arial" w:hAnsi="Arial"/>
          <w:sz w:val="24"/>
          <w:szCs w:val="24"/>
        </w:rPr>
        <w:t xml:space="preserve">При финансировании текущих расходов приоритетными оставались защищенные статьи, удельный вес которых составил более 50 процентов или более 10% к ВВП.</w:t>
      </w:r>
    </w:p>
    <w:p>
      <w:pPr>
        <w:spacing w:after="120"/>
        <w:jc w:val="both"/>
      </w:pPr>
      <w:r>
        <w:rPr>
          <w:rFonts w:ascii="Arial" w:cs="Arial" w:eastAsia="Arial" w:hAnsi="Arial"/>
          <w:sz w:val="24"/>
          <w:szCs w:val="24"/>
        </w:rPr>
        <w:t xml:space="preserve">В 2011 году в рамках проекта GTAC Всемирного банка по модернизации казначейства продолжалась работа по автоматизации процесса бюджетного планирования. Реализация данного проекта позволит в значительной мере повысить эффективность и прозрачность бюджетного процесса.</w:t>
      </w:r>
    </w:p>
    <w:p>
      <w:pPr>
        <w:spacing w:after="120"/>
        <w:jc w:val="both"/>
      </w:pPr>
      <w:r>
        <w:rPr>
          <w:rFonts w:ascii="Arial" w:cs="Arial" w:eastAsia="Arial" w:hAnsi="Arial"/>
          <w:sz w:val="24"/>
          <w:szCs w:val="24"/>
        </w:rPr>
        <w:t xml:space="preserve">В 2011 году разработан Среднесрочный прогноз бюджета на 2012-2014 годы, который был одобрен решением Координационного совета по макроэкономической и инвестиционной политике, включая контрольные цифры по расходам министерств и ведомств на среднесрочный период.</w:t>
      </w:r>
    </w:p>
    <w:p>
      <w:pPr>
        <w:spacing w:after="120"/>
        <w:jc w:val="both"/>
      </w:pPr>
      <w:r>
        <w:rPr>
          <w:rFonts w:ascii="Arial" w:cs="Arial" w:eastAsia="Arial" w:hAnsi="Arial"/>
          <w:sz w:val="24"/>
          <w:szCs w:val="24"/>
        </w:rPr>
        <w:t xml:space="preserve">Кроме того, в целях продвижения реформ по управлению государственными финансами и поэтапного перехода на программное бюджетирование, ориентированное на результат, Министерством финансов Кыргызской Республики в мае текущего года вместе с контрольными цифрами был доведен до министерств, ведомств и бюджетных учреждений Бюджетный циркуляр по составлению проекта республиканского бюджета Кыргызской Республики на 2012 год и прогноза на 2013-2014 годы, в котором были определены шесть пилотных министерств по представлению проектов бюджетов в программном формате дополнительно к традиционному формату. Основная цель бюджетного циркуляра состояла в предоставлении руководства и инструкций по подготовке проекта бюджета. В пилотный проект по программному бюджету были выбраны шесть из двенадцати министерств, представляющих секторальные стратегии к Среднесрочному прогнозу бюджета Кыргызской Республики.</w:t>
      </w:r>
    </w:p>
    <w:p>
      <w:pPr>
        <w:spacing w:after="120"/>
        <w:jc w:val="both"/>
      </w:pPr>
      <w:r>
        <w:rPr>
          <w:rFonts w:ascii="Arial" w:cs="Arial" w:eastAsia="Arial" w:hAnsi="Arial"/>
          <w:sz w:val="24"/>
          <w:szCs w:val="24"/>
        </w:rPr>
        <w:t xml:space="preserve">Вышеуказанные министерства представили бюджет в программном формате, т.е. в разбивке по бюджетным программам и бюджетным мерам, и распределили контрольные цифры на 2012-2014 годы, доведенные Министерством финансов по программам и мерам. В приложении к пояснительной записке к проекту Закона Кыргызской Республики "О республиканском бюджете Кыргызской Республики на 2012 год и прогнозе на 2013-2014 годы" была приложена подробная информация по бюджетам пилотных министерств в программном формате.</w:t>
      </w:r>
    </w:p>
    <w:p>
      <w:pPr>
        <w:spacing w:after="120"/>
        <w:jc w:val="both"/>
      </w:pPr>
      <w:r>
        <w:rPr>
          <w:rFonts w:ascii="Arial" w:cs="Arial" w:eastAsia="Arial" w:hAnsi="Arial"/>
          <w:sz w:val="24"/>
          <w:szCs w:val="24"/>
        </w:rPr>
        <w:t xml:space="preserve">По итогам 2011 года совокупные расходы (текущие расходы и расходы по приобретению нефинансовых активов) государственного бюджета Кыргызской Республики (с учетом специальных средств, внешних грантов и кредитов ПГИ) составили 91544,1 млн. сомов при уточненном плане 94787,3 млн. сомов, или на 96,6 процента, в том числе республиканский бюджет исполнен в сумме 83085,3 млн. сомов или на 96,5 процента к уточненному плану (86099,7 млн. сомов), местный бюджет исполнен в сумме 21420,5 млн. сомов или на 97,3 процента к плану (22009,4 млн. сомов). По сравнению с прошлым годом совокупные расходы государственного бюджета возросли на 22762,9 млн. сомов или на 33,1 процента.</w:t>
      </w:r>
    </w:p>
    <w:p>
      <w:pPr>
        <w:spacing w:after="120"/>
        <w:jc w:val="both"/>
      </w:pPr>
      <w:r>
        <w:rPr>
          <w:rFonts w:ascii="Arial" w:cs="Arial" w:eastAsia="Arial" w:hAnsi="Arial"/>
          <w:sz w:val="24"/>
          <w:szCs w:val="24"/>
        </w:rPr>
        <w:t xml:space="preserve">По отношению к ВВП совокупные расходы государственного бюджета Кыргызской Республики составили 33,5 процента, в том числе расходы по республиканскому бюджету - 30,4 процента, по местному бюджету - 7,8 процента.</w:t>
      </w:r>
    </w:p>
    <w:p>
      <w:pPr>
        <w:spacing w:after="120"/>
        <w:jc w:val="both"/>
      </w:pPr>
      <w:r>
        <w:rPr>
          <w:rFonts w:ascii="Arial" w:cs="Arial" w:eastAsia="Arial" w:hAnsi="Arial"/>
          <w:sz w:val="24"/>
          <w:szCs w:val="24"/>
        </w:rPr>
        <w:t xml:space="preserve">Совокупные расходы государственного бюджета Кыргызской Республики за 2011 год (без учета специальных средств, внешних грантов и кредитов ПГИ) составили 73119,1 млн. сомов при уточненном плане 74472,8 млн. сомов или исполнен на 98,2 процента. Относительно прошлого года совокупные расходы государственного бюджета возросли на 17298,0 млн. сомов или на 31,0 процента.</w:t>
      </w:r>
    </w:p>
    <w:p>
      <w:pPr>
        <w:spacing w:after="120"/>
        <w:jc w:val="both"/>
      </w:pPr>
      <w:r>
        <w:rPr>
          <w:rFonts w:ascii="Arial" w:cs="Arial" w:eastAsia="Arial" w:hAnsi="Arial"/>
          <w:sz w:val="24"/>
          <w:szCs w:val="24"/>
        </w:rPr>
        <w:t xml:space="preserve">К объему ВВП совокупные расходы государственного бюджета (без учета специальных средств, грантов и кредитов ПГИ) составили 26,8 процента. В сравнении с 2010 годом расходы государственного бюджета по отношению к ВВП увеличились на 0,5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государственного бюджета Кыргызской Республики по статьям расходов за 2010-2011 гг.</w:t>
      </w:r>
    </w:p>
    <w:p>
      <w:pPr>
        <w:spacing w:after="120"/>
        <w:jc w:val="both"/>
      </w:pPr>
      <w:r>
        <w:rPr>
          <w:rFonts w:ascii="Arial" w:cs="Arial" w:eastAsia="Arial" w:hAnsi="Arial"/>
          <w:sz w:val="24"/>
          <w:szCs w:val="24"/>
        </w:rPr>
        <w:t xml:space="preserve">(без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Факт  │ План  │ Факт  │(%) к│Откл. к│ Откл. │(%) к│</w:t>
      </w:r>
    </w:p>
    <w:p>
      <w:pPr>
        <w:spacing w:after="120"/>
        <w:jc w:val="both"/>
      </w:pPr>
      <w:r>
        <w:rPr>
          <w:rFonts w:ascii="Arial" w:cs="Arial" w:eastAsia="Arial" w:hAnsi="Arial"/>
          <w:sz w:val="24"/>
          <w:szCs w:val="24"/>
        </w:rPr>
        <w:t xml:space="preserve">│     статей      │2010 г.│2011 г.│2011 г.│плану│ плану │(+,-) к│2010 │</w:t>
      </w:r>
    </w:p>
    <w:p>
      <w:pPr>
        <w:spacing w:after="120"/>
        <w:jc w:val="both"/>
      </w:pPr>
      <w:r>
        <w:rPr>
          <w:rFonts w:ascii="Arial" w:cs="Arial" w:eastAsia="Arial" w:hAnsi="Arial"/>
          <w:sz w:val="24"/>
          <w:szCs w:val="24"/>
        </w:rPr>
        <w:t xml:space="preserve">│                 │       │       │       │     │ (+,-) │2010 г.│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│16902,6│24112,9│23740,0│ 98,5│ -372,9│ 6837,4│140,5│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 2207,3│ 3277,3│ 3195,3│ 97,5│  -82,0│  988,0│144,8│</w:t>
      </w:r>
    </w:p>
    <w:p>
      <w:pPr>
        <w:spacing w:after="120"/>
        <w:jc w:val="both"/>
      </w:pPr>
      <w:r>
        <w:rPr>
          <w:rFonts w:ascii="Arial" w:cs="Arial" w:eastAsia="Arial" w:hAnsi="Arial"/>
          <w:sz w:val="24"/>
          <w:szCs w:val="24"/>
        </w:rPr>
        <w:t xml:space="preserve">│Социальный фонд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  391,5│  504,4│  482,6│ 95,7│  -21,8│   91,1│123,3│</w:t>
      </w:r>
    </w:p>
    <w:p>
      <w:pPr>
        <w:spacing w:after="120"/>
        <w:jc w:val="both"/>
      </w:pPr>
      <w:r>
        <w:rPr>
          <w:rFonts w:ascii="Arial" w:cs="Arial" w:eastAsia="Arial" w:hAnsi="Arial"/>
          <w:sz w:val="24"/>
          <w:szCs w:val="24"/>
        </w:rPr>
        <w:t xml:space="preserve">│служебные поездки│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│Коммунальные     │ 2192,7│ 2332,5│ 2278,0│ 97,7│  -54,5│   85,3│103,9│</w:t>
      </w:r>
    </w:p>
    <w:p>
      <w:pPr>
        <w:spacing w:after="120"/>
        <w:jc w:val="both"/>
      </w:pPr>
      <w:r>
        <w:rPr>
          <w:rFonts w:ascii="Arial" w:cs="Arial" w:eastAsia="Arial" w:hAnsi="Arial"/>
          <w:sz w:val="24"/>
          <w:szCs w:val="24"/>
        </w:rPr>
        <w:t xml:space="preserve">│услуги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│Арендная плата   │  179,4│  212,8│  207,4│ 97,5│   -5,4│   28,0│115,6│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│Транспортные     │  758,6│  688,5│  665,2│ 96,6│  -23,3│  -93,4│ 87,7│</w:t>
      </w:r>
    </w:p>
    <w:p>
      <w:pPr>
        <w:spacing w:after="120"/>
        <w:jc w:val="both"/>
      </w:pPr>
      <w:r>
        <w:rPr>
          <w:rFonts w:ascii="Arial" w:cs="Arial" w:eastAsia="Arial" w:hAnsi="Arial"/>
          <w:sz w:val="24"/>
          <w:szCs w:val="24"/>
        </w:rPr>
        <w:t xml:space="preserve">│услуги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 4967,0│ 5652,2│ 5438,8│ 96,2│ -213,4│  471,8│109,5│</w:t>
      </w:r>
    </w:p>
    <w:p>
      <w:pPr>
        <w:spacing w:after="120"/>
        <w:jc w:val="both"/>
      </w:pPr>
      <w:r>
        <w:rPr>
          <w:rFonts w:ascii="Arial" w:cs="Arial" w:eastAsia="Arial" w:hAnsi="Arial"/>
          <w:sz w:val="24"/>
          <w:szCs w:val="24"/>
        </w:rPr>
        <w:t xml:space="preserve">│прочих услуг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 3454,9│ 5672,7│ 5661,9│ 99,8│  -10,8│ 2207,0│163,9│</w:t>
      </w:r>
    </w:p>
    <w:p>
      <w:pPr>
        <w:spacing w:after="120"/>
        <w:jc w:val="both"/>
      </w:pPr>
      <w:r>
        <w:rPr>
          <w:rFonts w:ascii="Arial" w:cs="Arial" w:eastAsia="Arial" w:hAnsi="Arial"/>
          <w:sz w:val="24"/>
          <w:szCs w:val="24"/>
        </w:rPr>
        <w:t xml:space="preserve">│представленные   │       │       │       │     │       │       │     │</w:t>
      </w:r>
    </w:p>
    <w:p>
      <w:pPr>
        <w:spacing w:after="120"/>
        <w:jc w:val="both"/>
      </w:pPr>
      <w:r>
        <w:rPr>
          <w:rFonts w:ascii="Arial" w:cs="Arial" w:eastAsia="Arial" w:hAnsi="Arial"/>
          <w:sz w:val="24"/>
          <w:szCs w:val="24"/>
        </w:rPr>
        <w:t xml:space="preserve">│единой статьей в │       │       │       │     │       │       │     │</w:t>
      </w:r>
    </w:p>
    <w:p>
      <w:pPr>
        <w:spacing w:after="120"/>
        <w:jc w:val="both"/>
      </w:pPr>
      <w:r>
        <w:rPr>
          <w:rFonts w:ascii="Arial" w:cs="Arial" w:eastAsia="Arial" w:hAnsi="Arial"/>
          <w:sz w:val="24"/>
          <w:szCs w:val="24"/>
        </w:rPr>
        <w:t xml:space="preserve">│системе          │       │       │       │     │       │       │     │</w:t>
      </w:r>
    </w:p>
    <w:p>
      <w:pPr>
        <w:spacing w:after="120"/>
        <w:jc w:val="both"/>
      </w:pPr>
      <w:r>
        <w:rPr>
          <w:rFonts w:ascii="Arial" w:cs="Arial" w:eastAsia="Arial" w:hAnsi="Arial"/>
          <w:sz w:val="24"/>
          <w:szCs w:val="24"/>
        </w:rPr>
        <w:t xml:space="preserve">│здравоохранения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  450,2│  468,0│  466,1│ 99,6│   -1,9│   15,9│103,5│</w:t>
      </w:r>
    </w:p>
    <w:p>
      <w:pPr>
        <w:spacing w:after="120"/>
        <w:jc w:val="both"/>
      </w:pPr>
      <w:r>
        <w:rPr>
          <w:rFonts w:ascii="Arial" w:cs="Arial" w:eastAsia="Arial" w:hAnsi="Arial"/>
          <w:sz w:val="24"/>
          <w:szCs w:val="24"/>
        </w:rPr>
        <w:t xml:space="preserve">│медикаментов и   │       │       │       │     │       │       │     │</w:t>
      </w:r>
    </w:p>
    <w:p>
      <w:pPr>
        <w:spacing w:after="120"/>
        <w:jc w:val="both"/>
      </w:pPr>
      <w:r>
        <w:rPr>
          <w:rFonts w:ascii="Arial" w:cs="Arial" w:eastAsia="Arial" w:hAnsi="Arial"/>
          <w:sz w:val="24"/>
          <w:szCs w:val="24"/>
        </w:rPr>
        <w:t xml:space="preserve">│изделий          │       │       │       │     │       │       │     │</w:t>
      </w:r>
    </w:p>
    <w:p>
      <w:pPr>
        <w:spacing w:after="120"/>
        <w:jc w:val="both"/>
      </w:pPr>
      <w:r>
        <w:rPr>
          <w:rFonts w:ascii="Arial" w:cs="Arial" w:eastAsia="Arial" w:hAnsi="Arial"/>
          <w:sz w:val="24"/>
          <w:szCs w:val="24"/>
        </w:rPr>
        <w:t xml:space="preserve">│медицинского     │       │       │       │     │       │       │     │</w:t>
      </w:r>
    </w:p>
    <w:p>
      <w:pPr>
        <w:spacing w:after="120"/>
        <w:jc w:val="both"/>
      </w:pPr>
      <w:r>
        <w:rPr>
          <w:rFonts w:ascii="Arial" w:cs="Arial" w:eastAsia="Arial" w:hAnsi="Arial"/>
          <w:sz w:val="24"/>
          <w:szCs w:val="24"/>
        </w:rPr>
        <w:t xml:space="preserve">│назначения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 2194,0│ 2390,8│ 2376,0│ 99,4│  -14,8│  182,0│108,3│</w:t>
      </w:r>
    </w:p>
    <w:p>
      <w:pPr>
        <w:spacing w:after="120"/>
        <w:jc w:val="both"/>
      </w:pPr>
      <w:r>
        <w:rPr>
          <w:rFonts w:ascii="Arial" w:cs="Arial" w:eastAsia="Arial" w:hAnsi="Arial"/>
          <w:sz w:val="24"/>
          <w:szCs w:val="24"/>
        </w:rPr>
        <w:t xml:space="preserve">│продуктов питания│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1073,5│ 1911,1│ 1895,6│ 99,2│  -15,5│  822,1│176,6│</w:t>
      </w:r>
    </w:p>
    <w:p>
      <w:pPr>
        <w:spacing w:after="120"/>
        <w:jc w:val="both"/>
      </w:pPr>
      <w:r>
        <w:rPr>
          <w:rFonts w:ascii="Arial" w:cs="Arial" w:eastAsia="Arial" w:hAnsi="Arial"/>
          <w:sz w:val="24"/>
          <w:szCs w:val="24"/>
        </w:rPr>
        <w:t xml:space="preserve">│по кредитам и    │       │       │       │     │       │       │     │</w:t>
      </w:r>
    </w:p>
    <w:p>
      <w:pPr>
        <w:spacing w:after="120"/>
        <w:jc w:val="both"/>
      </w:pPr>
      <w:r>
        <w:rPr>
          <w:rFonts w:ascii="Arial" w:cs="Arial" w:eastAsia="Arial" w:hAnsi="Arial"/>
          <w:sz w:val="24"/>
          <w:szCs w:val="24"/>
        </w:rPr>
        <w:t xml:space="preserve">│займам,          │       │       │       │     │       │       │     │</w:t>
      </w:r>
    </w:p>
    <w:p>
      <w:pPr>
        <w:spacing w:after="120"/>
        <w:jc w:val="both"/>
      </w:pPr>
      <w:r>
        <w:rPr>
          <w:rFonts w:ascii="Arial" w:cs="Arial" w:eastAsia="Arial" w:hAnsi="Arial"/>
          <w:sz w:val="24"/>
          <w:szCs w:val="24"/>
        </w:rPr>
        <w:t xml:space="preserve">│полученным от    │       │       │       │     │       │       │     │</w:t>
      </w:r>
    </w:p>
    <w:p>
      <w:pPr>
        <w:spacing w:after="120"/>
        <w:jc w:val="both"/>
      </w:pPr>
      <w:r>
        <w:rPr>
          <w:rFonts w:ascii="Arial" w:cs="Arial" w:eastAsia="Arial" w:hAnsi="Arial"/>
          <w:sz w:val="24"/>
          <w:szCs w:val="24"/>
        </w:rPr>
        <w:t xml:space="preserve">│иностранных      │       │       │       │     │       │       │     │</w:t>
      </w:r>
    </w:p>
    <w:p>
      <w:pPr>
        <w:spacing w:after="120"/>
        <w:jc w:val="both"/>
      </w:pPr>
      <w:r>
        <w:rPr>
          <w:rFonts w:ascii="Arial" w:cs="Arial" w:eastAsia="Arial" w:hAnsi="Arial"/>
          <w:sz w:val="24"/>
          <w:szCs w:val="24"/>
        </w:rPr>
        <w:t xml:space="preserve">│государств и     │       │       │       │     │       │       │     │</w:t>
      </w:r>
    </w:p>
    <w:p>
      <w:pPr>
        <w:spacing w:after="120"/>
        <w:jc w:val="both"/>
      </w:pPr>
      <w:r>
        <w:rPr>
          <w:rFonts w:ascii="Arial" w:cs="Arial" w:eastAsia="Arial" w:hAnsi="Arial"/>
          <w:sz w:val="24"/>
          <w:szCs w:val="24"/>
        </w:rPr>
        <w:t xml:space="preserve">│международных    │       │       │       │     │       │       │     │</w:t>
      </w:r>
    </w:p>
    <w:p>
      <w:pPr>
        <w:spacing w:after="120"/>
        <w:jc w:val="both"/>
      </w:pPr>
      <w:r>
        <w:rPr>
          <w:rFonts w:ascii="Arial" w:cs="Arial" w:eastAsia="Arial" w:hAnsi="Arial"/>
          <w:sz w:val="24"/>
          <w:szCs w:val="24"/>
        </w:rPr>
        <w:t xml:space="preserve">│организаций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737,9│  860,1│  859,9│100,0│   -0,2│  122,0│116,5│</w:t>
      </w:r>
    </w:p>
    <w:p>
      <w:pPr>
        <w:spacing w:after="120"/>
        <w:jc w:val="both"/>
      </w:pPr>
      <w:r>
        <w:rPr>
          <w:rFonts w:ascii="Arial" w:cs="Arial" w:eastAsia="Arial" w:hAnsi="Arial"/>
          <w:sz w:val="24"/>
          <w:szCs w:val="24"/>
        </w:rPr>
        <w:t xml:space="preserve">│по               │       │       │       │     │       │       │     │</w:t>
      </w:r>
    </w:p>
    <w:p>
      <w:pPr>
        <w:spacing w:after="120"/>
        <w:jc w:val="both"/>
      </w:pPr>
      <w:r>
        <w:rPr>
          <w:rFonts w:ascii="Arial" w:cs="Arial" w:eastAsia="Arial" w:hAnsi="Arial"/>
          <w:sz w:val="24"/>
          <w:szCs w:val="24"/>
        </w:rPr>
        <w:t xml:space="preserve">│государственным  │       │       │       │     │       │       │     │</w:t>
      </w:r>
    </w:p>
    <w:p>
      <w:pPr>
        <w:spacing w:after="120"/>
        <w:jc w:val="both"/>
      </w:pPr>
      <w:r>
        <w:rPr>
          <w:rFonts w:ascii="Arial" w:cs="Arial" w:eastAsia="Arial" w:hAnsi="Arial"/>
          <w:sz w:val="24"/>
          <w:szCs w:val="24"/>
        </w:rPr>
        <w:t xml:space="preserve">│ценным бумагам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 1891,2│ 2403,6│ 2373,7│ 98,8│  -29,9│  482,5│125,5│</w:t>
      </w:r>
    </w:p>
    <w:p>
      <w:pPr>
        <w:spacing w:after="120"/>
        <w:jc w:val="both"/>
      </w:pPr>
      <w:r>
        <w:rPr>
          <w:rFonts w:ascii="Arial" w:cs="Arial" w:eastAsia="Arial" w:hAnsi="Arial"/>
          <w:sz w:val="24"/>
          <w:szCs w:val="24"/>
        </w:rPr>
        <w:t xml:space="preserve">│предприятиям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  140,1│  200,1│  200,0│100,0│   -0,1│   59,9│142,8│</w:t>
      </w:r>
    </w:p>
    <w:p>
      <w:pPr>
        <w:spacing w:after="120"/>
        <w:jc w:val="both"/>
      </w:pPr>
      <w:r>
        <w:rPr>
          <w:rFonts w:ascii="Arial" w:cs="Arial" w:eastAsia="Arial" w:hAnsi="Arial"/>
          <w:sz w:val="24"/>
          <w:szCs w:val="24"/>
        </w:rPr>
        <w:t xml:space="preserve">│международным    │       │       │       │     │       │       │     │</w:t>
      </w:r>
    </w:p>
    <w:p>
      <w:pPr>
        <w:spacing w:after="120"/>
        <w:jc w:val="both"/>
      </w:pPr>
      <w:r>
        <w:rPr>
          <w:rFonts w:ascii="Arial" w:cs="Arial" w:eastAsia="Arial" w:hAnsi="Arial"/>
          <w:sz w:val="24"/>
          <w:szCs w:val="24"/>
        </w:rPr>
        <w:t xml:space="preserve">│организациям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│10756,9│14010,0│13887,9│ 99,1│ -122,1│ 3131,0│129,1│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│Различные прочие │  903,1│ 1153,0│ 1037,5│ 90,0│ -115,5│  134,4│114,9│</w:t>
      </w:r>
    </w:p>
    <w:p>
      <w:pPr>
        <w:spacing w:after="120"/>
        <w:jc w:val="both"/>
      </w:pPr>
      <w:r>
        <w:rPr>
          <w:rFonts w:ascii="Arial" w:cs="Arial" w:eastAsia="Arial" w:hAnsi="Arial"/>
          <w:sz w:val="24"/>
          <w:szCs w:val="24"/>
        </w:rPr>
        <w:t xml:space="preserve">│расходы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 6620,2│ 8622,8│ 8353,2│ 96,9│ -269,6│ 1733,0│126,2│</w:t>
      </w:r>
    </w:p>
    <w:p>
      <w:pPr>
        <w:spacing w:after="120"/>
        <w:jc w:val="both"/>
      </w:pPr>
      <w:r>
        <w:rPr>
          <w:rFonts w:ascii="Arial" w:cs="Arial" w:eastAsia="Arial" w:hAnsi="Arial"/>
          <w:sz w:val="24"/>
          <w:szCs w:val="24"/>
        </w:rPr>
        <w:t xml:space="preserve">│нефинансовых     │       │       │       │     │       │       │     │</w:t>
      </w:r>
    </w:p>
    <w:p>
      <w:pPr>
        <w:spacing w:after="120"/>
        <w:jc w:val="both"/>
      </w:pPr>
      <w:r>
        <w:rPr>
          <w:rFonts w:ascii="Arial" w:cs="Arial" w:eastAsia="Arial" w:hAnsi="Arial"/>
          <w:sz w:val="24"/>
          <w:szCs w:val="24"/>
        </w:rPr>
        <w:t xml:space="preserve">│активов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│55821,1│74472,8│73119,1│ 98,2│-1353,7│17298,0│131,0│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исполнения государственного бюджета Кыргызской Республики за 2010 и 2011 гг. по основным разделам и их удельный вес в общих расходах (с учетом специальных средств и без учета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 │Факт за│ Уд. │В % │ План  │Факт за│ %  │ Откл. │ Уд. │В % │ Откл. │</w:t>
      </w:r>
    </w:p>
    <w:p>
      <w:pPr>
        <w:spacing w:after="120"/>
        <w:jc w:val="both"/>
      </w:pPr>
      <w:r>
        <w:rPr>
          <w:rFonts w:ascii="Arial" w:cs="Arial" w:eastAsia="Arial" w:hAnsi="Arial"/>
          <w:sz w:val="24"/>
          <w:szCs w:val="24"/>
        </w:rPr>
        <w:t xml:space="preserve">│ вание   │2010 г.│ вес │ к  │2011 г.│2011 г.│    │       │ вес │ к  │2010 г.│</w:t>
      </w:r>
    </w:p>
    <w:p>
      <w:pPr>
        <w:spacing w:after="120"/>
        <w:jc w:val="both"/>
      </w:pPr>
      <w:r>
        <w:rPr>
          <w:rFonts w:ascii="Arial" w:cs="Arial" w:eastAsia="Arial" w:hAnsi="Arial"/>
          <w:sz w:val="24"/>
          <w:szCs w:val="24"/>
        </w:rPr>
        <w:t xml:space="preserve">│разделов │       │ (%) │ВВП │       │       │    │       │ (%) │ВВП │  от   │</w:t>
      </w:r>
    </w:p>
    <w:p>
      <w:pPr>
        <w:spacing w:after="120"/>
        <w:jc w:val="both"/>
      </w:pPr>
      <w:r>
        <w:rPr>
          <w:rFonts w:ascii="Arial" w:cs="Arial" w:eastAsia="Arial" w:hAnsi="Arial"/>
          <w:sz w:val="24"/>
          <w:szCs w:val="24"/>
        </w:rPr>
        <w:t xml:space="preserve">│         │       │     │    │       │       │    │       │     │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 │ 8244,2│ 13,6│ 3,9│10438,5│ 9779,4│93,7│ -659,1│ 12,5│ 3,6│ 1535,2│</w:t>
      </w:r>
    </w:p>
    <w:p>
      <w:pPr>
        <w:spacing w:after="120"/>
        <w:jc w:val="both"/>
      </w:pPr>
      <w:r>
        <w:rPr>
          <w:rFonts w:ascii="Arial" w:cs="Arial" w:eastAsia="Arial" w:hAnsi="Arial"/>
          <w:sz w:val="24"/>
          <w:szCs w:val="24"/>
        </w:rPr>
        <w:t xml:space="preserve">│ственные │       │     │    │       │       │    │       │     │    │       │</w:t>
      </w:r>
    </w:p>
    <w:p>
      <w:pPr>
        <w:spacing w:after="120"/>
        <w:jc w:val="both"/>
      </w:pPr>
      <w:r>
        <w:rPr>
          <w:rFonts w:ascii="Arial" w:cs="Arial" w:eastAsia="Arial" w:hAnsi="Arial"/>
          <w:sz w:val="24"/>
          <w:szCs w:val="24"/>
        </w:rPr>
        <w:t xml:space="preserve">│службы   │       │     │    │       │       │    │       │     │    │       │</w:t>
      </w:r>
    </w:p>
    <w:p>
      <w:pPr>
        <w:spacing w:after="120"/>
        <w:jc w:val="both"/>
      </w:pPr>
      <w:r>
        <w:rPr>
          <w:rFonts w:ascii="Arial" w:cs="Arial" w:eastAsia="Arial" w:hAnsi="Arial"/>
          <w:sz w:val="24"/>
          <w:szCs w:val="24"/>
        </w:rPr>
        <w:t xml:space="preserve">│общего   │       │     │    │       │       │    │       │     │    │       │</w:t>
      </w:r>
    </w:p>
    <w:p>
      <w:pPr>
        <w:spacing w:after="120"/>
        <w:jc w:val="both"/>
      </w:pPr>
      <w:r>
        <w:rPr>
          <w:rFonts w:ascii="Arial" w:cs="Arial" w:eastAsia="Arial" w:hAnsi="Arial"/>
          <w:sz w:val="24"/>
          <w:szCs w:val="24"/>
        </w:rPr>
        <w:t xml:space="preserve">│назначе- │       │     │    │       │       │    │       │     │    │       │</w:t>
      </w:r>
    </w:p>
    <w:p>
      <w:pPr>
        <w:spacing w:after="120"/>
        <w:jc w:val="both"/>
      </w:pPr>
      <w:r>
        <w:rPr>
          <w:rFonts w:ascii="Arial" w:cs="Arial" w:eastAsia="Arial" w:hAnsi="Arial"/>
          <w:sz w:val="24"/>
          <w:szCs w:val="24"/>
        </w:rPr>
        <w:t xml:space="preserve">│ния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│Оборона, │ 9213,3│ 15,2│ 4,3│10831,5│10600,9│97,9│ -230,6│ 13,5│ 3,9│ 1387,6│</w:t>
      </w:r>
    </w:p>
    <w:p>
      <w:pPr>
        <w:spacing w:after="120"/>
        <w:jc w:val="both"/>
      </w:pPr>
      <w:r>
        <w:rPr>
          <w:rFonts w:ascii="Arial" w:cs="Arial" w:eastAsia="Arial" w:hAnsi="Arial"/>
          <w:sz w:val="24"/>
          <w:szCs w:val="24"/>
        </w:rPr>
        <w:t xml:space="preserve">│Общест-  │       │     │    │       │       │    │       │     │    │       │</w:t>
      </w:r>
    </w:p>
    <w:p>
      <w:pPr>
        <w:spacing w:after="120"/>
        <w:jc w:val="both"/>
      </w:pPr>
      <w:r>
        <w:rPr>
          <w:rFonts w:ascii="Arial" w:cs="Arial" w:eastAsia="Arial" w:hAnsi="Arial"/>
          <w:sz w:val="24"/>
          <w:szCs w:val="24"/>
        </w:rPr>
        <w:t xml:space="preserve">│венный   │       │     │    │       │       │    │       │     │    │       │</w:t>
      </w:r>
    </w:p>
    <w:p>
      <w:pPr>
        <w:spacing w:after="120"/>
        <w:jc w:val="both"/>
      </w:pPr>
      <w:r>
        <w:rPr>
          <w:rFonts w:ascii="Arial" w:cs="Arial" w:eastAsia="Arial" w:hAnsi="Arial"/>
          <w:sz w:val="24"/>
          <w:szCs w:val="24"/>
        </w:rPr>
        <w:t xml:space="preserve">│порядок и│       │     │    │       │       │    │       │     │    │       │</w:t>
      </w:r>
    </w:p>
    <w:p>
      <w:pPr>
        <w:spacing w:after="120"/>
        <w:jc w:val="both"/>
      </w:pPr>
      <w:r>
        <w:rPr>
          <w:rFonts w:ascii="Arial" w:cs="Arial" w:eastAsia="Arial" w:hAnsi="Arial"/>
          <w:sz w:val="24"/>
          <w:szCs w:val="24"/>
        </w:rPr>
        <w:t xml:space="preserve">│безопас- │       │     │    │       │       │    │       │     │    │       │</w:t>
      </w:r>
    </w:p>
    <w:p>
      <w:pPr>
        <w:spacing w:after="120"/>
        <w:jc w:val="both"/>
      </w:pPr>
      <w:r>
        <w:rPr>
          <w:rFonts w:ascii="Arial" w:cs="Arial" w:eastAsia="Arial" w:hAnsi="Arial"/>
          <w:sz w:val="24"/>
          <w:szCs w:val="24"/>
        </w:rPr>
        <w:t xml:space="preserve">│ность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│Экономи- │ 6138,4│ 10,2│ 2,9│ 8438,8│ 8203,4│97,2│ -235,4│ 10,5│ 3,0│ 2065,0│</w:t>
      </w:r>
    </w:p>
    <w:p>
      <w:pPr>
        <w:spacing w:after="120"/>
        <w:jc w:val="both"/>
      </w:pPr>
      <w:r>
        <w:rPr>
          <w:rFonts w:ascii="Arial" w:cs="Arial" w:eastAsia="Arial" w:hAnsi="Arial"/>
          <w:sz w:val="24"/>
          <w:szCs w:val="24"/>
        </w:rPr>
        <w:t xml:space="preserve">│ческие   │       │     │    │       │       │    │       │     │    │       │</w:t>
      </w:r>
    </w:p>
    <w:p>
      <w:pPr>
        <w:spacing w:after="120"/>
        <w:jc w:val="both"/>
      </w:pPr>
      <w:r>
        <w:rPr>
          <w:rFonts w:ascii="Arial" w:cs="Arial" w:eastAsia="Arial" w:hAnsi="Arial"/>
          <w:sz w:val="24"/>
          <w:szCs w:val="24"/>
        </w:rPr>
        <w:t xml:space="preserve">│вопросы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│Охрана   │  571,0│  0,9│ 0,3│  612,0│  585,5│95,7│  -26,5│  0,7│ 0,2│   14,5│</w:t>
      </w:r>
    </w:p>
    <w:p>
      <w:pPr>
        <w:spacing w:after="120"/>
        <w:jc w:val="both"/>
      </w:pPr>
      <w:r>
        <w:rPr>
          <w:rFonts w:ascii="Arial" w:cs="Arial" w:eastAsia="Arial" w:hAnsi="Arial"/>
          <w:sz w:val="24"/>
          <w:szCs w:val="24"/>
        </w:rPr>
        <w:t xml:space="preserve">│окружаю- │       │     │    │       │       │    │       │     │    │       │</w:t>
      </w:r>
    </w:p>
    <w:p>
      <w:pPr>
        <w:spacing w:after="120"/>
        <w:jc w:val="both"/>
      </w:pPr>
      <w:r>
        <w:rPr>
          <w:rFonts w:ascii="Arial" w:cs="Arial" w:eastAsia="Arial" w:hAnsi="Arial"/>
          <w:sz w:val="24"/>
          <w:szCs w:val="24"/>
        </w:rPr>
        <w:t xml:space="preserve">│щей среды│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│Жилищные │ 4138,6│  6,8│ 2,0│ 4228,3│ 4110,4│97,2│ -117,9│  5,2│ 1,5│  -28,2│</w:t>
      </w:r>
    </w:p>
    <w:p>
      <w:pPr>
        <w:spacing w:after="120"/>
        <w:jc w:val="both"/>
      </w:pPr>
      <w:r>
        <w:rPr>
          <w:rFonts w:ascii="Arial" w:cs="Arial" w:eastAsia="Arial" w:hAnsi="Arial"/>
          <w:sz w:val="24"/>
          <w:szCs w:val="24"/>
        </w:rPr>
        <w:t xml:space="preserve">│и комму- │       │     │    │       │       │    │       │     │    │       │</w:t>
      </w:r>
    </w:p>
    <w:p>
      <w:pPr>
        <w:spacing w:after="120"/>
        <w:jc w:val="both"/>
      </w:pPr>
      <w:r>
        <w:rPr>
          <w:rFonts w:ascii="Arial" w:cs="Arial" w:eastAsia="Arial" w:hAnsi="Arial"/>
          <w:sz w:val="24"/>
          <w:szCs w:val="24"/>
        </w:rPr>
        <w:t xml:space="preserve">│нальные  │       │     │    │       │       │    │       │     │    │       │</w:t>
      </w:r>
    </w:p>
    <w:p>
      <w:pPr>
        <w:spacing w:after="120"/>
        <w:jc w:val="both"/>
      </w:pPr>
      <w:r>
        <w:rPr>
          <w:rFonts w:ascii="Arial" w:cs="Arial" w:eastAsia="Arial" w:hAnsi="Arial"/>
          <w:sz w:val="24"/>
          <w:szCs w:val="24"/>
        </w:rPr>
        <w:t xml:space="preserve">│услуги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 6669,8│ 11,0│ 3,1│ 9434,2│ 9240,6│97,9│ -193,6│ 11,8│ 3,4│ 2570,8│</w:t>
      </w:r>
    </w:p>
    <w:p>
      <w:pPr>
        <w:spacing w:after="120"/>
        <w:jc w:val="both"/>
      </w:pPr>
      <w:r>
        <w:rPr>
          <w:rFonts w:ascii="Arial" w:cs="Arial" w:eastAsia="Arial" w:hAnsi="Arial"/>
          <w:sz w:val="24"/>
          <w:szCs w:val="24"/>
        </w:rPr>
        <w:t xml:space="preserve">│ранение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│Отдых,   │ 1723,1│  2,9│ 0,8│ 2653,3│ 2552,8│96,2│ -100,5│  3,3│ 0,9│  829,7│</w:t>
      </w:r>
    </w:p>
    <w:p>
      <w:pPr>
        <w:spacing w:after="120"/>
        <w:jc w:val="both"/>
      </w:pPr>
      <w:r>
        <w:rPr>
          <w:rFonts w:ascii="Arial" w:cs="Arial" w:eastAsia="Arial" w:hAnsi="Arial"/>
          <w:sz w:val="24"/>
          <w:szCs w:val="24"/>
        </w:rPr>
        <w:t xml:space="preserve">│культура │       │     │    │       │       │    │       │     │    │       │</w:t>
      </w:r>
    </w:p>
    <w:p>
      <w:pPr>
        <w:spacing w:after="120"/>
        <w:jc w:val="both"/>
      </w:pPr>
      <w:r>
        <w:rPr>
          <w:rFonts w:ascii="Arial" w:cs="Arial" w:eastAsia="Arial" w:hAnsi="Arial"/>
          <w:sz w:val="24"/>
          <w:szCs w:val="24"/>
        </w:rPr>
        <w:t xml:space="preserve">│и религия│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│Образова-│12646,7│ 20,9│ 6,0│19612,8│19039,4│97,1│ -573,4│ 24,3│ 7,0│ 6392,7│</w:t>
      </w:r>
    </w:p>
    <w:p>
      <w:pPr>
        <w:spacing w:after="120"/>
        <w:jc w:val="both"/>
      </w:pPr>
      <w:r>
        <w:rPr>
          <w:rFonts w:ascii="Arial" w:cs="Arial" w:eastAsia="Arial" w:hAnsi="Arial"/>
          <w:sz w:val="24"/>
          <w:szCs w:val="24"/>
        </w:rPr>
        <w:t xml:space="preserve">│ние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 │11101,4│ 18,4│ 5,2│14445,2│14272,3│98,8│ -172,9│ 18,2│ 5,2│ 3170,9│</w:t>
      </w:r>
    </w:p>
    <w:p>
      <w:pPr>
        <w:spacing w:after="120"/>
        <w:jc w:val="both"/>
      </w:pPr>
      <w:r>
        <w:rPr>
          <w:rFonts w:ascii="Arial" w:cs="Arial" w:eastAsia="Arial" w:hAnsi="Arial"/>
          <w:sz w:val="24"/>
          <w:szCs w:val="24"/>
        </w:rPr>
        <w:t xml:space="preserve">│ная      │       │     │    │       │       │    │       │     │    │       │</w:t>
      </w:r>
    </w:p>
    <w:p>
      <w:pPr>
        <w:spacing w:after="120"/>
        <w:jc w:val="both"/>
      </w:pPr>
      <w:r>
        <w:rPr>
          <w:rFonts w:ascii="Arial" w:cs="Arial" w:eastAsia="Arial" w:hAnsi="Arial"/>
          <w:sz w:val="24"/>
          <w:szCs w:val="24"/>
        </w:rPr>
        <w:t xml:space="preserve">│защита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│60446,5│100,0│28,5│80694,6│78384,7│97,1│-2309,9│100,0│28,7│17938,2│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Расходная часть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расходы республиканского бюджета с учетом расходов, произведенных по разделу "потоки денежных средств в связи с операциями по финансированию" и без учета специальных средств, внешних грантов и кредитов ПГИ за 2011 год составили 74579,0 млн. сомов. Относительно 2010 года общие расходы республиканского бюджета увеличились на 17561,3 млн. сомов, или на 30,8 процента.</w:t>
      </w:r>
    </w:p>
    <w:p>
      <w:pPr>
        <w:spacing w:after="120"/>
        <w:jc w:val="both"/>
      </w:pPr>
      <w:r>
        <w:rPr>
          <w:rFonts w:ascii="Arial" w:cs="Arial" w:eastAsia="Arial" w:hAnsi="Arial"/>
          <w:sz w:val="24"/>
          <w:szCs w:val="24"/>
        </w:rPr>
        <w:t xml:space="preserve">Совокупные расходы (текущие расходы и расходы по приобретению нефинансовых активов) республиканского бюджета Кыргызской Республики (с учетом специальных средств, внешних грантов и кредитов ПГИ) за 2011 год составили 83085,3 млн. сомов, или 96,5% от уточненного плана в сумме 86099,7 млн. сомов. К объему ВВП совокупные расходы республиканского бюджета составили 30,4 процента. По сравнению с прошлым годом расходы республиканского бюджета возросли на 22085,9 млн. сомов или на 36,2 процента.</w:t>
      </w:r>
    </w:p>
    <w:p>
      <w:pPr>
        <w:spacing w:after="120"/>
        <w:jc w:val="both"/>
      </w:pPr>
      <w:r>
        <w:rPr>
          <w:rFonts w:ascii="Arial" w:cs="Arial" w:eastAsia="Arial" w:hAnsi="Arial"/>
          <w:sz w:val="24"/>
          <w:szCs w:val="24"/>
        </w:rPr>
        <w:t xml:space="preserve">Совокупные расходы республиканского бюджета Кыргызской Республики за 2011 год (без учета специальных средств, внешних грантов и кредитов ПГИ) составили 65208,0 млн. сомов при уточненном плане 66360,0 млн. сомов, или исполнен на 98,3 процента. К объему ВВП совокупные расходы республиканского бюджета составили 23,9 процентных пункта.</w:t>
      </w:r>
    </w:p>
    <w:p>
      <w:pPr>
        <w:spacing w:after="120"/>
        <w:jc w:val="both"/>
      </w:pPr>
      <w:r>
        <w:rPr>
          <w:rFonts w:ascii="Arial" w:cs="Arial" w:eastAsia="Arial" w:hAnsi="Arial"/>
          <w:sz w:val="24"/>
          <w:szCs w:val="24"/>
        </w:rPr>
        <w:t xml:space="preserve">Абсолютный прирост расходов республиканского бюджета в 2011 году составил 16712,3 млн. сомов, или возрос на 34,5%.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Аналитическая таблица</w:t>
      </w:r>
    </w:p>
    <w:p>
      <w:pPr>
        <w:spacing w:after="120"/>
        <w:jc w:val="both"/>
      </w:pPr>
      <w:r>
        <w:rPr>
          <w:rFonts w:ascii="Arial" w:cs="Arial" w:eastAsia="Arial" w:hAnsi="Arial"/>
          <w:sz w:val="24"/>
          <w:szCs w:val="24"/>
        </w:rPr>
        <w:t xml:space="preserve">исполнения республиканского бюджета Кыргызской Республики по статьям расходов за 2011 год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План  │ Факт  │Процент│Откл-ние│ Сред. │</w:t>
      </w:r>
    </w:p>
    <w:p>
      <w:pPr>
        <w:spacing w:after="120"/>
        <w:jc w:val="both"/>
      </w:pPr>
      <w:r>
        <w:rPr>
          <w:rFonts w:ascii="Arial" w:cs="Arial" w:eastAsia="Arial" w:hAnsi="Arial"/>
          <w:sz w:val="24"/>
          <w:szCs w:val="24"/>
        </w:rPr>
        <w:t xml:space="preserve">│                            │2011 г.│2011 г.│ выпол-│ (+,-)  │ мес.  │</w:t>
      </w:r>
    </w:p>
    <w:p>
      <w:pPr>
        <w:spacing w:after="120"/>
        <w:jc w:val="both"/>
      </w:pPr>
      <w:r>
        <w:rPr>
          <w:rFonts w:ascii="Arial" w:cs="Arial" w:eastAsia="Arial" w:hAnsi="Arial"/>
          <w:sz w:val="24"/>
          <w:szCs w:val="24"/>
        </w:rPr>
        <w:t xml:space="preserve">│                            │       │       │ нения │        │потреб.│</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│12511,1│12389,4│  99,0 │ -121,7 │1042,6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Социальный фонд    │ 1324,6│ 1294,5│  97,7 │  -30,1 │ 110,4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служебные поездки│  370,9│  355,8│  95,9 │  -15,1 │  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│Коммунальные услуги         │ 1373,1│ 1344,0│  97,9 │  -29,1 │ 114,4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│Арендная плата              │  205,4│  200,7│  97,7 │   -4,7 │  17,1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│Транспортные услуги         │  503,1│  488,3│  97,1 │  -14,8 │  41,9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прочих услуг   │ 2880,6│ 2753,0│  95,6 │ -127,6 │ 240,1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представленные     │ 5392,2│ 5386,4│  99,9 │   -5,8 │ 449,4 │</w:t>
      </w:r>
    </w:p>
    <w:p>
      <w:pPr>
        <w:spacing w:after="120"/>
        <w:jc w:val="both"/>
      </w:pPr>
      <w:r>
        <w:rPr>
          <w:rFonts w:ascii="Arial" w:cs="Arial" w:eastAsia="Arial" w:hAnsi="Arial"/>
          <w:sz w:val="24"/>
          <w:szCs w:val="24"/>
        </w:rPr>
        <w:t xml:space="preserve">│единой статьей в системе    │       │       │       │        │       │</w:t>
      </w:r>
    </w:p>
    <w:p>
      <w:pPr>
        <w:spacing w:after="120"/>
        <w:jc w:val="both"/>
      </w:pPr>
      <w:r>
        <w:rPr>
          <w:rFonts w:ascii="Arial" w:cs="Arial" w:eastAsia="Arial" w:hAnsi="Arial"/>
          <w:sz w:val="24"/>
          <w:szCs w:val="24"/>
        </w:rPr>
        <w:t xml:space="preserve">│здравоохранения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медикаментов   │  425,8│  425,0│  99,8 │   -0,8 │  35,5 │</w:t>
      </w:r>
    </w:p>
    <w:p>
      <w:pPr>
        <w:spacing w:after="120"/>
        <w:jc w:val="both"/>
      </w:pPr>
      <w:r>
        <w:rPr>
          <w:rFonts w:ascii="Arial" w:cs="Arial" w:eastAsia="Arial" w:hAnsi="Arial"/>
          <w:sz w:val="24"/>
          <w:szCs w:val="24"/>
        </w:rPr>
        <w:t xml:space="preserve">│и изделий медицинского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продуктов      │ 1465,5│ 1461,6│  99,7 │   -3,9 │ 122,1 │</w:t>
      </w:r>
    </w:p>
    <w:p>
      <w:pPr>
        <w:spacing w:after="120"/>
        <w:jc w:val="both"/>
      </w:pPr>
      <w:r>
        <w:rPr>
          <w:rFonts w:ascii="Arial" w:cs="Arial" w:eastAsia="Arial" w:hAnsi="Arial"/>
          <w:sz w:val="24"/>
          <w:szCs w:val="24"/>
        </w:rPr>
        <w:t xml:space="preserve">│питания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по        │ 1892,6│ 1881,0│  99,4 │  -11,6 │ 157,7 │</w:t>
      </w:r>
    </w:p>
    <w:p>
      <w:pPr>
        <w:spacing w:after="120"/>
        <w:jc w:val="both"/>
      </w:pPr>
      <w:r>
        <w:rPr>
          <w:rFonts w:ascii="Arial" w:cs="Arial" w:eastAsia="Arial" w:hAnsi="Arial"/>
          <w:sz w:val="24"/>
          <w:szCs w:val="24"/>
        </w:rPr>
        <w:t xml:space="preserve">│кредитам и займам,          │       │       │       │        │       │</w:t>
      </w:r>
    </w:p>
    <w:p>
      <w:pPr>
        <w:spacing w:after="120"/>
        <w:jc w:val="both"/>
      </w:pPr>
      <w:r>
        <w:rPr>
          <w:rFonts w:ascii="Arial" w:cs="Arial" w:eastAsia="Arial" w:hAnsi="Arial"/>
          <w:sz w:val="24"/>
          <w:szCs w:val="24"/>
        </w:rPr>
        <w:t xml:space="preserve">│полученным от иностранных   │       │       │       │        │       │</w:t>
      </w:r>
    </w:p>
    <w:p>
      <w:pPr>
        <w:spacing w:after="120"/>
        <w:jc w:val="both"/>
      </w:pPr>
      <w:r>
        <w:rPr>
          <w:rFonts w:ascii="Arial" w:cs="Arial" w:eastAsia="Arial" w:hAnsi="Arial"/>
          <w:sz w:val="24"/>
          <w:szCs w:val="24"/>
        </w:rPr>
        <w:t xml:space="preserve">│государств и международных  │       │       │       │        │       │</w:t>
      </w:r>
    </w:p>
    <w:p>
      <w:pPr>
        <w:spacing w:after="120"/>
        <w:jc w:val="both"/>
      </w:pPr>
      <w:r>
        <w:rPr>
          <w:rFonts w:ascii="Arial" w:cs="Arial" w:eastAsia="Arial" w:hAnsi="Arial"/>
          <w:sz w:val="24"/>
          <w:szCs w:val="24"/>
        </w:rPr>
        <w:t xml:space="preserve">│организаций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по        │  844,7│  844,4│ 100,0 │   -0,3 │  70,4 │</w:t>
      </w:r>
    </w:p>
    <w:p>
      <w:pPr>
        <w:spacing w:after="120"/>
        <w:jc w:val="both"/>
      </w:pPr>
      <w:r>
        <w:rPr>
          <w:rFonts w:ascii="Arial" w:cs="Arial" w:eastAsia="Arial" w:hAnsi="Arial"/>
          <w:sz w:val="24"/>
          <w:szCs w:val="24"/>
        </w:rPr>
        <w:t xml:space="preserve">│государственным ценным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предприятиям       │ 1575,7│ 1549,5│  98,3 │  -26,2 │ 131,3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международным│  200,1│  199,8│  99,9 │   -0,3 │  16,7 │</w:t>
      </w:r>
    </w:p>
    <w:p>
      <w:pPr>
        <w:spacing w:after="120"/>
        <w:jc w:val="both"/>
      </w:pPr>
      <w:r>
        <w:rPr>
          <w:rFonts w:ascii="Arial" w:cs="Arial" w:eastAsia="Arial" w:hAnsi="Arial"/>
          <w:sz w:val="24"/>
          <w:szCs w:val="24"/>
        </w:rPr>
        <w:t xml:space="preserve">│организациям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другим       │13321,8│12961,7│  97,3 │ -360,1 │1110,2 │</w:t>
      </w:r>
    </w:p>
    <w:p>
      <w:pPr>
        <w:spacing w:after="120"/>
        <w:jc w:val="both"/>
      </w:pPr>
      <w:r>
        <w:rPr>
          <w:rFonts w:ascii="Arial" w:cs="Arial" w:eastAsia="Arial" w:hAnsi="Arial"/>
          <w:sz w:val="24"/>
          <w:szCs w:val="24"/>
        </w:rPr>
        <w:t xml:space="preserve">│единицам сектора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│13610,8│13493,6│  99,1 │ -117,2 │1134,2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│Различные прочие расходы    │ 1115,2│ 1006,1│  90,2 │ -109,1 │  92,9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нефинансовых   │ 7346,8│ 7173,2│  97,6 │ -173,6 │ 612,2 │</w:t>
      </w:r>
    </w:p>
    <w:p>
      <w:pPr>
        <w:spacing w:after="120"/>
        <w:jc w:val="both"/>
      </w:pPr>
      <w:r>
        <w:rPr>
          <w:rFonts w:ascii="Arial" w:cs="Arial" w:eastAsia="Arial" w:hAnsi="Arial"/>
          <w:sz w:val="24"/>
          <w:szCs w:val="24"/>
        </w:rPr>
        <w:t xml:space="preserve">│активов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│66360,0│65208,0│  98,3 │-1152,0 │5530,0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Относительно высокий процент исполнения плана расходов наблюдается по таким статьям, как "Заработная плата" - 99,0% (12389,4 млн. сомов), "Расходы представленные единой статьей в системе здравоохранения" 99,9% (5386,4 млн. сомов), "Приобретение медикаментов и изделий медицинского назначения" - 99,8% (425,0 млн. сомов), "Приобретение продуктов питания" - 99,7% (1461,6 млн. сомов), "Текущие гранты международным организациям" - 99,9% (199,8 млн. сомов), "Пособия" - 99,1% (13493,6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исполнения республиканского бюджета Кыргызской Республики по статьям расходов за 2011 и 2010 годы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│Факт за│Факт за│Отклонение│% к 2010│</w:t>
      </w:r>
    </w:p>
    <w:p>
      <w:pPr>
        <w:spacing w:after="120"/>
        <w:jc w:val="both"/>
      </w:pPr>
      <w:r>
        <w:rPr>
          <w:rFonts w:ascii="Arial" w:cs="Arial" w:eastAsia="Arial" w:hAnsi="Arial"/>
          <w:sz w:val="24"/>
          <w:szCs w:val="24"/>
        </w:rPr>
        <w:t xml:space="preserve">│                                 │2010 г.│2011 г.│  (+,-)   │  году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 9652,4│12389,4│  2737,0  │  128,4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Социальный фонд         │ 1010,7│ 1294,5│   283,8  │  128,1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служебные поездки     │  301,2│  355,8│    54,6  │  118,1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│Коммунальные услуги              │ 1368,3│ 1344,0│   -24,3  │   98,2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│Арендная плата                   │  172,8│  200,7│    27,9  │  116,1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│Транспортные услуги              │  596,0│  488,3│  -107,7  │   81,9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прочих услуг        │ 2615,9│ 2753,0│   137,1  │  105,2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представленные единой   │ 3454,9│ 5386,4│  1931,5  │  155,9 │</w:t>
      </w:r>
    </w:p>
    <w:p>
      <w:pPr>
        <w:spacing w:after="120"/>
        <w:jc w:val="both"/>
      </w:pPr>
      <w:r>
        <w:rPr>
          <w:rFonts w:ascii="Arial" w:cs="Arial" w:eastAsia="Arial" w:hAnsi="Arial"/>
          <w:sz w:val="24"/>
          <w:szCs w:val="24"/>
        </w:rPr>
        <w:t xml:space="preserve">│статьей в системе здравоохранения│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медикаментов и      │  412,8│  425,0│    12,2  │  103,0 │</w:t>
      </w:r>
    </w:p>
    <w:p>
      <w:pPr>
        <w:spacing w:after="120"/>
        <w:jc w:val="both"/>
      </w:pPr>
      <w:r>
        <w:rPr>
          <w:rFonts w:ascii="Arial" w:cs="Arial" w:eastAsia="Arial" w:hAnsi="Arial"/>
          <w:sz w:val="24"/>
          <w:szCs w:val="24"/>
        </w:rPr>
        <w:t xml:space="preserve">│изделий медицинского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продуктов питания   │ 1383,3│ 1461,6│    78,3  │  105,7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по кредитам и  │ 1055,5│ 1881,0│   825,5  │  178,2 │</w:t>
      </w:r>
    </w:p>
    <w:p>
      <w:pPr>
        <w:spacing w:after="120"/>
        <w:jc w:val="both"/>
      </w:pPr>
      <w:r>
        <w:rPr>
          <w:rFonts w:ascii="Arial" w:cs="Arial" w:eastAsia="Arial" w:hAnsi="Arial"/>
          <w:sz w:val="24"/>
          <w:szCs w:val="24"/>
        </w:rPr>
        <w:t xml:space="preserve">│займам, полученным от иностранных│       │       │          │        │</w:t>
      </w:r>
    </w:p>
    <w:p>
      <w:pPr>
        <w:spacing w:after="120"/>
        <w:jc w:val="both"/>
      </w:pPr>
      <w:r>
        <w:rPr>
          <w:rFonts w:ascii="Arial" w:cs="Arial" w:eastAsia="Arial" w:hAnsi="Arial"/>
          <w:sz w:val="24"/>
          <w:szCs w:val="24"/>
        </w:rPr>
        <w:t xml:space="preserve">│государств и международных       │       │       │          │        │</w:t>
      </w:r>
    </w:p>
    <w:p>
      <w:pPr>
        <w:spacing w:after="120"/>
        <w:jc w:val="both"/>
      </w:pPr>
      <w:r>
        <w:rPr>
          <w:rFonts w:ascii="Arial" w:cs="Arial" w:eastAsia="Arial" w:hAnsi="Arial"/>
          <w:sz w:val="24"/>
          <w:szCs w:val="24"/>
        </w:rPr>
        <w:t xml:space="preserve">│организаций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по             │  705,8│  844,4│   138,6  │  119,6 │</w:t>
      </w:r>
    </w:p>
    <w:p>
      <w:pPr>
        <w:spacing w:after="120"/>
        <w:jc w:val="both"/>
      </w:pPr>
      <w:r>
        <w:rPr>
          <w:rFonts w:ascii="Arial" w:cs="Arial" w:eastAsia="Arial" w:hAnsi="Arial"/>
          <w:sz w:val="24"/>
          <w:szCs w:val="24"/>
        </w:rPr>
        <w:t xml:space="preserve">│государственным ценным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предприятиям            │ 1253,5│ 1549,5│   296,0  │  123,6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международным     │  140,1│  199,8│    59,7  │  142,6 │</w:t>
      </w:r>
    </w:p>
    <w:p>
      <w:pPr>
        <w:spacing w:after="120"/>
        <w:jc w:val="both"/>
      </w:pPr>
      <w:r>
        <w:rPr>
          <w:rFonts w:ascii="Arial" w:cs="Arial" w:eastAsia="Arial" w:hAnsi="Arial"/>
          <w:sz w:val="24"/>
          <w:szCs w:val="24"/>
        </w:rPr>
        <w:t xml:space="preserve">│организациям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другим единицам   │ 7557,0│12961,7│  5404,7  │  171,5 │</w:t>
      </w:r>
    </w:p>
    <w:p>
      <w:pPr>
        <w:spacing w:after="120"/>
        <w:jc w:val="both"/>
      </w:pPr>
      <w:r>
        <w:rPr>
          <w:rFonts w:ascii="Arial" w:cs="Arial" w:eastAsia="Arial" w:hAnsi="Arial"/>
          <w:sz w:val="24"/>
          <w:szCs w:val="24"/>
        </w:rPr>
        <w:t xml:space="preserve">│сектора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│10416,2│13493,6│  3077,4  │  129,5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│Различные прочие расходы         │  874,7│ 1006,1│   131,4  │  115,0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нефинансовых активов│ 5524,6│ 7173,2│  1648,6  │  129,8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│48495,7│65208,0│ 16712,3  │  134,5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по внешним грантам и кредитам ПГИ за 2011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План   │   Факт   │Отклонение│ % вы-  │</w:t>
      </w:r>
    </w:p>
    <w:p>
      <w:pPr>
        <w:spacing w:after="120"/>
        <w:jc w:val="both"/>
      </w:pPr>
      <w:r>
        <w:rPr>
          <w:rFonts w:ascii="Arial" w:cs="Arial" w:eastAsia="Arial" w:hAnsi="Arial"/>
          <w:sz w:val="24"/>
          <w:szCs w:val="24"/>
        </w:rPr>
        <w:t xml:space="preserve">│                           │  2011 г. │  2011 г. │  (+,-)   │полнения│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службы     │  736145,0│  572505,9│ -163639,1│  77,8  │</w:t>
      </w:r>
    </w:p>
    <w:p>
      <w:pPr>
        <w:spacing w:after="120"/>
        <w:jc w:val="both"/>
      </w:pPr>
      <w:r>
        <w:rPr>
          <w:rFonts w:ascii="Arial" w:cs="Arial" w:eastAsia="Arial" w:hAnsi="Arial"/>
          <w:sz w:val="24"/>
          <w:szCs w:val="24"/>
        </w:rPr>
        <w:t xml:space="preserve">│общего назначения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│Оборона                    │  110750,8│  102593,7│   -8157,1│  92,6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│Экономические вопросы      │12562456,2│11882905,6│ -679550,6│  94,6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│Охрана окружающей среды    │    2027,6│    2027,6│       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│Здравоохранение            │  242040,7│  218293,7│  -23747,0│  90,2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│Образование                │  439315,8│  381124,8│  -58191,0│  86,8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│14092736,1│13159451,3│ -933284,8│  93,4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республиканского бюджета Кыргызской Республики за 2010-2011 гг. по основным разделам и их удельный вес в общих расходах (с учетом специальных средств и без учета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 │Факт за│ Уд. │В % │План на│Факт за│ %  │ Откл. │ Уд. │В % │ Откл. │</w:t>
      </w:r>
    </w:p>
    <w:p>
      <w:pPr>
        <w:spacing w:after="120"/>
        <w:jc w:val="both"/>
      </w:pPr>
      <w:r>
        <w:rPr>
          <w:rFonts w:ascii="Arial" w:cs="Arial" w:eastAsia="Arial" w:hAnsi="Arial"/>
          <w:sz w:val="24"/>
          <w:szCs w:val="24"/>
        </w:rPr>
        <w:t xml:space="preserve">│ вание   │2010 г.│ вес │ к  │ 2011  │2011 г.│    │       │ вес │ к  │2010 г.│</w:t>
      </w:r>
    </w:p>
    <w:p>
      <w:pPr>
        <w:spacing w:after="120"/>
        <w:jc w:val="both"/>
      </w:pPr>
      <w:r>
        <w:rPr>
          <w:rFonts w:ascii="Arial" w:cs="Arial" w:eastAsia="Arial" w:hAnsi="Arial"/>
          <w:sz w:val="24"/>
          <w:szCs w:val="24"/>
        </w:rPr>
        <w:t xml:space="preserve">│разделов │       │ (%) │ВВП │  год  │       │    │       │ (%) │ВВП │  от   │</w:t>
      </w:r>
    </w:p>
    <w:p>
      <w:pPr>
        <w:spacing w:after="120"/>
        <w:jc w:val="both"/>
      </w:pPr>
      <w:r>
        <w:rPr>
          <w:rFonts w:ascii="Arial" w:cs="Arial" w:eastAsia="Arial" w:hAnsi="Arial"/>
          <w:sz w:val="24"/>
          <w:szCs w:val="24"/>
        </w:rPr>
        <w:t xml:space="preserve">│         │       │     │    │       │       │    │       │     │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 │13758,5│ 26,1│ 6,5│21504,4│20557,6│95,6│ -946,8│ 29,4│ 7,5│ 6799,1│</w:t>
      </w:r>
    </w:p>
    <w:p>
      <w:pPr>
        <w:spacing w:after="120"/>
        <w:jc w:val="both"/>
      </w:pPr>
      <w:r>
        <w:rPr>
          <w:rFonts w:ascii="Arial" w:cs="Arial" w:eastAsia="Arial" w:hAnsi="Arial"/>
          <w:sz w:val="24"/>
          <w:szCs w:val="24"/>
        </w:rPr>
        <w:t xml:space="preserve">│ственные │       │     │    │       │       │    │       │     │    │       │</w:t>
      </w:r>
    </w:p>
    <w:p>
      <w:pPr>
        <w:spacing w:after="120"/>
        <w:jc w:val="both"/>
      </w:pPr>
      <w:r>
        <w:rPr>
          <w:rFonts w:ascii="Arial" w:cs="Arial" w:eastAsia="Arial" w:hAnsi="Arial"/>
          <w:sz w:val="24"/>
          <w:szCs w:val="24"/>
        </w:rPr>
        <w:t xml:space="preserve">│службы   │       │     │    │       │       │    │       │     │    │       │</w:t>
      </w:r>
    </w:p>
    <w:p>
      <w:pPr>
        <w:spacing w:after="120"/>
        <w:jc w:val="both"/>
      </w:pPr>
      <w:r>
        <w:rPr>
          <w:rFonts w:ascii="Arial" w:cs="Arial" w:eastAsia="Arial" w:hAnsi="Arial"/>
          <w:sz w:val="24"/>
          <w:szCs w:val="24"/>
        </w:rPr>
        <w:t xml:space="preserve">│общего   │       │     │    │       │       │    │       │     │    │       │</w:t>
      </w:r>
    </w:p>
    <w:p>
      <w:pPr>
        <w:spacing w:after="120"/>
        <w:jc w:val="both"/>
      </w:pPr>
      <w:r>
        <w:rPr>
          <w:rFonts w:ascii="Arial" w:cs="Arial" w:eastAsia="Arial" w:hAnsi="Arial"/>
          <w:sz w:val="24"/>
          <w:szCs w:val="24"/>
        </w:rPr>
        <w:t xml:space="preserve">│назначе- │       │     │    │       │       │    │       │     │    │       │</w:t>
      </w:r>
    </w:p>
    <w:p>
      <w:pPr>
        <w:spacing w:after="120"/>
        <w:jc w:val="both"/>
      </w:pPr>
      <w:r>
        <w:rPr>
          <w:rFonts w:ascii="Arial" w:cs="Arial" w:eastAsia="Arial" w:hAnsi="Arial"/>
          <w:sz w:val="24"/>
          <w:szCs w:val="24"/>
        </w:rPr>
        <w:t xml:space="preserve">│ния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│Оборона, │ 8918,6│ 16,9│ 4,2│10504,9│10288,6│97,9│ -216,3│ 14,7│ 3,8│ 1370,0│</w:t>
      </w:r>
    </w:p>
    <w:p>
      <w:pPr>
        <w:spacing w:after="120"/>
        <w:jc w:val="both"/>
      </w:pPr>
      <w:r>
        <w:rPr>
          <w:rFonts w:ascii="Arial" w:cs="Arial" w:eastAsia="Arial" w:hAnsi="Arial"/>
          <w:sz w:val="24"/>
          <w:szCs w:val="24"/>
        </w:rPr>
        <w:t xml:space="preserve">│Общест-  │       │     │    │       │       │    │       │     │    │       │</w:t>
      </w:r>
    </w:p>
    <w:p>
      <w:pPr>
        <w:spacing w:after="120"/>
        <w:jc w:val="both"/>
      </w:pPr>
      <w:r>
        <w:rPr>
          <w:rFonts w:ascii="Arial" w:cs="Arial" w:eastAsia="Arial" w:hAnsi="Arial"/>
          <w:sz w:val="24"/>
          <w:szCs w:val="24"/>
        </w:rPr>
        <w:t xml:space="preserve">│венный   │       │     │    │       │       │    │       │     │    │       │</w:t>
      </w:r>
    </w:p>
    <w:p>
      <w:pPr>
        <w:spacing w:after="120"/>
        <w:jc w:val="both"/>
      </w:pPr>
      <w:r>
        <w:rPr>
          <w:rFonts w:ascii="Arial" w:cs="Arial" w:eastAsia="Arial" w:hAnsi="Arial"/>
          <w:sz w:val="24"/>
          <w:szCs w:val="24"/>
        </w:rPr>
        <w:t xml:space="preserve">│порядок и│       │     │    │       │       │    │       │     │    │       │</w:t>
      </w:r>
    </w:p>
    <w:p>
      <w:pPr>
        <w:spacing w:after="120"/>
        <w:jc w:val="both"/>
      </w:pPr>
      <w:r>
        <w:rPr>
          <w:rFonts w:ascii="Arial" w:cs="Arial" w:eastAsia="Arial" w:hAnsi="Arial"/>
          <w:sz w:val="24"/>
          <w:szCs w:val="24"/>
        </w:rPr>
        <w:t xml:space="preserve">│безопас- │       │     │    │       │       │    │       │     │    │       │</w:t>
      </w:r>
    </w:p>
    <w:p>
      <w:pPr>
        <w:spacing w:after="120"/>
        <w:jc w:val="both"/>
      </w:pPr>
      <w:r>
        <w:rPr>
          <w:rFonts w:ascii="Arial" w:cs="Arial" w:eastAsia="Arial" w:hAnsi="Arial"/>
          <w:sz w:val="24"/>
          <w:szCs w:val="24"/>
        </w:rPr>
        <w:t xml:space="preserve">│ность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│Экономи- │ 5799,6│ 11,0│ 2,7│ 8108,7│ 7877,5│97,1│ -231,2│ 11,3│ 2,9│ 2077,9│</w:t>
      </w:r>
    </w:p>
    <w:p>
      <w:pPr>
        <w:spacing w:after="120"/>
        <w:jc w:val="both"/>
      </w:pPr>
      <w:r>
        <w:rPr>
          <w:rFonts w:ascii="Arial" w:cs="Arial" w:eastAsia="Arial" w:hAnsi="Arial"/>
          <w:sz w:val="24"/>
          <w:szCs w:val="24"/>
        </w:rPr>
        <w:t xml:space="preserve">│ческие   │       │     │    │       │       │    │       │     │    │       │</w:t>
      </w:r>
    </w:p>
    <w:p>
      <w:pPr>
        <w:spacing w:after="120"/>
        <w:jc w:val="both"/>
      </w:pPr>
      <w:r>
        <w:rPr>
          <w:rFonts w:ascii="Arial" w:cs="Arial" w:eastAsia="Arial" w:hAnsi="Arial"/>
          <w:sz w:val="24"/>
          <w:szCs w:val="24"/>
        </w:rPr>
        <w:t xml:space="preserve">│вопросы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│Охрана   │  570,4│  1,1│ 0,3│  611,6│  585,0│95,7│  -26,6│  0,8│ 0,2│   14,6│</w:t>
      </w:r>
    </w:p>
    <w:p>
      <w:pPr>
        <w:spacing w:after="120"/>
        <w:jc w:val="both"/>
      </w:pPr>
      <w:r>
        <w:rPr>
          <w:rFonts w:ascii="Arial" w:cs="Arial" w:eastAsia="Arial" w:hAnsi="Arial"/>
          <w:sz w:val="24"/>
          <w:szCs w:val="24"/>
        </w:rPr>
        <w:t xml:space="preserve">│окружаю- │       │     │    │       │       │    │       │     │    │       │</w:t>
      </w:r>
    </w:p>
    <w:p>
      <w:pPr>
        <w:spacing w:after="120"/>
        <w:jc w:val="both"/>
      </w:pPr>
      <w:r>
        <w:rPr>
          <w:rFonts w:ascii="Arial" w:cs="Arial" w:eastAsia="Arial" w:hAnsi="Arial"/>
          <w:sz w:val="24"/>
          <w:szCs w:val="24"/>
        </w:rPr>
        <w:t xml:space="preserve">│щей среды│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│Жилищные │ 1715,0│  3,3│ 0,8│ 1471,7│ 1417,9│96,3│  -53,8│  2,0│ 0,5│ -297,1│</w:t>
      </w:r>
    </w:p>
    <w:p>
      <w:pPr>
        <w:spacing w:after="120"/>
        <w:jc w:val="both"/>
      </w:pPr>
      <w:r>
        <w:rPr>
          <w:rFonts w:ascii="Arial" w:cs="Arial" w:eastAsia="Arial" w:hAnsi="Arial"/>
          <w:sz w:val="24"/>
          <w:szCs w:val="24"/>
        </w:rPr>
        <w:t xml:space="preserve">│и комму- │       │     │    │       │       │    │       │     │    │       │</w:t>
      </w:r>
    </w:p>
    <w:p>
      <w:pPr>
        <w:spacing w:after="120"/>
        <w:jc w:val="both"/>
      </w:pPr>
      <w:r>
        <w:rPr>
          <w:rFonts w:ascii="Arial" w:cs="Arial" w:eastAsia="Arial" w:hAnsi="Arial"/>
          <w:sz w:val="24"/>
          <w:szCs w:val="24"/>
        </w:rPr>
        <w:t xml:space="preserve">│нальные  │       │     │    │       │       │    │       │     │    │       │</w:t>
      </w:r>
    </w:p>
    <w:p>
      <w:pPr>
        <w:spacing w:after="120"/>
        <w:jc w:val="both"/>
      </w:pPr>
      <w:r>
        <w:rPr>
          <w:rFonts w:ascii="Arial" w:cs="Arial" w:eastAsia="Arial" w:hAnsi="Arial"/>
          <w:sz w:val="24"/>
          <w:szCs w:val="24"/>
        </w:rPr>
        <w:t xml:space="preserve">│услуги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 5830,1│ 11,1│ 2,7│ 8176,7│ 8020,1│98,1│ -156,6│ 11,5│ 2,9│ 2190,0│</w:t>
      </w:r>
    </w:p>
    <w:p>
      <w:pPr>
        <w:spacing w:after="120"/>
        <w:jc w:val="both"/>
      </w:pPr>
      <w:r>
        <w:rPr>
          <w:rFonts w:ascii="Arial" w:cs="Arial" w:eastAsia="Arial" w:hAnsi="Arial"/>
          <w:sz w:val="24"/>
          <w:szCs w:val="24"/>
        </w:rPr>
        <w:t xml:space="preserve">│ранение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│Отдых,   │ 1213,5│  2,3│ 0,6│ 1876,5│ 1816,5│96,8│  -60,0│  2,6│ 0,7│  603,0│</w:t>
      </w:r>
    </w:p>
    <w:p>
      <w:pPr>
        <w:spacing w:after="120"/>
        <w:jc w:val="both"/>
      </w:pPr>
      <w:r>
        <w:rPr>
          <w:rFonts w:ascii="Arial" w:cs="Arial" w:eastAsia="Arial" w:hAnsi="Arial"/>
          <w:sz w:val="24"/>
          <w:szCs w:val="24"/>
        </w:rPr>
        <w:t xml:space="preserve">│культура │       │     │    │       │       │    │       │     │    │       │</w:t>
      </w:r>
    </w:p>
    <w:p>
      <w:pPr>
        <w:spacing w:after="120"/>
        <w:jc w:val="both"/>
      </w:pPr>
      <w:r>
        <w:rPr>
          <w:rFonts w:ascii="Arial" w:cs="Arial" w:eastAsia="Arial" w:hAnsi="Arial"/>
          <w:sz w:val="24"/>
          <w:szCs w:val="24"/>
        </w:rPr>
        <w:t xml:space="preserve">│и религия│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 4349,3│  8,3│ 2,0│ 5951,3│ 5736,7│96,4│ -214,6│  8,2│ 2,1│ 1387,4│</w:t>
      </w:r>
    </w:p>
    <w:p>
      <w:pPr>
        <w:spacing w:after="120"/>
        <w:jc w:val="both"/>
      </w:pPr>
      <w:r>
        <w:rPr>
          <w:rFonts w:ascii="Arial" w:cs="Arial" w:eastAsia="Arial" w:hAnsi="Arial"/>
          <w:sz w:val="24"/>
          <w:szCs w:val="24"/>
        </w:rPr>
        <w:t xml:space="preserve">│ние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 │10509,8│ 20,0│ 5,0│13801,2│13626,0│98,7│ -175,2│ 19,5│ 5,0│ 3116,2│</w:t>
      </w:r>
    </w:p>
    <w:p>
      <w:pPr>
        <w:spacing w:after="120"/>
        <w:jc w:val="both"/>
      </w:pPr>
      <w:r>
        <w:rPr>
          <w:rFonts w:ascii="Arial" w:cs="Arial" w:eastAsia="Arial" w:hAnsi="Arial"/>
          <w:sz w:val="24"/>
          <w:szCs w:val="24"/>
        </w:rPr>
        <w:t xml:space="preserve">│ная      │       │     │    │       │       │    │       │     │    │       │</w:t>
      </w:r>
    </w:p>
    <w:p>
      <w:pPr>
        <w:spacing w:after="120"/>
        <w:jc w:val="both"/>
      </w:pPr>
      <w:r>
        <w:rPr>
          <w:rFonts w:ascii="Arial" w:cs="Arial" w:eastAsia="Arial" w:hAnsi="Arial"/>
          <w:sz w:val="24"/>
          <w:szCs w:val="24"/>
        </w:rPr>
        <w:t xml:space="preserve">│защита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│52664,7│100,0│24,8│72007,0│69925,9│97,1│-2081,1│100,0│25,6│17261,2│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республиканского бюджета Кыргызской Республики за 2010-2011 гг. по основным разделам и их удельный вес в общих расходах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 │Факт за│ Уд. │В % │План на│Факт за│ %  │ Откл. │ Уд. │В % │ Откл. │</w:t>
      </w:r>
    </w:p>
    <w:p>
      <w:pPr>
        <w:spacing w:after="120"/>
        <w:jc w:val="both"/>
      </w:pPr>
      <w:r>
        <w:rPr>
          <w:rFonts w:ascii="Arial" w:cs="Arial" w:eastAsia="Arial" w:hAnsi="Arial"/>
          <w:sz w:val="24"/>
          <w:szCs w:val="24"/>
        </w:rPr>
        <w:t xml:space="preserve">│ вание   │2010 г.│ вес │ к  │ 2011  │2011 г.│    │       │ вес │ к  │2010 г.│</w:t>
      </w:r>
    </w:p>
    <w:p>
      <w:pPr>
        <w:spacing w:after="120"/>
        <w:jc w:val="both"/>
      </w:pPr>
      <w:r>
        <w:rPr>
          <w:rFonts w:ascii="Arial" w:cs="Arial" w:eastAsia="Arial" w:hAnsi="Arial"/>
          <w:sz w:val="24"/>
          <w:szCs w:val="24"/>
        </w:rPr>
        <w:t xml:space="preserve">│разделов │       │ (%) │ВВП │  год  │       │    │       │ (%) │ВВП │  от   │</w:t>
      </w:r>
    </w:p>
    <w:p>
      <w:pPr>
        <w:spacing w:after="120"/>
        <w:jc w:val="both"/>
      </w:pPr>
      <w:r>
        <w:rPr>
          <w:rFonts w:ascii="Arial" w:cs="Arial" w:eastAsia="Arial" w:hAnsi="Arial"/>
          <w:sz w:val="24"/>
          <w:szCs w:val="24"/>
        </w:rPr>
        <w:t xml:space="preserve">│         │       │     │    │       │       │    │       │     │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 │13445,1│ 27,7│ 6,3│20769,1│20211,7│97,3│ -557,4│ 31,0│ 7,4│ 6766,6│</w:t>
      </w:r>
    </w:p>
    <w:p>
      <w:pPr>
        <w:spacing w:after="120"/>
        <w:jc w:val="both"/>
      </w:pPr>
      <w:r>
        <w:rPr>
          <w:rFonts w:ascii="Arial" w:cs="Arial" w:eastAsia="Arial" w:hAnsi="Arial"/>
          <w:sz w:val="24"/>
          <w:szCs w:val="24"/>
        </w:rPr>
        <w:t xml:space="preserve">│ственные │       │     │    │       │       │    │       │     │    │       │</w:t>
      </w:r>
    </w:p>
    <w:p>
      <w:pPr>
        <w:spacing w:after="120"/>
        <w:jc w:val="both"/>
      </w:pPr>
      <w:r>
        <w:rPr>
          <w:rFonts w:ascii="Arial" w:cs="Arial" w:eastAsia="Arial" w:hAnsi="Arial"/>
          <w:sz w:val="24"/>
          <w:szCs w:val="24"/>
        </w:rPr>
        <w:t xml:space="preserve">│службы   │       │     │    │       │       │    │       │     │    │       │</w:t>
      </w:r>
    </w:p>
    <w:p>
      <w:pPr>
        <w:spacing w:after="120"/>
        <w:jc w:val="both"/>
      </w:pPr>
      <w:r>
        <w:rPr>
          <w:rFonts w:ascii="Arial" w:cs="Arial" w:eastAsia="Arial" w:hAnsi="Arial"/>
          <w:sz w:val="24"/>
          <w:szCs w:val="24"/>
        </w:rPr>
        <w:t xml:space="preserve">│общего   │       │     │    │       │       │    │       │     │    │       │</w:t>
      </w:r>
    </w:p>
    <w:p>
      <w:pPr>
        <w:spacing w:after="120"/>
        <w:jc w:val="both"/>
      </w:pPr>
      <w:r>
        <w:rPr>
          <w:rFonts w:ascii="Arial" w:cs="Arial" w:eastAsia="Arial" w:hAnsi="Arial"/>
          <w:sz w:val="24"/>
          <w:szCs w:val="24"/>
        </w:rPr>
        <w:t xml:space="preserve">│назначе- │       │     │    │       │       │    │       │     │    │       │</w:t>
      </w:r>
    </w:p>
    <w:p>
      <w:pPr>
        <w:spacing w:after="120"/>
        <w:jc w:val="both"/>
      </w:pPr>
      <w:r>
        <w:rPr>
          <w:rFonts w:ascii="Arial" w:cs="Arial" w:eastAsia="Arial" w:hAnsi="Arial"/>
          <w:sz w:val="24"/>
          <w:szCs w:val="24"/>
        </w:rPr>
        <w:t xml:space="preserve">│ния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│Оборона, │ 7744,4│ 16,0│ 3,6│ 9036,1│ 8971,1│99,3│  -65,0│ 13,8│ 3,3│ 1226,7│</w:t>
      </w:r>
    </w:p>
    <w:p>
      <w:pPr>
        <w:spacing w:after="120"/>
        <w:jc w:val="both"/>
      </w:pPr>
      <w:r>
        <w:rPr>
          <w:rFonts w:ascii="Arial" w:cs="Arial" w:eastAsia="Arial" w:hAnsi="Arial"/>
          <w:sz w:val="24"/>
          <w:szCs w:val="24"/>
        </w:rPr>
        <w:t xml:space="preserve">│Общест-  │       │     │    │       │       │    │       │     │    │       │</w:t>
      </w:r>
    </w:p>
    <w:p>
      <w:pPr>
        <w:spacing w:after="120"/>
        <w:jc w:val="both"/>
      </w:pPr>
      <w:r>
        <w:rPr>
          <w:rFonts w:ascii="Arial" w:cs="Arial" w:eastAsia="Arial" w:hAnsi="Arial"/>
          <w:sz w:val="24"/>
          <w:szCs w:val="24"/>
        </w:rPr>
        <w:t xml:space="preserve">│венный   │       │     │    │       │       │    │       │     │    │       │</w:t>
      </w:r>
    </w:p>
    <w:p>
      <w:pPr>
        <w:spacing w:after="120"/>
        <w:jc w:val="both"/>
      </w:pPr>
      <w:r>
        <w:rPr>
          <w:rFonts w:ascii="Arial" w:cs="Arial" w:eastAsia="Arial" w:hAnsi="Arial"/>
          <w:sz w:val="24"/>
          <w:szCs w:val="24"/>
        </w:rPr>
        <w:t xml:space="preserve">│порядок и│       │     │    │       │       │    │       │     │    │       │</w:t>
      </w:r>
    </w:p>
    <w:p>
      <w:pPr>
        <w:spacing w:after="120"/>
        <w:jc w:val="both"/>
      </w:pPr>
      <w:r>
        <w:rPr>
          <w:rFonts w:ascii="Arial" w:cs="Arial" w:eastAsia="Arial" w:hAnsi="Arial"/>
          <w:sz w:val="24"/>
          <w:szCs w:val="24"/>
        </w:rPr>
        <w:t xml:space="preserve">│безопас- │       │     │    │       │       │    │       │     │    │       │</w:t>
      </w:r>
    </w:p>
    <w:p>
      <w:pPr>
        <w:spacing w:after="120"/>
        <w:jc w:val="both"/>
      </w:pPr>
      <w:r>
        <w:rPr>
          <w:rFonts w:ascii="Arial" w:cs="Arial" w:eastAsia="Arial" w:hAnsi="Arial"/>
          <w:sz w:val="24"/>
          <w:szCs w:val="24"/>
        </w:rPr>
        <w:t xml:space="preserve">│ность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│Экономи- │ 5378,6│ 11,1│ 2,5│ 7425,1│ 7308,5│98,4│ -116,6│ 11,2│ 2,7│ 1929,9│</w:t>
      </w:r>
    </w:p>
    <w:p>
      <w:pPr>
        <w:spacing w:after="120"/>
        <w:jc w:val="both"/>
      </w:pPr>
      <w:r>
        <w:rPr>
          <w:rFonts w:ascii="Arial" w:cs="Arial" w:eastAsia="Arial" w:hAnsi="Arial"/>
          <w:sz w:val="24"/>
          <w:szCs w:val="24"/>
        </w:rPr>
        <w:t xml:space="preserve">│ческие   │       │     │    │       │       │    │       │     │    │       │</w:t>
      </w:r>
    </w:p>
    <w:p>
      <w:pPr>
        <w:spacing w:after="120"/>
        <w:jc w:val="both"/>
      </w:pPr>
      <w:r>
        <w:rPr>
          <w:rFonts w:ascii="Arial" w:cs="Arial" w:eastAsia="Arial" w:hAnsi="Arial"/>
          <w:sz w:val="24"/>
          <w:szCs w:val="24"/>
        </w:rPr>
        <w:t xml:space="preserve">│вопросы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│Охрана   │  417,6│  0,9│ 0,2│  414,4│  411,1│99,2│   -3,3│  0,6│ 0,2│   -6,5│</w:t>
      </w:r>
    </w:p>
    <w:p>
      <w:pPr>
        <w:spacing w:after="120"/>
        <w:jc w:val="both"/>
      </w:pPr>
      <w:r>
        <w:rPr>
          <w:rFonts w:ascii="Arial" w:cs="Arial" w:eastAsia="Arial" w:hAnsi="Arial"/>
          <w:sz w:val="24"/>
          <w:szCs w:val="24"/>
        </w:rPr>
        <w:t xml:space="preserve">│окружаю- │       │     │    │       │       │    │       │     │    │       │</w:t>
      </w:r>
    </w:p>
    <w:p>
      <w:pPr>
        <w:spacing w:after="120"/>
        <w:jc w:val="both"/>
      </w:pPr>
      <w:r>
        <w:rPr>
          <w:rFonts w:ascii="Arial" w:cs="Arial" w:eastAsia="Arial" w:hAnsi="Arial"/>
          <w:sz w:val="24"/>
          <w:szCs w:val="24"/>
        </w:rPr>
        <w:t xml:space="preserve">│щей среды│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│Жилищные │ 1714,8│  3,5│ 0,8│ 1471,2│ 1417,4│96,3│  -53,8│  2,2│ 0,5│ -297,4│</w:t>
      </w:r>
    </w:p>
    <w:p>
      <w:pPr>
        <w:spacing w:after="120"/>
        <w:jc w:val="both"/>
      </w:pPr>
      <w:r>
        <w:rPr>
          <w:rFonts w:ascii="Arial" w:cs="Arial" w:eastAsia="Arial" w:hAnsi="Arial"/>
          <w:sz w:val="24"/>
          <w:szCs w:val="24"/>
        </w:rPr>
        <w:t xml:space="preserve">│и комму- │       │     │    │       │       │    │       │     │    │       │</w:t>
      </w:r>
    </w:p>
    <w:p>
      <w:pPr>
        <w:spacing w:after="120"/>
        <w:jc w:val="both"/>
      </w:pPr>
      <w:r>
        <w:rPr>
          <w:rFonts w:ascii="Arial" w:cs="Arial" w:eastAsia="Arial" w:hAnsi="Arial"/>
          <w:sz w:val="24"/>
          <w:szCs w:val="24"/>
        </w:rPr>
        <w:t xml:space="preserve">│нальные  │       │     │    │       │       │    │       │     │    │       │</w:t>
      </w:r>
    </w:p>
    <w:p>
      <w:pPr>
        <w:spacing w:after="120"/>
        <w:jc w:val="both"/>
      </w:pPr>
      <w:r>
        <w:rPr>
          <w:rFonts w:ascii="Arial" w:cs="Arial" w:eastAsia="Arial" w:hAnsi="Arial"/>
          <w:sz w:val="24"/>
          <w:szCs w:val="24"/>
        </w:rPr>
        <w:t xml:space="preserve">│услуги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 5547,5│ 11,4│ 2,6│ 7800,6│ 7703,7│98,8│  -96,9│ 11,8│ 2,8│ 2156,2│</w:t>
      </w:r>
    </w:p>
    <w:p>
      <w:pPr>
        <w:spacing w:after="120"/>
        <w:jc w:val="both"/>
      </w:pPr>
      <w:r>
        <w:rPr>
          <w:rFonts w:ascii="Arial" w:cs="Arial" w:eastAsia="Arial" w:hAnsi="Arial"/>
          <w:sz w:val="24"/>
          <w:szCs w:val="24"/>
        </w:rPr>
        <w:t xml:space="preserve">│ранение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│Отдых,   │ 1118,1│  2,3│ 0,5│ 1723,5│ 1686,2│97,8│  -37,3│  2,6│ 0,6│  568,1│</w:t>
      </w:r>
    </w:p>
    <w:p>
      <w:pPr>
        <w:spacing w:after="120"/>
        <w:jc w:val="both"/>
      </w:pPr>
      <w:r>
        <w:rPr>
          <w:rFonts w:ascii="Arial" w:cs="Arial" w:eastAsia="Arial" w:hAnsi="Arial"/>
          <w:sz w:val="24"/>
          <w:szCs w:val="24"/>
        </w:rPr>
        <w:t xml:space="preserve">│культура │       │     │    │       │       │    │       │     │    │       │</w:t>
      </w:r>
    </w:p>
    <w:p>
      <w:pPr>
        <w:spacing w:after="120"/>
        <w:jc w:val="both"/>
      </w:pPr>
      <w:r>
        <w:rPr>
          <w:rFonts w:ascii="Arial" w:cs="Arial" w:eastAsia="Arial" w:hAnsi="Arial"/>
          <w:sz w:val="24"/>
          <w:szCs w:val="24"/>
        </w:rPr>
        <w:t xml:space="preserve">│и религия│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 2624,9│  5,4│ 1,2│ 3927,0│ 3879,0│98,8│  -48,0│  5,9│ 1,4│ 1254,1│</w:t>
      </w:r>
    </w:p>
    <w:p>
      <w:pPr>
        <w:spacing w:after="120"/>
        <w:jc w:val="both"/>
      </w:pPr>
      <w:r>
        <w:rPr>
          <w:rFonts w:ascii="Arial" w:cs="Arial" w:eastAsia="Arial" w:hAnsi="Arial"/>
          <w:sz w:val="24"/>
          <w:szCs w:val="24"/>
        </w:rPr>
        <w:t xml:space="preserve">│ние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 │10504,6│ 21,7│ 5,0│13793,0│13619,3│98,7│ -173,7│ 20,9│ 5,0│ 3114,7│</w:t>
      </w:r>
    </w:p>
    <w:p>
      <w:pPr>
        <w:spacing w:after="120"/>
        <w:jc w:val="both"/>
      </w:pPr>
      <w:r>
        <w:rPr>
          <w:rFonts w:ascii="Arial" w:cs="Arial" w:eastAsia="Arial" w:hAnsi="Arial"/>
          <w:sz w:val="24"/>
          <w:szCs w:val="24"/>
        </w:rPr>
        <w:t xml:space="preserve">│ная      │       │     │    │       │       │    │       │     │    │       │</w:t>
      </w:r>
    </w:p>
    <w:p>
      <w:pPr>
        <w:spacing w:after="120"/>
        <w:jc w:val="both"/>
      </w:pPr>
      <w:r>
        <w:rPr>
          <w:rFonts w:ascii="Arial" w:cs="Arial" w:eastAsia="Arial" w:hAnsi="Arial"/>
          <w:sz w:val="24"/>
          <w:szCs w:val="24"/>
        </w:rPr>
        <w:t xml:space="preserve">│защита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│48495,7│100,0│22,9│66360,0│65208,0│98,3│-1152,0│100,0│23,9│16712,3│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республиканского бюджета на погашение основной суммы государственного долга составили 6669,2 млн. сомов или 99,9% при плане 6678,5 млн. сомов, в том числе расходы по погашению основной суммы внутреннего долга Правительства - 4695,9 млн. сомов, основной суммы внешнего долга Правительства - 1973,3 млн. сомов.</w:t>
      </w:r>
    </w:p>
    <w:p>
      <w:pPr>
        <w:spacing w:after="120"/>
        <w:jc w:val="both"/>
      </w:pPr>
      <w:r>
        <w:rPr>
          <w:rFonts w:ascii="Arial" w:cs="Arial" w:eastAsia="Arial" w:hAnsi="Arial"/>
          <w:sz w:val="24"/>
          <w:szCs w:val="24"/>
        </w:rPr>
        <w:t xml:space="preserve">На погашение внутреннего долга Правительства направлено - 4695,9 млн. сомов, в том числе:</w:t>
      </w:r>
    </w:p>
    <w:p>
      <w:pPr>
        <w:spacing w:after="120"/>
        <w:jc w:val="both"/>
      </w:pPr>
      <w:r>
        <w:rPr>
          <w:rFonts w:ascii="Arial" w:cs="Arial" w:eastAsia="Arial" w:hAnsi="Arial"/>
          <w:sz w:val="24"/>
          <w:szCs w:val="24"/>
        </w:rPr>
        <w:t xml:space="preserve">- государственные краткосрочные ценные бумаги - 3077,7 млн. сомов;</w:t>
      </w:r>
    </w:p>
    <w:p>
      <w:pPr>
        <w:spacing w:after="120"/>
        <w:jc w:val="both"/>
      </w:pPr>
      <w:r>
        <w:rPr>
          <w:rFonts w:ascii="Arial" w:cs="Arial" w:eastAsia="Arial" w:hAnsi="Arial"/>
          <w:sz w:val="24"/>
          <w:szCs w:val="24"/>
        </w:rPr>
        <w:t xml:space="preserve">- государственные долгосрочные ценные бумаги - 1618,2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Аналитическая таблица исполнении республиканского бюджета за 2011 год по основному государственному долгу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План  │ Факт  │Отклонение│  %  │</w:t>
      </w:r>
    </w:p>
    <w:p>
      <w:pPr>
        <w:spacing w:after="120"/>
        <w:jc w:val="both"/>
      </w:pPr>
      <w:r>
        <w:rPr>
          <w:rFonts w:ascii="Arial" w:cs="Arial" w:eastAsia="Arial" w:hAnsi="Arial"/>
          <w:sz w:val="24"/>
          <w:szCs w:val="24"/>
        </w:rPr>
        <w:t xml:space="preserve">│                                    │2011 г.│2011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Внутренний долг основная сумма   │ 4696,4│ 4695,9│   -0,5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Внешний долг основная сумма      │ 1982,1│ 1973,3│   -8,8   │ 99,6│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государственный долг          │16678,5│ 6669,2│   -9,3   │ 99,9│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Удельный вес выплат по государственному долгу Правительства Кыргызской Республики в общем объеме расходов за отчетный год составил 10,2% и 2,4% к ВВП.</w:t>
      </w:r>
    </w:p>
    <w:p>
      <w:pPr>
        <w:spacing w:after="120"/>
        <w:jc w:val="both"/>
      </w:pPr>
      <w:r>
        <w:rPr>
          <w:rFonts w:ascii="Arial" w:cs="Arial" w:eastAsia="Arial" w:hAnsi="Arial"/>
          <w:sz w:val="24"/>
          <w:szCs w:val="24"/>
        </w:rPr>
        <w:t xml:space="preserve">За 2010 год удельный вес данных расходов в общем объеме расходов составлял 12,2%.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исполнения республиканского бюджета за 2010-2011 гг. по основному государственному долгу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Факт  │ Факт  │Отклонение│  %  │</w:t>
      </w:r>
    </w:p>
    <w:p>
      <w:pPr>
        <w:spacing w:after="120"/>
        <w:jc w:val="both"/>
      </w:pPr>
      <w:r>
        <w:rPr>
          <w:rFonts w:ascii="Arial" w:cs="Arial" w:eastAsia="Arial" w:hAnsi="Arial"/>
          <w:sz w:val="24"/>
          <w:szCs w:val="24"/>
        </w:rPr>
        <w:t xml:space="preserve">│                                    │2010 г.│2011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Внутренний долг, основная сумма  │ 4246,5│ 4695,9│   449,4  │110,6│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Внешний долг, основная сумма     │ 1659,7│ 1973,3│   313,6  │118,9│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государственный долг          │ 5906,2│ 6669,2│   763,0  │112,9│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Местный бюджет за 2011 год (с учетом специальных средств) исполнен в сумме 21420,5 млн. сомов при плане 22009,4 млн. сомов или на 97,3 процента. По сравнению с предыдущим годом расходы местного бюджета увеличились на 6081,7 млн. сомов или возросли на 39,6%.</w:t>
      </w:r>
    </w:p>
    <w:p>
      <w:pPr>
        <w:spacing w:after="120"/>
        <w:jc w:val="both"/>
      </w:pPr>
      <w:r>
        <w:rPr>
          <w:rFonts w:ascii="Arial" w:cs="Arial" w:eastAsia="Arial" w:hAnsi="Arial"/>
          <w:sz w:val="24"/>
          <w:szCs w:val="24"/>
        </w:rPr>
        <w:t xml:space="preserve">По отношению к объему ВВП расходы местного бюджета составили 7,8% с увеличением относительно показателя 2010 года на 0,6 процентных пункта.</w:t>
      </w:r>
    </w:p>
    <w:p>
      <w:pPr>
        <w:spacing w:after="120"/>
        <w:jc w:val="both"/>
      </w:pPr>
      <w:r>
        <w:rPr>
          <w:rFonts w:ascii="Arial" w:cs="Arial" w:eastAsia="Arial" w:hAnsi="Arial"/>
          <w:sz w:val="24"/>
          <w:szCs w:val="24"/>
        </w:rPr>
        <w:t xml:space="preserve">Местный бюджет Кыргызской Республики за 2011 год (без учета специальных средств) исполнен в сумме 20872,9 млн. сомов при уточненном плане 21434,6 млн. сом, или исполнен на 97,4 процента. К объему ВВП расходы местного бюджета (без учета специальных средств) составили 7,6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местного бюджета Кыргызской Республики по статьям расходов за 2011 год (без учета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План  │ Факт  │Процент│Откл-ние│ Сред. │</w:t>
      </w:r>
    </w:p>
    <w:p>
      <w:pPr>
        <w:spacing w:after="120"/>
        <w:jc w:val="both"/>
      </w:pPr>
      <w:r>
        <w:rPr>
          <w:rFonts w:ascii="Arial" w:cs="Arial" w:eastAsia="Arial" w:hAnsi="Arial"/>
          <w:sz w:val="24"/>
          <w:szCs w:val="24"/>
        </w:rPr>
        <w:t xml:space="preserve">│                            │2011 г.│2011 г.│ выпол-│ (+,-)  │ мес.  │</w:t>
      </w:r>
    </w:p>
    <w:p>
      <w:pPr>
        <w:spacing w:after="120"/>
        <w:jc w:val="both"/>
      </w:pPr>
      <w:r>
        <w:rPr>
          <w:rFonts w:ascii="Arial" w:cs="Arial" w:eastAsia="Arial" w:hAnsi="Arial"/>
          <w:sz w:val="24"/>
          <w:szCs w:val="24"/>
        </w:rPr>
        <w:t xml:space="preserve">│                            │       │       │ нения │        │потреб.│</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│11601,7│11350,5│  97,8 │ -251,2 │ 966,8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Социальный фонд    │ 1952,6│ 1900,7│  97,3 │  -51,9 │ 162,7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служебные поездки│  133,5│  126,9│  95,1 │   -6,6 │  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│Коммунальные услуги         │  959,5│  934,0│  97,3 │  -25,5 │  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│Арендная плата              │    7,5│    6,7│  89,3 │   -0,8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│Транспортные услуги         │  185,4│  176,9│  95,4 │   -8,5 │  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прочих услуг   │ 2771,5│ 2685,8│  96,9 │  -85,7 │ 231,0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представленные     │  280,5│  275,6│  98,3 │   -4,9 │  23,4 │</w:t>
      </w:r>
    </w:p>
    <w:p>
      <w:pPr>
        <w:spacing w:after="120"/>
        <w:jc w:val="both"/>
      </w:pPr>
      <w:r>
        <w:rPr>
          <w:rFonts w:ascii="Arial" w:cs="Arial" w:eastAsia="Arial" w:hAnsi="Arial"/>
          <w:sz w:val="24"/>
          <w:szCs w:val="24"/>
        </w:rPr>
        <w:t xml:space="preserve">│единой статьей в системе    │       │       │       │        │       │</w:t>
      </w:r>
    </w:p>
    <w:p>
      <w:pPr>
        <w:spacing w:after="120"/>
        <w:jc w:val="both"/>
      </w:pPr>
      <w:r>
        <w:rPr>
          <w:rFonts w:ascii="Arial" w:cs="Arial" w:eastAsia="Arial" w:hAnsi="Arial"/>
          <w:sz w:val="24"/>
          <w:szCs w:val="24"/>
        </w:rPr>
        <w:t xml:space="preserve">│здравоохранения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медикаментов   │   42,3│   41,1│  97,2 │   -1,2 │   3,5 │</w:t>
      </w:r>
    </w:p>
    <w:p>
      <w:pPr>
        <w:spacing w:after="120"/>
        <w:jc w:val="both"/>
      </w:pPr>
      <w:r>
        <w:rPr>
          <w:rFonts w:ascii="Arial" w:cs="Arial" w:eastAsia="Arial" w:hAnsi="Arial"/>
          <w:sz w:val="24"/>
          <w:szCs w:val="24"/>
        </w:rPr>
        <w:t xml:space="preserve">│и изделий медицинского      │       │       │       │        │       │</w:t>
      </w:r>
    </w:p>
    <w:p>
      <w:pPr>
        <w:spacing w:after="120"/>
        <w:jc w:val="both"/>
      </w:pPr>
      <w:r>
        <w:rPr>
          <w:rFonts w:ascii="Arial" w:cs="Arial" w:eastAsia="Arial" w:hAnsi="Arial"/>
          <w:sz w:val="24"/>
          <w:szCs w:val="24"/>
        </w:rPr>
        <w:t xml:space="preserve">│назначения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продуктов      │  925,3│  914,5│  98,8 │  -10,8 │  77,1 │</w:t>
      </w:r>
    </w:p>
    <w:p>
      <w:pPr>
        <w:spacing w:after="120"/>
        <w:jc w:val="both"/>
      </w:pPr>
      <w:r>
        <w:rPr>
          <w:rFonts w:ascii="Arial" w:cs="Arial" w:eastAsia="Arial" w:hAnsi="Arial"/>
          <w:sz w:val="24"/>
          <w:szCs w:val="24"/>
        </w:rPr>
        <w:t xml:space="preserve">│питания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по        │   18,5│   14,7│  79,5 │   -3,8 │   1,5 │</w:t>
      </w:r>
    </w:p>
    <w:p>
      <w:pPr>
        <w:spacing w:after="120"/>
        <w:jc w:val="both"/>
      </w:pPr>
      <w:r>
        <w:rPr>
          <w:rFonts w:ascii="Arial" w:cs="Arial" w:eastAsia="Arial" w:hAnsi="Arial"/>
          <w:sz w:val="24"/>
          <w:szCs w:val="24"/>
        </w:rPr>
        <w:t xml:space="preserve">│кредитам и займам,          │       │       │       │        │       │</w:t>
      </w:r>
    </w:p>
    <w:p>
      <w:pPr>
        <w:spacing w:after="120"/>
        <w:jc w:val="both"/>
      </w:pPr>
      <w:r>
        <w:rPr>
          <w:rFonts w:ascii="Arial" w:cs="Arial" w:eastAsia="Arial" w:hAnsi="Arial"/>
          <w:sz w:val="24"/>
          <w:szCs w:val="24"/>
        </w:rPr>
        <w:t xml:space="preserve">│полученным от иностранных   │       │       │       │        │       │</w:t>
      </w:r>
    </w:p>
    <w:p>
      <w:pPr>
        <w:spacing w:after="120"/>
        <w:jc w:val="both"/>
      </w:pPr>
      <w:r>
        <w:rPr>
          <w:rFonts w:ascii="Arial" w:cs="Arial" w:eastAsia="Arial" w:hAnsi="Arial"/>
          <w:sz w:val="24"/>
          <w:szCs w:val="24"/>
        </w:rPr>
        <w:t xml:space="preserve">│государств и международных  │       │       │       │        │       │</w:t>
      </w:r>
    </w:p>
    <w:p>
      <w:pPr>
        <w:spacing w:after="120"/>
        <w:jc w:val="both"/>
      </w:pPr>
      <w:r>
        <w:rPr>
          <w:rFonts w:ascii="Arial" w:cs="Arial" w:eastAsia="Arial" w:hAnsi="Arial"/>
          <w:sz w:val="24"/>
          <w:szCs w:val="24"/>
        </w:rPr>
        <w:t xml:space="preserve">│организаций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по        │   15,5│   15,5│ 100,0 │    0,0 │   1,3 │</w:t>
      </w:r>
    </w:p>
    <w:p>
      <w:pPr>
        <w:spacing w:after="120"/>
        <w:jc w:val="both"/>
      </w:pPr>
      <w:r>
        <w:rPr>
          <w:rFonts w:ascii="Arial" w:cs="Arial" w:eastAsia="Arial" w:hAnsi="Arial"/>
          <w:sz w:val="24"/>
          <w:szCs w:val="24"/>
        </w:rPr>
        <w:t xml:space="preserve">│государственным ценным      │       │       │       │        │       │</w:t>
      </w:r>
    </w:p>
    <w:p>
      <w:pPr>
        <w:spacing w:after="120"/>
        <w:jc w:val="both"/>
      </w:pPr>
      <w:r>
        <w:rPr>
          <w:rFonts w:ascii="Arial" w:cs="Arial" w:eastAsia="Arial" w:hAnsi="Arial"/>
          <w:sz w:val="24"/>
          <w:szCs w:val="24"/>
        </w:rPr>
        <w:t xml:space="preserve">│бумагам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предприятиям       │  827,9│  824,2│  99,6 │   -3,7 │  69,0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  399,2│  394,3│  98,8 │   -4,9 │  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│Различные прочие расходы    │   37,7│   31,5│  83,6 │   -6,2 │   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нефинансовых   │ 1276,0│ 1180,0│  92,5 │  -96,0 │ 106,3 │</w:t>
      </w:r>
    </w:p>
    <w:p>
      <w:pPr>
        <w:spacing w:after="120"/>
        <w:jc w:val="both"/>
      </w:pPr>
      <w:r>
        <w:rPr>
          <w:rFonts w:ascii="Arial" w:cs="Arial" w:eastAsia="Arial" w:hAnsi="Arial"/>
          <w:sz w:val="24"/>
          <w:szCs w:val="24"/>
        </w:rPr>
        <w:t xml:space="preserve">│активов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│21434,6│20872,9│  97,4 │ -561,7 │1786,2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бюджет в 2011 году исполнен с дефицитом в сумме 13663,7 млн. сомов при плановом показателе дефицита 16773,1 млн. сомов, в том числе:</w:t>
      </w:r>
    </w:p>
    <w:p>
      <w:pPr>
        <w:spacing w:after="120"/>
        <w:jc w:val="both"/>
      </w:pPr>
      <w:r>
        <w:rPr>
          <w:rFonts w:ascii="Arial" w:cs="Arial" w:eastAsia="Arial" w:hAnsi="Arial"/>
          <w:sz w:val="24"/>
          <w:szCs w:val="24"/>
        </w:rPr>
        <w:t xml:space="preserve">- республиканский бюджет - 13848,0 млн. сомов при плановом показателе дефицита 16739,7 млн. сомов;</w:t>
      </w:r>
    </w:p>
    <w:p>
      <w:pPr>
        <w:spacing w:after="120"/>
        <w:jc w:val="both"/>
      </w:pPr>
      <w:r>
        <w:rPr>
          <w:rFonts w:ascii="Arial" w:cs="Arial" w:eastAsia="Arial" w:hAnsi="Arial"/>
          <w:sz w:val="24"/>
          <w:szCs w:val="24"/>
        </w:rPr>
        <w:t xml:space="preserve">- местный бюджет - профицитом 184,3 млн. сомов при плановом показателе дефицита 33,5 млн. сомов.</w:t>
      </w:r>
    </w:p>
    <w:p>
      <w:pPr>
        <w:spacing w:after="120"/>
        <w:jc w:val="both"/>
      </w:pPr>
      <w:r>
        <w:rPr>
          <w:rFonts w:ascii="Arial" w:cs="Arial" w:eastAsia="Arial" w:hAnsi="Arial"/>
          <w:sz w:val="24"/>
          <w:szCs w:val="24"/>
        </w:rPr>
        <w:t xml:space="preserve">По главной книге Центрального казначейства (Общие ресурсы Министерства финансов) остаток бюджетных средств составил 3381,2 млн. сомов (без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Поступления от выпуска государственных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финансов, в целях финансирования дефицита бюджета, рефинансирования ранее выпущенных государственных ценных бумаг (ГЦБ) и развития рынка ГЦБ, осуществляет выпуск государственных казначейских векселей(1) (ГКВ) и государственных казначейских облигаций(2) (ГКО) и размещает их на регулярной основе на внутреннем рынке.</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2011 год и прогнозе на 2012-2013 гг." от 30 марта 2011 года № 8, в 2011 году планировалось привлечь средства за счет выпуска ГЦБ на сумму 8982,6 млн. сом, из них 5160,0 млн. сом по ГКВ и 3822,6 млн. сом - по ГКО, в том числе, прочие ГКО на общую сумму 2427,0 млн. сом, из них:</w:t>
      </w:r>
    </w:p>
    <w:p>
      <w:pPr>
        <w:spacing w:after="120"/>
        <w:jc w:val="both"/>
      </w:pPr>
      <w:r>
        <w:rPr>
          <w:rFonts w:ascii="Arial" w:cs="Arial" w:eastAsia="Arial" w:hAnsi="Arial"/>
          <w:sz w:val="24"/>
          <w:szCs w:val="24"/>
        </w:rPr>
        <w:t xml:space="preserve">- 1530,0 млн. сом - в целях восстановления средств Социального фонда Кыргызской Республики, находившихся в ОАО "АзияУниверсалБанк" и переданных ОАО "Залкар Банк";</w:t>
      </w:r>
    </w:p>
    <w:p>
      <w:pPr>
        <w:spacing w:after="120"/>
        <w:jc w:val="both"/>
      </w:pPr>
      <w:r>
        <w:rPr>
          <w:rFonts w:ascii="Arial" w:cs="Arial" w:eastAsia="Arial" w:hAnsi="Arial"/>
          <w:sz w:val="24"/>
          <w:szCs w:val="24"/>
        </w:rPr>
        <w:t xml:space="preserve">- 897,0 млн. сом - для увеличения уставного капитала ОАО "РСК Банк" в целях повышения возможности привлечения ОАО "РСК Банк" средств на внутреннем и внешнем рынках, для кредитования малого и среднего бизнеса, пострадавших в ходе апрельских и июньских событий.</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Источник            │   Прогноз  │Фактические│Отклонение│</w:t>
      </w:r>
    </w:p>
    <w:p>
      <w:pPr>
        <w:spacing w:after="120"/>
        <w:jc w:val="both"/>
      </w:pPr>
      <w:r>
        <w:rPr>
          <w:rFonts w:ascii="Arial" w:cs="Arial" w:eastAsia="Arial" w:hAnsi="Arial"/>
          <w:sz w:val="24"/>
          <w:szCs w:val="24"/>
        </w:rPr>
        <w:t xml:space="preserve">│                                 │утвержденный│поступления│ (дельта)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ГКВ                       │   5160,0   │  4814,1   │  -345,9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ГКО                       │   3822,6   │  3966,9   │   144,3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8982,6   │  8781,0   │  -201,6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Дельта = Фактические поступления - Прогноз утвержденный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Фактические поступления от размещения ГЦБ в республиканский бюджет составили 8781,0 млн. сом, из них 4814,1 млн. сом - ГКВ и 3966,9 - ГКО. Отклонение от прогнозных данных составило - 201,6 млн. сом (2,2%), т.е. фактическое финансирование бюджета за счет выпуска ГЦБ выполнено на 97,8%. При этом, чистое финансирование по ГЦБ(3) было положительным и составило 4085,1 млн. сом.</w:t>
      </w:r>
    </w:p>
    <w:p>
      <w:pPr>
        <w:spacing w:after="120"/>
        <w:jc w:val="both"/>
      </w:pPr>
      <w:r>
        <w:rPr>
          <w:rFonts w:ascii="Arial" w:cs="Arial" w:eastAsia="Arial" w:hAnsi="Arial"/>
          <w:sz w:val="24"/>
          <w:szCs w:val="24"/>
        </w:rPr>
        <w:t xml:space="preserve">Заимствование осуществлялось на внутреннем рынке Кыргызской Республики преимущественно путем размещения ГЦБ на аукционной основе (64,1%) среди первичных дилеров, других прямых участников аукционов, и путем прямой неаукционной (35,9%) продажи организациям.</w:t>
      </w:r>
    </w:p>
    <w:p>
      <w:pPr>
        <w:spacing w:after="120"/>
        <w:jc w:val="both"/>
      </w:pPr>
      <w:r>
        <w:rPr>
          <w:rFonts w:ascii="Arial" w:cs="Arial" w:eastAsia="Arial" w:hAnsi="Arial"/>
          <w:sz w:val="24"/>
          <w:szCs w:val="24"/>
        </w:rPr>
        <w:t xml:space="preserve">Заимствование на внутреннем рынке осуществлялось в следующей структуре: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Рис.1. Структура заимствования путем выпуска ГЦБ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средневзвешенные годовые(4) значения доходности по ГЦБ, размещенным на аукционной основе были следующими: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ГЦБ          │ Средневзвешенная │Минимальная│Максимальная│</w:t>
      </w:r>
    </w:p>
    <w:p>
      <w:pPr>
        <w:spacing w:after="120"/>
        <w:jc w:val="both"/>
      </w:pPr>
      <w:r>
        <w:rPr>
          <w:rFonts w:ascii="Arial" w:cs="Arial" w:eastAsia="Arial" w:hAnsi="Arial"/>
          <w:sz w:val="24"/>
          <w:szCs w:val="24"/>
        </w:rPr>
        <w:t xml:space="preserve">│                         │годовая доходность│доходность │ доходность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│3-мес. ГКВ               │        7,4%      │    6,1%   │    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│6-мес. ГКВ               │       12,9%      │    9,1%   │   15,9%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│12-мес. ГКВ              │       16,7%      │   13,4%   │   21,3%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│ГКО                      │       17,7%      │   16,0%   │   21,5%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нижеприведенном графике (Рис. 2) отражаются динамика изменения доходности(5) на ГЦБ и объемы поступлений в 2011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видно из рис.2 доходность по краткосрочным ГЦБ в начале 2011 г. была на минимальных уровнях: 3-мес. ГКВ - 6,1%, 6-мес. ГКВ - 9,1% и 12-мес. ГКВ - 13,4%, тогда как пики приходились на май-июль того же года. Во втором полугодии 2011 г. доходность по видам ГКВ имела тенденцию к снижению. Доходность по ГКО с 19,2% с начала года снизилась до 16,0% к концу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обслуживание государственного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Первоначальный прогноз(6) расходов на обслуживание государственного долга на 2011 год составил 11117,1 млн. сом, фактически на эти цели из бюджета были направлены средства в размере 9394,7 млн. сом,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Прогноз   │Фактическое│  Дельта  │</w:t>
      </w:r>
    </w:p>
    <w:p>
      <w:pPr>
        <w:spacing w:after="120"/>
        <w:jc w:val="both"/>
      </w:pPr>
      <w:r>
        <w:rPr>
          <w:rFonts w:ascii="Arial" w:cs="Arial" w:eastAsia="Arial" w:hAnsi="Arial"/>
          <w:sz w:val="24"/>
          <w:szCs w:val="24"/>
        </w:rPr>
        <w:t xml:space="preserve">│                                 │утвержденный│исполнение │Отклонения│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3149,1  │   2725,5  │  -423,6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2229,9  │   1881,0  │  -348,9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919,2  │    844,5  │   -74,7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7968,1  │   6669,2  │ -1298,9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2073,9  │   1973,3  │  -100,6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5894,2  │   4695,9  │ -1198,3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11117,1  │   9394,7  │ -1722,5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Дельта = Фактические расходы - Прогноз утвержденный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обслуживание внутреннего долга в бюджете 2011 года было предусмотрено 6813,4 млн. сом. Объем фактически израсходованных средств составил 5540,4 млн. сом,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Прогноз   │Фактическое│  Дельта  │</w:t>
      </w:r>
    </w:p>
    <w:p>
      <w:pPr>
        <w:spacing w:after="120"/>
        <w:jc w:val="both"/>
      </w:pPr>
      <w:r>
        <w:rPr>
          <w:rFonts w:ascii="Arial" w:cs="Arial" w:eastAsia="Arial" w:hAnsi="Arial"/>
          <w:sz w:val="24"/>
          <w:szCs w:val="24"/>
        </w:rPr>
        <w:t xml:space="preserve">│                                 │утвержденный│исполнение │Отклонения│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919,2   │    844,5  │   -74,7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400,9   │    306,3  │   -94,6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517,7   │    538,1  │    20,4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│Индексация сбережений            │      0,5   │      0,1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5894,2   │   4695,9  │ -1198,3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4257,0   │   3077,7  │ -1179,3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1637,2   │   1618,2  │   -19,0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6813,4   │   5540,4  │ -1273,0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Дельта = Фактические расходы - Прогноз утвержденный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2011 года фактические расходы на обслуживание внутреннего долга были меньше запланированных на 1273,0 млн. сом, из них 5,9% отклонения - по выплате по процентам, а 94,1% - по основной сумме.</w:t>
      </w:r>
    </w:p>
    <w:p>
      <w:pPr>
        <w:spacing w:after="120"/>
        <w:jc w:val="both"/>
      </w:pPr>
      <w:r>
        <w:rPr>
          <w:rFonts w:ascii="Arial" w:cs="Arial" w:eastAsia="Arial" w:hAnsi="Arial"/>
          <w:sz w:val="24"/>
          <w:szCs w:val="24"/>
        </w:rPr>
        <w:t xml:space="preserve">Основными причинами отклонения фактических расходов по выплате процентов от запланированных показателей были следующими:</w:t>
      </w:r>
    </w:p>
    <w:p>
      <w:pPr>
        <w:spacing w:after="120"/>
        <w:jc w:val="both"/>
      </w:pPr>
      <w:r>
        <w:rPr>
          <w:rFonts w:ascii="Arial" w:cs="Arial" w:eastAsia="Arial" w:hAnsi="Arial"/>
          <w:sz w:val="24"/>
          <w:szCs w:val="24"/>
        </w:rPr>
        <w:t xml:space="preserve">- Фактические структура и календарь эмиссий ГКВ отличаются от первоначально запланированных, поскольку структура и календарь эмиссии ГКВ корректировались в течение года в зависимости от сложившегося спроса и текущего уровня доходности. В этой связи, были сдвиги в графике и объемах погашения в 2011 г. Кроме того, по 3-х и 6-ти месячным ГКВ объемы выпуска были меньше запланированных, что также привело к снижению объемов погашения, как процентов, так и основной суммы в 2011 году.</w:t>
      </w:r>
    </w:p>
    <w:p>
      <w:pPr>
        <w:spacing w:after="120"/>
        <w:jc w:val="both"/>
      </w:pPr>
      <w:r>
        <w:rPr>
          <w:rFonts w:ascii="Arial" w:cs="Arial" w:eastAsia="Arial" w:hAnsi="Arial"/>
          <w:sz w:val="24"/>
          <w:szCs w:val="24"/>
        </w:rPr>
        <w:t xml:space="preserve">- Отклонение по выплате процентов по долгосрочным ценным бумагам в 2011 году сложилось в сторону увеличения (на 20,4 млн. сом больше). Это объясняется тем, что процентная ставка по КО серии "НБКР-2009" является плавающей на базе инфляция (март 2011 г./март 2010 г.) + 2%. При расчете графика выплаты процентов на 2011 г. прогнозный уровень инфляции использовался на уровне 12%, тогда как фактически данный показатель был на 60,0% больше и составил 19,2%.</w:t>
      </w:r>
    </w:p>
    <w:p>
      <w:pPr>
        <w:spacing w:after="120"/>
        <w:jc w:val="both"/>
      </w:pPr>
      <w:r>
        <w:rPr>
          <w:rFonts w:ascii="Arial" w:cs="Arial" w:eastAsia="Arial" w:hAnsi="Arial"/>
          <w:sz w:val="24"/>
          <w:szCs w:val="24"/>
        </w:rPr>
        <w:t xml:space="preserve">- В целях экономии средств бюджета по выплате процентов, в рамках средств, предусмотренных в бюджете 2011 года, 28.02.2011 г. было произведено досрочное погашение основной суммы КО серии "НБКР-2009" № 2 на сумму 200,0 млн. сом(7). Данное досрочное погашение позволило сэкономить средства бюджета по выплате процентов в размере 6,2 млн. сом.</w:t>
      </w:r>
    </w:p>
    <w:p>
      <w:pPr>
        <w:spacing w:after="120"/>
        <w:jc w:val="both"/>
      </w:pPr>
      <w:r>
        <w:rPr>
          <w:rFonts w:ascii="Arial" w:cs="Arial" w:eastAsia="Arial" w:hAnsi="Arial"/>
          <w:sz w:val="24"/>
          <w:szCs w:val="24"/>
        </w:rPr>
        <w:t xml:space="preserve">- Фактические расходы по выплате процентов по КО серии "Кайрат 4,5,6 - 2001" и "ГКВ урегулирования" были меньше запланированных на 18,7 млн. сом. Это связано с тем, что процентные ставки по данным КО являются плавающими, и зависят от ставок среднеквартальных показателей доходности по 3-месячным ГКВ, которые были меньше запланированных.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Рис.3. Структура платежей по обслуживанию внутреннего долга в разрезе держателей (в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81,8% расходов по внутреннему долгу приходится на обслуживание ГЦБ, держателями которых являются юридические лица (первичные дилеры и другие финансово-кредитные учреждения, имеющие право прямого участия на аукционах ГКВ и ГКО). 18,2% расходов составляют платежи по обслуживаю долга по ГЦБ перед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обслуживание внешнего долга в 2011 году прогнозировались в сумме 4303,8 млн. сом. Фактическое исполнение составило 3854,3 млн. сом, в том числе: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Прогноз   │Фактическое│  Дельта  │</w:t>
      </w:r>
    </w:p>
    <w:p>
      <w:pPr>
        <w:spacing w:after="120"/>
        <w:jc w:val="both"/>
      </w:pPr>
      <w:r>
        <w:rPr>
          <w:rFonts w:ascii="Arial" w:cs="Arial" w:eastAsia="Arial" w:hAnsi="Arial"/>
          <w:sz w:val="24"/>
          <w:szCs w:val="24"/>
        </w:rPr>
        <w:t xml:space="preserve">│                                 │утвержденный│исполнение │Отклонения│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2229,9   │  1881,0   │  -348,9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займы               │   1438,5   │  1264,7   │  -173,8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займы             │    791,4   │   616,3   │  -175,1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2073,9   │  1973,3   │  -100,6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займы               │    267,3   │   314,6   │    47,3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займы             │   1806,6   │  1658,7   │  -147,9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4303,8   │  3854,3   │  -449,5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Дельта = Фактическое исполнение - Прогноз утвержденный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Отклонение фактических показателей от первоначально утвержденного бюджета на 2011 год составило 449,5 млн. сом (или 10,4% от утвержденных показателей) в сторону уменьшения. Фактические объемы обслуживания внешнего долга по отношению к изначально спрогнозированным показателям составили 89,6%.</w:t>
      </w:r>
    </w:p>
    <w:p>
      <w:pPr>
        <w:spacing w:after="120"/>
        <w:jc w:val="both"/>
      </w:pPr>
      <w:r>
        <w:rPr>
          <w:rFonts w:ascii="Arial" w:cs="Arial" w:eastAsia="Arial" w:hAnsi="Arial"/>
          <w:sz w:val="24"/>
          <w:szCs w:val="24"/>
        </w:rPr>
        <w:t xml:space="preserve">Основными причинами отклонения фактических сумм обслуживания внешнего долга в 2010 году явились следующие факторы:</w:t>
      </w:r>
    </w:p>
    <w:p>
      <w:pPr>
        <w:spacing w:after="120"/>
        <w:jc w:val="both"/>
      </w:pPr>
      <w:r>
        <w:rPr>
          <w:rFonts w:ascii="Arial" w:cs="Arial" w:eastAsia="Arial" w:hAnsi="Arial"/>
          <w:sz w:val="24"/>
          <w:szCs w:val="24"/>
        </w:rPr>
        <w:t xml:space="preserve">- Курсовая разница. График платежей по внешнему долгу для утвержденного бюджета рассчитывался на базе прогнозного обменного курса 48,00 сом за 1 доллар США. По итогам 2011 года среднегодовой обменный курс доллара США составил 46,14 сом. В свою очередь, среднегодовой курс доллара США фактически произведенных платежей по государственному внешнему долгу составил 46,20 сома за 1 доллар США. Суммарный эффект от курсовой разницы(8) оценивается на уровне 150 млн. сом.</w:t>
      </w:r>
    </w:p>
    <w:p>
      <w:pPr>
        <w:spacing w:after="120"/>
        <w:jc w:val="both"/>
      </w:pPr>
      <w:r>
        <w:rPr>
          <w:rFonts w:ascii="Arial" w:cs="Arial" w:eastAsia="Arial" w:hAnsi="Arial"/>
          <w:sz w:val="24"/>
          <w:szCs w:val="24"/>
        </w:rPr>
        <w:t xml:space="preserve">- Утвержденным бюджетом на 2011 год предусматривались расходы на обслуживание задолженности ряду кредиторов Кыргызской Республики, с которыми ведутся переговоры по реструктуризации долга в рамках Протокола Парижского клуба от 11.03.2005 г. К числу подобной задолженности относятся займы, предоставленные Эксимбанком Китая (КНР) и Эксимбанком Кореи (Республика Корея). Ввиду того, что в 2011 году переговорный процесс с кредиторами продолжился, платежи по обслуживанию выше обозначенной задолженности не производились. Обслуживание данных долгов начнется с момента заключения соответствующих соглашений о реструктуризации. Кроме того, утвержденным бюджетом на 2011 год было запланировано привлечение займа от Антикризисного Фонда Евразийского Банка Развития порядка 106,7 млн. долл. США. Соответственно, в расходной части бюджета предусматривались суммы на обслуживание процентов по запланированному кредиту. Ввиду того, что в 2011 году данный кредит не был привлечен, оплата процентов не производилась. В итоге, условная экономия от не произведенных платежей составила в 2011 году 270 млн. сом.</w:t>
      </w:r>
    </w:p>
    <w:p>
      <w:pPr>
        <w:spacing w:after="120"/>
        <w:jc w:val="both"/>
      </w:pPr>
      <w:r>
        <w:rPr>
          <w:rFonts w:ascii="Arial" w:cs="Arial" w:eastAsia="Arial" w:hAnsi="Arial"/>
          <w:sz w:val="24"/>
          <w:szCs w:val="24"/>
        </w:rPr>
        <w:t xml:space="preserve">- Дополнительным фактором отклонений явилась разница между фактически начисленными обязательствами и прогнозными суммами обслуживания действующих кредитов, которые были утверждены республиканским бюджетом.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фактический платежей по внешнему долгу за 2011 год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 долга       │         Кредитор        │Проценты│Основной долг│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займы  │Hermes (Германия)        │   20,0 │     0,00    │</w:t>
      </w:r>
    </w:p>
    <w:p>
      <w:pPr>
        <w:spacing w:after="120"/>
        <w:jc w:val="both"/>
      </w:pPr>
      <w:r>
        <w:rPr>
          <w:rFonts w:ascii="Arial" w:cs="Arial" w:eastAsia="Arial" w:hAnsi="Arial"/>
          <w:sz w:val="24"/>
          <w:szCs w:val="24"/>
        </w:rPr>
        <w:t xml:space="preserve">│                    │KfW (Германия)           │   35,9 │     3,57    │</w:t>
      </w:r>
    </w:p>
    <w:p>
      <w:pPr>
        <w:spacing w:after="120"/>
        <w:jc w:val="both"/>
      </w:pPr>
      <w:r>
        <w:rPr>
          <w:rFonts w:ascii="Arial" w:cs="Arial" w:eastAsia="Arial" w:hAnsi="Arial"/>
          <w:sz w:val="24"/>
          <w:szCs w:val="24"/>
        </w:rPr>
        <w:t xml:space="preserve">│                    │Беларусь                 │    0,0 │     3,11    │</w:t>
      </w:r>
    </w:p>
    <w:p>
      <w:pPr>
        <w:spacing w:after="120"/>
        <w:jc w:val="both"/>
      </w:pPr>
      <w:r>
        <w:rPr>
          <w:rFonts w:ascii="Arial" w:cs="Arial" w:eastAsia="Arial" w:hAnsi="Arial"/>
          <w:sz w:val="24"/>
          <w:szCs w:val="24"/>
        </w:rPr>
        <w:t xml:space="preserve">│                    │Дания                    │    1,6 │     0,00    │</w:t>
      </w:r>
    </w:p>
    <w:p>
      <w:pPr>
        <w:spacing w:after="120"/>
        <w:jc w:val="both"/>
      </w:pPr>
      <w:r>
        <w:rPr>
          <w:rFonts w:ascii="Arial" w:cs="Arial" w:eastAsia="Arial" w:hAnsi="Arial"/>
          <w:sz w:val="24"/>
          <w:szCs w:val="24"/>
        </w:rPr>
        <w:t xml:space="preserve">│                    │Китай                    │  185,4 │     0,00    │</w:t>
      </w:r>
    </w:p>
    <w:p>
      <w:pPr>
        <w:spacing w:after="120"/>
        <w:jc w:val="both"/>
      </w:pPr>
      <w:r>
        <w:rPr>
          <w:rFonts w:ascii="Arial" w:cs="Arial" w:eastAsia="Arial" w:hAnsi="Arial"/>
          <w:sz w:val="24"/>
          <w:szCs w:val="24"/>
        </w:rPr>
        <w:t xml:space="preserve">│                    │Кувейт                   │   19,2 │   125,48    │</w:t>
      </w:r>
    </w:p>
    <w:p>
      <w:pPr>
        <w:spacing w:after="120"/>
        <w:jc w:val="both"/>
      </w:pPr>
      <w:r>
        <w:rPr>
          <w:rFonts w:ascii="Arial" w:cs="Arial" w:eastAsia="Arial" w:hAnsi="Arial"/>
          <w:sz w:val="24"/>
          <w:szCs w:val="24"/>
        </w:rPr>
        <w:t xml:space="preserve">│                    │Россия                   │  754,2 │   151,05    │</w:t>
      </w:r>
    </w:p>
    <w:p>
      <w:pPr>
        <w:spacing w:after="120"/>
        <w:jc w:val="both"/>
      </w:pPr>
      <w:r>
        <w:rPr>
          <w:rFonts w:ascii="Arial" w:cs="Arial" w:eastAsia="Arial" w:hAnsi="Arial"/>
          <w:sz w:val="24"/>
          <w:szCs w:val="24"/>
        </w:rPr>
        <w:t xml:space="preserve">│                    │Турция                   │   31,5 │    14,27    │</w:t>
      </w:r>
    </w:p>
    <w:p>
      <w:pPr>
        <w:spacing w:after="120"/>
        <w:jc w:val="both"/>
      </w:pPr>
      <w:r>
        <w:rPr>
          <w:rFonts w:ascii="Arial" w:cs="Arial" w:eastAsia="Arial" w:hAnsi="Arial"/>
          <w:sz w:val="24"/>
          <w:szCs w:val="24"/>
        </w:rPr>
        <w:t xml:space="preserve">│                    │Франция                  │    5,5 │     0,00    │</w:t>
      </w:r>
    </w:p>
    <w:p>
      <w:pPr>
        <w:spacing w:after="120"/>
        <w:jc w:val="both"/>
      </w:pPr>
      <w:r>
        <w:rPr>
          <w:rFonts w:ascii="Arial" w:cs="Arial" w:eastAsia="Arial" w:hAnsi="Arial"/>
          <w:sz w:val="24"/>
          <w:szCs w:val="24"/>
        </w:rPr>
        <w:t xml:space="preserve">│                    │Япония                   │  211,3 │    17,08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Двусторонние займы                      │ 1264,7 │   314,56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займы│МАР                      │  247,7 │   687,53    │</w:t>
      </w:r>
    </w:p>
    <w:p>
      <w:pPr>
        <w:spacing w:after="120"/>
        <w:jc w:val="both"/>
      </w:pPr>
      <w:r>
        <w:rPr>
          <w:rFonts w:ascii="Arial" w:cs="Arial" w:eastAsia="Arial" w:hAnsi="Arial"/>
          <w:sz w:val="24"/>
          <w:szCs w:val="24"/>
        </w:rPr>
        <w:t xml:space="preserve">│                    │ИБР                      │   19,9 │    89,71    │</w:t>
      </w:r>
    </w:p>
    <w:p>
      <w:pPr>
        <w:spacing w:after="120"/>
        <w:jc w:val="both"/>
      </w:pPr>
      <w:r>
        <w:rPr>
          <w:rFonts w:ascii="Arial" w:cs="Arial" w:eastAsia="Arial" w:hAnsi="Arial"/>
          <w:sz w:val="24"/>
          <w:szCs w:val="24"/>
        </w:rPr>
        <w:t xml:space="preserve">│                    │АБР                      │  329,1 │   824,54    │</w:t>
      </w:r>
    </w:p>
    <w:p>
      <w:pPr>
        <w:spacing w:after="120"/>
        <w:jc w:val="both"/>
      </w:pPr>
      <w:r>
        <w:rPr>
          <w:rFonts w:ascii="Arial" w:cs="Arial" w:eastAsia="Arial" w:hAnsi="Arial"/>
          <w:sz w:val="24"/>
          <w:szCs w:val="24"/>
        </w:rPr>
        <w:t xml:space="preserve">│                    │ЕБРР                     │   10,3 │     0,00    │</w:t>
      </w:r>
    </w:p>
    <w:p>
      <w:pPr>
        <w:spacing w:after="120"/>
        <w:jc w:val="both"/>
      </w:pPr>
      <w:r>
        <w:rPr>
          <w:rFonts w:ascii="Arial" w:cs="Arial" w:eastAsia="Arial" w:hAnsi="Arial"/>
          <w:sz w:val="24"/>
          <w:szCs w:val="24"/>
        </w:rPr>
        <w:t xml:space="preserve">│                    │МФСР                     │    3,3 │    17,56    │</w:t>
      </w:r>
    </w:p>
    <w:p>
      <w:pPr>
        <w:spacing w:after="120"/>
        <w:jc w:val="both"/>
      </w:pPr>
      <w:r>
        <w:rPr>
          <w:rFonts w:ascii="Arial" w:cs="Arial" w:eastAsia="Arial" w:hAnsi="Arial"/>
          <w:sz w:val="24"/>
          <w:szCs w:val="24"/>
        </w:rPr>
        <w:t xml:space="preserve">│                    │ОПЕК                     │    3,6 │    32,90    │</w:t>
      </w:r>
    </w:p>
    <w:p>
      <w:pPr>
        <w:spacing w:after="120"/>
        <w:jc w:val="both"/>
      </w:pPr>
      <w:r>
        <w:rPr>
          <w:rFonts w:ascii="Arial" w:cs="Arial" w:eastAsia="Arial" w:hAnsi="Arial"/>
          <w:sz w:val="24"/>
          <w:szCs w:val="24"/>
        </w:rPr>
        <w:t xml:space="preserve">│                    │СФР                      │    2,3 │     6,51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Многосторонние займы                    │  616,3 │  1658,73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│Общий итог          │                         │ 1881,0 │  1973,30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Структура платежей по государственному внешнему долгу в разрезе категорий выплат представлена на диаграмме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Обслуживание государственного внешнего долга КР в разрезе выплат (млн. сом 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51,2% общей суммы обслуживания внешнего долга составили платежи по основному долгу, а 48,8% платежей были направлены на обслуживание процентов. В целом подобное распределение категорий платежей не отличается кардинально от предыдущих лет (период с 2005-2010 год). Вместе с тем, ежегодная структура платежей по категориям платежей зависит от таких факторов как объемы освоения новых кредитов, график погашения новых и действующих займов, а также процентная ставка по кредитам. По мере изменения данных факторов в будущем - будет и изменяться и структура обслуживания внешнего долга.</w:t>
      </w:r>
    </w:p>
    <w:p>
      <w:pPr>
        <w:spacing w:after="120"/>
        <w:jc w:val="both"/>
      </w:pPr>
      <w:r>
        <w:rPr>
          <w:rFonts w:ascii="Arial" w:cs="Arial" w:eastAsia="Arial" w:hAnsi="Arial"/>
          <w:sz w:val="24"/>
          <w:szCs w:val="24"/>
        </w:rPr>
        <w:t xml:space="preserve">Структура обслуживания внешнего долга в 2011 году в разрезе типов кредиторов представлена на диаграмме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Обслуживание государственного внешнего долга КР по категориям кредитов (млн. сом,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платежей по двусторонним займам составил в 2011 году 41%. Доля платежей в обслуживание многостороннего долга составила 59%. Данное соотношение объясняется преобладанием удельного веса многосторонних кредитов в структуре государственного внешнего долга Кыргызской Республики. На конец 2010 года доля многостороннего долга в совокупном объеме внешнего долга составила 56,0%. На конец 2011 года многосторонний долг составил 54,2%. Кроме того, преобладание платежей в обслуживание многостороннего долга обусловлено началом платежей основной суммы в рамках многосторонних займов. Так, например, 84,1% всех платежей по основному долгу произведены по многосторонним займам. В свою очередь, погашение основной суммы по двусторонним кредитам приходится на более поздние периоды. Вместе с тем, удельный вес платежей по двусторонним займам будет постепенно увеличиваться. Это объясняется привлечением значительных заемных ресурсов от двусторонних кредиторов в 2009-2011 годы (в частности в этот период были привлечены кредиты от Российской Федерации и Китая) и началом погашения основной суммы по ряду действующих двусторонних кредитов (значимые годы - 2008 год, 2012 год и 2018 год).</w:t>
      </w:r>
    </w:p>
    <w:p>
      <w:pPr>
        <w:spacing w:after="120"/>
        <w:jc w:val="both"/>
      </w:pPr>
      <w:r>
        <w:rPr>
          <w:rFonts w:ascii="Arial" w:cs="Arial" w:eastAsia="Arial" w:hAnsi="Arial"/>
          <w:sz w:val="24"/>
          <w:szCs w:val="24"/>
        </w:rPr>
        <w:t xml:space="preserve">На диаграмме 6 представлена валютная структура платежей по обслуживанию государственного долга в 2010 году (факт).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Заимствование на внутреннем рынке осуществлялось в следующей структуре:</w:t>
      </w:r>
    </w:p>
    <w:p>
      <w:pPr>
        <w:spacing w:after="120"/>
        <w:jc w:val="both"/>
      </w:pPr>
      <w:r>
        <w:rPr>
          <w:rFonts w:ascii="Arial" w:cs="Arial" w:eastAsia="Arial" w:hAnsi="Arial"/>
          <w:sz w:val="24"/>
          <w:szCs w:val="24"/>
        </w:rPr>
        <w:t xml:space="preserve">Порядка 88% всех платежей были произведены в долл. США. В долл. США обслуживаются как кредиты, номинированные в данной валюте, так и займы номинированные в условных платежных средствах (СДР, Исламский динар). Оставшаяся часть операций распределена между Японской Йеной, Кувейтским динаром и Евро. Кроме того, в процессе обслуживания государственного внешнего долга имели место операции в кыргызских сомах. Данные транзакции производились в целях корректировки курсовой разницы платежей в иностранной валюте (возврат средств на счета ЦК МФКР или доплата в сторону НБКР в случае образования курсовой разницы).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Краткосрочные дисконтные ценные бумаги (до 1 года).</w:t>
      </w:r>
    </w:p>
    <w:p>
      <w:pPr>
        <w:spacing w:after="120"/>
        <w:jc w:val="both"/>
      </w:pPr>
      <w:r>
        <w:rPr>
          <w:rFonts w:ascii="Arial" w:cs="Arial" w:eastAsia="Arial" w:hAnsi="Arial"/>
          <w:sz w:val="24"/>
          <w:szCs w:val="24"/>
        </w:rPr>
        <w:t xml:space="preserve">(2) Долгосрочные купонные ценные бумаги (более года), продаваемые с дисконтом. Купонные ставки на протяжении 2011 г. были установлены на уровне 8% в течение первых двух месяцев, затем - 14%.</w:t>
      </w:r>
    </w:p>
    <w:p>
      <w:pPr>
        <w:spacing w:after="120"/>
        <w:jc w:val="both"/>
      </w:pPr>
      <w:r>
        <w:rPr>
          <w:rFonts w:ascii="Arial" w:cs="Arial" w:eastAsia="Arial" w:hAnsi="Arial"/>
          <w:sz w:val="24"/>
          <w:szCs w:val="24"/>
        </w:rPr>
        <w:t xml:space="preserve">(3) Разность между поступлениями от ГЦБ и погашением основной суммы ГЦБ.</w:t>
      </w:r>
    </w:p>
    <w:p>
      <w:pPr>
        <w:spacing w:after="120"/>
        <w:jc w:val="both"/>
      </w:pPr>
      <w:r>
        <w:rPr>
          <w:rFonts w:ascii="Arial" w:cs="Arial" w:eastAsia="Arial" w:hAnsi="Arial"/>
          <w:sz w:val="24"/>
          <w:szCs w:val="24"/>
        </w:rPr>
        <w:t xml:space="preserve">(4) Средневзвешенная годовая доходность рассчитана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(Доходность + Объем выпуска)</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Е Объем выпуска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Средневзвешенные значения доходности, рассчитанные на ежемесячной основе.</w:t>
      </w:r>
    </w:p>
    <w:p>
      <w:pPr>
        <w:spacing w:after="120"/>
        <w:jc w:val="both"/>
      </w:pPr>
      <w:r>
        <w:rPr>
          <w:rFonts w:ascii="Arial" w:cs="Arial" w:eastAsia="Arial" w:hAnsi="Arial"/>
          <w:sz w:val="24"/>
          <w:szCs w:val="24"/>
        </w:rPr>
        <w:t xml:space="preserve">(6) Согласно Закону Кыргызской Республики "О республиканском бюджете Кыргызской Республики на 2011 год и прогнозе на 2012-2013 гг." от 30 марта 2011 года № 8.</w:t>
      </w:r>
    </w:p>
    <w:p>
      <w:pPr>
        <w:spacing w:after="120"/>
        <w:jc w:val="both"/>
      </w:pPr>
      <w:r>
        <w:rPr>
          <w:rFonts w:ascii="Arial" w:cs="Arial" w:eastAsia="Arial" w:hAnsi="Arial"/>
          <w:sz w:val="24"/>
          <w:szCs w:val="24"/>
        </w:rPr>
        <w:t xml:space="preserve">(7) На 54 дня раньше срока погашения.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(48 - 1) * Е Фактический платеж в KGSi * курс USDi</w:t>
      </w:r>
    </w:p>
    <w:p>
      <w:pPr>
        <w:spacing w:after="120"/>
        <w:jc w:val="both"/>
      </w:pPr>
      <w:r>
        <w:rPr>
          <w:rFonts w:ascii="Arial" w:cs="Arial" w:eastAsia="Arial" w:hAnsi="Arial"/>
          <w:sz w:val="24"/>
          <w:szCs w:val="24"/>
        </w:rPr>
        <w:t xml:space="preserve">i=1</w:t>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министра</w:t>
      </w:r>
      <w:r>
        <w:rPr>
          <w:rFonts w:ascii="Arial" w:cs="Arial" w:eastAsia="Arial" w:hAnsi="Arial"/>
          <w:sz w:val="24"/>
          <w:szCs w:val="24"/>
        </w:rPr>
        <w:t xml:space="preserve">	</w:t>
      </w:r>
      <w:r>
        <w:rPr>
          <w:rFonts w:ascii="Arial" w:cs="Arial" w:eastAsia="Arial" w:hAnsi="Arial"/>
          <w:b/>
          <w:bCs/>
          <w:sz w:val="24"/>
          <w:szCs w:val="24"/>
        </w:rPr>
        <w:t xml:space="preserve">М.Темирбеков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Главного управления бюджетной политики</w:t>
      </w:r>
      <w:r>
        <w:rPr>
          <w:rFonts w:ascii="Arial" w:cs="Arial" w:eastAsia="Arial" w:hAnsi="Arial"/>
          <w:sz w:val="24"/>
          <w:szCs w:val="24"/>
        </w:rPr>
        <w:t xml:space="preserve">	</w:t>
      </w:r>
      <w:r>
        <w:rPr>
          <w:rFonts w:ascii="Arial" w:cs="Arial" w:eastAsia="Arial" w:hAnsi="Arial"/>
          <w:b/>
          <w:bCs/>
          <w:sz w:val="24"/>
          <w:szCs w:val="24"/>
        </w:rPr>
        <w:t xml:space="preserve">К.Асангулов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7oj4arvexplyqufv-ls">
      <w:r>
        <w:rPr>
          <w:rFonts w:ascii="Arial" w:cs="Arial" w:eastAsia="Arial" w:hAnsi="Arial"/>
          <w:color w:val="132D3F"/>
          <w:sz w:val="16"/>
          <w:szCs w:val="16"/>
          <w:u w:val="single"/>
        </w:rPr>
        <w:t xml:space="preserve">dalil.kg/document/93568</w:t>
      </w:r>
    </w:hyperlink>
  </w:p>
  <w:p>
    <w:pPr>
      <w:spacing w:after="0" w:before="40"/>
      <w:jc w:val="center"/>
    </w:pPr>
    <w:hyperlink w:history="1" r:id="rIdq-ozwxluwdirbnxydgyl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0xmh4wuiepyrgeoukudx" Type="http://schemas.openxmlformats.org/officeDocument/2006/relationships/hyperlink" Target="https://dalil.kg/document/158975" TargetMode="External"/><Relationship Id="rId_3xzkfrcsd9jlumeondhc"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7oj4arvexplyqufv-ls" Type="http://schemas.openxmlformats.org/officeDocument/2006/relationships/hyperlink" Target="https://dalil.kg/document/93568" TargetMode="External"/><Relationship Id="rIdq-ozwxluwdirbnxydgyl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2026-09-24T01:16:56.299Z</dcterms:created>
  <dcterms:modified xsi:type="dcterms:W3CDTF">2026-09-24T01:16:56.299Z</dcterms:modified>
</cp:coreProperties>
</file>

<file path=docProps/custom.xml><?xml version="1.0" encoding="utf-8"?>
<Properties xmlns="http://schemas.openxmlformats.org/officeDocument/2006/custom-properties" xmlns:vt="http://schemas.openxmlformats.org/officeDocument/2006/docPropsVTypes"/>
</file>