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zhqwho5jxlt9hijduywm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2019 года № 384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НАЦИОНАЛЬНЫЙ БАНК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14 мая 2012 года № 289/5/1</w:t>
      </w:r>
    </w:p>
    <w:p>
      <w:pPr>
        <w:spacing w:after="480" w:before="200"/>
        <w:jc w:val="center"/>
      </w:pPr>
      <w:r>
        <w:rPr>
          <w:rFonts w:ascii="Arial" w:cs="Arial" w:eastAsia="Arial" w:hAnsi="Arial"/>
          <w:b/>
          <w:bCs/>
          <w:sz w:val="28"/>
          <w:szCs w:val="28"/>
        </w:rPr>
        <w:t xml:space="preserve">Об утверждении Государственной программы по увеличению доли безналичных платежей и расчетов в Кыргызской Республике на 2012-2017 годы</w:t>
      </w:r>
    </w:p>
    <w:p>
      <w:pPr>
        <w:spacing w:after="240"/>
        <w:jc w:val="center"/>
      </w:pPr>
      <w:r>
        <w:rPr>
          <w:rFonts w:ascii="Arial" w:cs="Arial" w:eastAsia="Arial" w:hAnsi="Arial"/>
          <w:sz w:val="24"/>
          <w:szCs w:val="24"/>
        </w:rPr>
        <w:t xml:space="preserve">В целях обеспечения оптимального соотношения уровня наличных и безналичных расчетов в стране, прозрачности денежного обращения и снижения доли теневой экономики Правительство Кыргызской Республики и Национальный банк Кыргызской Республики</w:t>
      </w:r>
    </w:p>
    <w:p>
      <w:pPr>
        <w:spacing w:after="240"/>
        <w:jc w:val="center"/>
      </w:pPr>
      <w:r>
        <w:rPr>
          <w:rFonts w:ascii="Arial" w:cs="Arial" w:eastAsia="Arial" w:hAnsi="Arial"/>
          <w:sz w:val="24"/>
          <w:szCs w:val="24"/>
        </w:rPr>
        <w:t xml:space="preserve">ПОСТАНОВЛЯЮТ: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Государственную </w:t>
      </w:r>
      <w:hyperlink w:history="1" r:id="rIdvgoaooumua8ykdxbewfqe">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по увеличению доли безналичных платежей и расчетов в Кыргызской Республике на 2012-2017 годы (второй этап) (далее - Государственная программа) согласно приложению 1;</w:t>
      </w:r>
    </w:p>
    <w:p>
      <w:pPr>
        <w:spacing w:after="120"/>
        <w:jc w:val="both"/>
      </w:pPr>
      <w:r>
        <w:rPr>
          <w:rFonts w:ascii="Arial" w:cs="Arial" w:eastAsia="Arial" w:hAnsi="Arial"/>
          <w:sz w:val="24"/>
          <w:szCs w:val="24"/>
        </w:rPr>
        <w:t xml:space="preserve">- </w:t>
      </w:r>
      <w:hyperlink w:history="1" r:id="rId_giky40l4xrxkecy13kdt">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реализации Государственной программы согласно приложению 2.</w:t>
      </w:r>
    </w:p>
    <w:p>
      <w:pPr>
        <w:spacing w:after="120"/>
        <w:jc w:val="both"/>
      </w:pPr>
      <w:r>
        <w:rPr>
          <w:rFonts w:ascii="Arial" w:cs="Arial" w:eastAsia="Arial" w:hAnsi="Arial"/>
          <w:sz w:val="24"/>
          <w:szCs w:val="24"/>
        </w:rPr>
        <w:t xml:space="preserve">2. Национальному банку Кыргызской Республики и Министерству финансов Кыргызской Республики обеспечить реализацию мероприятий Государственной программы.</w:t>
      </w:r>
    </w:p>
    <w:p>
      <w:pPr>
        <w:spacing w:after="120"/>
        <w:jc w:val="both"/>
      </w:pPr>
      <w:r>
        <w:rPr>
          <w:rFonts w:ascii="Arial" w:cs="Arial" w:eastAsia="Arial" w:hAnsi="Arial"/>
          <w:sz w:val="24"/>
          <w:szCs w:val="24"/>
        </w:rPr>
        <w:t xml:space="preserve">3. Министерствам, административным ведомствам, иным органам исполнительной власти, местным государственным администрациям, мэриям городов Бишкек и Ош:</w:t>
      </w:r>
    </w:p>
    <w:p>
      <w:pPr>
        <w:spacing w:after="120"/>
        <w:jc w:val="both"/>
      </w:pPr>
      <w:r>
        <w:rPr>
          <w:rFonts w:ascii="Arial" w:cs="Arial" w:eastAsia="Arial" w:hAnsi="Arial"/>
          <w:sz w:val="24"/>
          <w:szCs w:val="24"/>
        </w:rPr>
        <w:t xml:space="preserve">- в месячный срок со дня официального опубликования настоящего постановления разработать в соответствии с Государственной программой и утвердить в установленном порядке планы мероприятий по курируемым направлениям и приступить к их выполнению;</w:t>
      </w:r>
    </w:p>
    <w:p>
      <w:pPr>
        <w:spacing w:after="120"/>
        <w:jc w:val="both"/>
      </w:pPr>
      <w:r>
        <w:rPr>
          <w:rFonts w:ascii="Arial" w:cs="Arial" w:eastAsia="Arial" w:hAnsi="Arial"/>
          <w:sz w:val="24"/>
          <w:szCs w:val="24"/>
        </w:rPr>
        <w:t xml:space="preserve">- ежеквартально, до 15 числа месяца, следующего за отчетным кварталом, представлять сводную информацию о ходе исполнения Плана мероприятий в Национальный банк Кыргызской Республики;</w:t>
      </w:r>
    </w:p>
    <w:p>
      <w:pPr>
        <w:spacing w:after="120"/>
        <w:jc w:val="both"/>
      </w:pPr>
      <w:r>
        <w:rPr>
          <w:rFonts w:ascii="Arial" w:cs="Arial" w:eastAsia="Arial" w:hAnsi="Arial"/>
          <w:sz w:val="24"/>
          <w:szCs w:val="24"/>
        </w:rPr>
        <w:t xml:space="preserve">- установить персональную ответственность руководителей за своевременное и качественное исполнение мероприятий.</w:t>
      </w:r>
    </w:p>
    <w:p>
      <w:pPr>
        <w:spacing w:after="120"/>
        <w:jc w:val="both"/>
      </w:pPr>
      <w:r>
        <w:rPr>
          <w:rFonts w:ascii="Arial" w:cs="Arial" w:eastAsia="Arial" w:hAnsi="Arial"/>
          <w:sz w:val="24"/>
          <w:szCs w:val="24"/>
        </w:rPr>
        <w:t xml:space="preserve">4. Национальному банку Кыргызской Республики:</w:t>
      </w:r>
    </w:p>
    <w:p>
      <w:pPr>
        <w:spacing w:after="120"/>
        <w:jc w:val="both"/>
      </w:pPr>
      <w:r>
        <w:rPr>
          <w:rFonts w:ascii="Arial" w:cs="Arial" w:eastAsia="Arial" w:hAnsi="Arial"/>
          <w:sz w:val="24"/>
          <w:szCs w:val="24"/>
        </w:rPr>
        <w:t xml:space="preserve">- совместно с Правительством Кыргызской Республики содействовать коммерческим банкам в расширении инфраструктуры платежных систем по проведению платежей в безналичной форме на всей территории Кыргызской Республики;</w:t>
      </w:r>
    </w:p>
    <w:p>
      <w:pPr>
        <w:spacing w:after="120"/>
        <w:jc w:val="both"/>
      </w:pPr>
      <w:r>
        <w:rPr>
          <w:rFonts w:ascii="Arial" w:cs="Arial" w:eastAsia="Arial" w:hAnsi="Arial"/>
          <w:sz w:val="24"/>
          <w:szCs w:val="24"/>
        </w:rPr>
        <w:t xml:space="preserve">- представлять в Правительство Кыргызской Республики информацию о ходе реализации Государственной программы на полугодовой основе.</w:t>
      </w:r>
    </w:p>
    <w:p>
      <w:pPr>
        <w:spacing w:after="120"/>
        <w:jc w:val="both"/>
      </w:pPr>
      <w:r>
        <w:rPr>
          <w:rFonts w:ascii="Arial" w:cs="Arial" w:eastAsia="Arial" w:hAnsi="Arial"/>
          <w:sz w:val="24"/>
          <w:szCs w:val="24"/>
        </w:rPr>
        <w:t xml:space="preserve">5. Рекомендовать коммерческим банкам Кыргызской Республики:</w:t>
      </w:r>
    </w:p>
    <w:p>
      <w:pPr>
        <w:spacing w:after="120"/>
        <w:jc w:val="both"/>
      </w:pPr>
      <w:r>
        <w:rPr>
          <w:rFonts w:ascii="Arial" w:cs="Arial" w:eastAsia="Arial" w:hAnsi="Arial"/>
          <w:sz w:val="24"/>
          <w:szCs w:val="24"/>
        </w:rPr>
        <w:t xml:space="preserve">- активно расширять инфраструктуру по приему платежей в безналичной форме на всей территории Кыргызской Республики;</w:t>
      </w:r>
    </w:p>
    <w:p>
      <w:pPr>
        <w:spacing w:after="120"/>
        <w:jc w:val="both"/>
      </w:pPr>
      <w:r>
        <w:rPr>
          <w:rFonts w:ascii="Arial" w:cs="Arial" w:eastAsia="Arial" w:hAnsi="Arial"/>
          <w:sz w:val="24"/>
          <w:szCs w:val="24"/>
        </w:rPr>
        <w:t xml:space="preserve">- в приоритетном порядке предоставлять розничные банковские услуги населению в рамках социальных проектов;</w:t>
      </w:r>
    </w:p>
    <w:p>
      <w:pPr>
        <w:spacing w:after="120"/>
        <w:jc w:val="both"/>
      </w:pPr>
      <w:r>
        <w:rPr>
          <w:rFonts w:ascii="Arial" w:cs="Arial" w:eastAsia="Arial" w:hAnsi="Arial"/>
          <w:sz w:val="24"/>
          <w:szCs w:val="24"/>
        </w:rPr>
        <w:t xml:space="preserve">- применять дифференцированный подход при формировании тарифной политики по обслуживанию социальных проектов и проведению регулярных розничных платежей.</w:t>
      </w:r>
    </w:p>
    <w:p>
      <w:pPr>
        <w:spacing w:after="120"/>
        <w:jc w:val="both"/>
      </w:pPr>
      <w:r>
        <w:rPr>
          <w:rFonts w:ascii="Arial" w:cs="Arial" w:eastAsia="Arial" w:hAnsi="Arial"/>
          <w:sz w:val="24"/>
          <w:szCs w:val="24"/>
        </w:rPr>
        <w:t xml:space="preserve">6. Рекомендовать предприятиям, регулярно предоставляющим населению товары и услуги:</w:t>
      </w:r>
    </w:p>
    <w:p>
      <w:pPr>
        <w:spacing w:after="120"/>
        <w:jc w:val="both"/>
      </w:pPr>
      <w:r>
        <w:rPr>
          <w:rFonts w:ascii="Arial" w:cs="Arial" w:eastAsia="Arial" w:hAnsi="Arial"/>
          <w:sz w:val="24"/>
          <w:szCs w:val="24"/>
        </w:rPr>
        <w:t xml:space="preserve">- обеспечить возможность населению оплачивать регулярные платежи за товары и услуги с использованием разных форм и инструментов безналичной оплаты;</w:t>
      </w:r>
    </w:p>
    <w:p>
      <w:pPr>
        <w:spacing w:after="120"/>
        <w:jc w:val="both"/>
      </w:pPr>
      <w:r>
        <w:rPr>
          <w:rFonts w:ascii="Arial" w:cs="Arial" w:eastAsia="Arial" w:hAnsi="Arial"/>
          <w:sz w:val="24"/>
          <w:szCs w:val="24"/>
        </w:rPr>
        <w:t xml:space="preserve">- создать эффективные взаимоотношения с коммерческими банками Кыргызской Республики, в том числе с использованием электронного обмена данными, с целью предоставления населению возможности проведения безналичных расчетов за предоставляемые услуги.</w:t>
      </w:r>
    </w:p>
    <w:p>
      <w:pPr>
        <w:spacing w:after="120"/>
        <w:jc w:val="both"/>
      </w:pPr>
      <w:r>
        <w:rPr>
          <w:rFonts w:ascii="Arial" w:cs="Arial" w:eastAsia="Arial" w:hAnsi="Arial"/>
          <w:sz w:val="24"/>
          <w:szCs w:val="24"/>
        </w:rPr>
        <w:t xml:space="preserve">7. Межведомственной комиссии по увеличению доли безналичных платежей и расчетов в Кыргызской Республике, образованной в соответствии с постановлением Правительства Кыргызской Республики и Национального банка Кыргызской Республики от 25 апреля 2011 года № 189/11/4, обеспечить координацию работы по исполнению Плана мероприятий по реализации Государственной программы.</w:t>
      </w:r>
    </w:p>
    <w:p>
      <w:pPr>
        <w:spacing w:after="120"/>
        <w:jc w:val="both"/>
      </w:pPr>
      <w:r>
        <w:rPr>
          <w:rFonts w:ascii="Arial" w:cs="Arial" w:eastAsia="Arial" w:hAnsi="Arial"/>
          <w:sz w:val="24"/>
          <w:szCs w:val="24"/>
        </w:rPr>
        <w:t xml:space="preserve">8. Контроль за исполнением настоящего постановления возложить на отдел финансов Аппарата Правительства Кыргызской Республики.</w:t>
      </w:r>
    </w:p>
    <w:p>
      <w:pPr>
        <w:spacing w:after="120"/>
        <w:jc w:val="both"/>
      </w:pPr>
      <w:r>
        <w:rPr>
          <w:rFonts w:ascii="Arial" w:cs="Arial" w:eastAsia="Arial" w:hAnsi="Arial"/>
          <w:sz w:val="24"/>
          <w:szCs w:val="24"/>
        </w:rPr>
        <w:t xml:space="preserve">9.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Председатель Национального банка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ГОСУДАРСТВЕННАЯ ПРОГРАММА</w:t>
      </w:r>
    </w:p>
    <w:p>
      <w:pPr>
        <w:spacing w:after="240" w:before="200"/>
        <w:jc w:val="center"/>
      </w:pPr>
      <w:r>
        <w:rPr>
          <w:rFonts w:ascii="Arial" w:cs="Arial" w:eastAsia="Arial" w:hAnsi="Arial"/>
          <w:b/>
          <w:bCs/>
          <w:sz w:val="32"/>
          <w:szCs w:val="32"/>
        </w:rPr>
        <w:t xml:space="preserve">по увеличению доли безналичных платежей и расчетов в Кыргызской Республике на 2012-2017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и задачи</w:t>
      </w:r>
    </w:p>
    <w:p>
      <w:pPr>
        <w:spacing w:after="120"/>
        <w:jc w:val="both"/>
      </w:pPr>
      <w:r>
        <w:rPr>
          <w:rFonts w:ascii="Arial" w:cs="Arial" w:eastAsia="Arial" w:hAnsi="Arial"/>
          <w:sz w:val="24"/>
          <w:szCs w:val="24"/>
        </w:rPr>
        <w:t xml:space="preserve">Финансовое обеспечение (объемы и источники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течение 2003-2008 годов Национальным банком Кыргызской Республики совместно с коммерческими банками проводились мероприятия по реформированию платежной системы Кыргызской Республики, и в настоящее время функционируют следующие платежные системы.</w:t>
      </w:r>
    </w:p>
    <w:p>
      <w:pPr>
        <w:spacing w:after="120"/>
        <w:jc w:val="both"/>
      </w:pPr>
      <w:r>
        <w:rPr>
          <w:rFonts w:ascii="Arial" w:cs="Arial" w:eastAsia="Arial" w:hAnsi="Arial"/>
          <w:sz w:val="24"/>
          <w:szCs w:val="24"/>
        </w:rPr>
        <w:t xml:space="preserve">1. Система пакетного клиринга мелких розничных и регулярных платежей - предназначена для обработки мелких и розничных межбанковских платежей. Проведение платежей и расчетов в системе осуществляется на основе взаимозачета обязательств участников системы. Данная система принята в эксплуатацию в октябре 2006 года.</w:t>
      </w:r>
    </w:p>
    <w:p>
      <w:pPr>
        <w:spacing w:after="120"/>
        <w:jc w:val="both"/>
      </w:pPr>
      <w:r>
        <w:rPr>
          <w:rFonts w:ascii="Arial" w:cs="Arial" w:eastAsia="Arial" w:hAnsi="Arial"/>
          <w:sz w:val="24"/>
          <w:szCs w:val="24"/>
        </w:rPr>
        <w:t xml:space="preserve">2. Единый межбанковский процессинговый центр (далее - ЕМПЦ), - являющийся единственным оператором национальной платежной системы Кыргызской Республики. ЕМПЦ имеет развитую инфраструктуру по приему и обработке транзакций, совершенных с использованием банковских платежных карт (банкоматы, ПОС-терминалы). Данная система нацелена на выполнение функций по расчетам на рынке розничных услуг за товары и услуги, а также для реализации зарплатных проектов, что должно позволить сократить потребность в наличных расчетах и расширить повсеместный доступ широких слоев населения с небольшими доходами к банковским услугам (снятие наличных, проведение платежей, краткосрочные кредиты) посредством использования платежных карт "Элкарт". Это система была принята в эксплуатацию в декабре 2006 года.</w:t>
      </w:r>
    </w:p>
    <w:p>
      <w:pPr>
        <w:spacing w:after="120"/>
        <w:jc w:val="both"/>
      </w:pPr>
      <w:r>
        <w:rPr>
          <w:rFonts w:ascii="Arial" w:cs="Arial" w:eastAsia="Arial" w:hAnsi="Arial"/>
          <w:sz w:val="24"/>
          <w:szCs w:val="24"/>
        </w:rPr>
        <w:t xml:space="preserve">3. Гроссовая система расчетов в режиме реального времени для проведения срочных и крупных платежей - предназначена для проведения быстрых и окончательных расчетов по сделкам на финансовых рынках и другим крупным платежам. Система обеспечивает немедленный окончательный расчет по каждому индивидуальному платежу путем списания и зачисления денежных средств по корреспондентским (текущим) счетам участников системы, открытым в Банке Кыргызстана. Данная система принята в эксплуатацию в июне 2008 года.</w:t>
      </w:r>
    </w:p>
    <w:p>
      <w:pPr>
        <w:spacing w:after="120"/>
        <w:jc w:val="both"/>
      </w:pPr>
      <w:r>
        <w:rPr>
          <w:rFonts w:ascii="Arial" w:cs="Arial" w:eastAsia="Arial" w:hAnsi="Arial"/>
          <w:sz w:val="24"/>
          <w:szCs w:val="24"/>
        </w:rPr>
        <w:t xml:space="preserve">Таким образом, к настоящему времени Национальный банк Кыргызской Республики совместно с коммерческими банками обеспечил предложение новых услуг и современные способы и формы проведения безналичных платежей и расчетов в общегосударственном масштабе.</w:t>
      </w:r>
    </w:p>
    <w:p>
      <w:pPr>
        <w:spacing w:after="120"/>
        <w:jc w:val="both"/>
      </w:pPr>
      <w:r>
        <w:rPr>
          <w:rFonts w:ascii="Arial" w:cs="Arial" w:eastAsia="Arial" w:hAnsi="Arial"/>
          <w:sz w:val="24"/>
          <w:szCs w:val="24"/>
        </w:rPr>
        <w:t xml:space="preserve">В связи с этим Межведомственной комиссией по увеличению доли безналичных платежей и расчетов в Кыргызской Республике, образованной постановлением Правительства Кыргызской Республики и Национального банка Кыргызской Республики от 25 апреля 2011 года № 189/11/4 (далее - Межведомственная комиссия), был проведен анализ по результатам исполнения Государственной программы.</w:t>
      </w:r>
    </w:p>
    <w:p>
      <w:pPr>
        <w:spacing w:after="120"/>
        <w:jc w:val="both"/>
      </w:pPr>
      <w:r>
        <w:rPr>
          <w:rFonts w:ascii="Arial" w:cs="Arial" w:eastAsia="Arial" w:hAnsi="Arial"/>
          <w:sz w:val="24"/>
          <w:szCs w:val="24"/>
        </w:rPr>
        <w:t xml:space="preserve">По статистике на 1 января 2012 года:</w:t>
      </w:r>
    </w:p>
    <w:p>
      <w:pPr>
        <w:spacing w:after="120"/>
        <w:jc w:val="both"/>
      </w:pPr>
      <w:r>
        <w:rPr>
          <w:rFonts w:ascii="Arial" w:cs="Arial" w:eastAsia="Arial" w:hAnsi="Arial"/>
          <w:sz w:val="24"/>
          <w:szCs w:val="24"/>
        </w:rPr>
        <w:t xml:space="preserve">- общая сумма денег в обращении составила 49,9 млрд. сомов;</w:t>
      </w:r>
    </w:p>
    <w:p>
      <w:pPr>
        <w:spacing w:after="120"/>
        <w:jc w:val="both"/>
      </w:pPr>
      <w:r>
        <w:rPr>
          <w:rFonts w:ascii="Arial" w:cs="Arial" w:eastAsia="Arial" w:hAnsi="Arial"/>
          <w:sz w:val="24"/>
          <w:szCs w:val="24"/>
        </w:rPr>
        <w:t xml:space="preserve">- деньги вне банков составили 47,2 млрд. сомов;</w:t>
      </w:r>
    </w:p>
    <w:p>
      <w:pPr>
        <w:spacing w:after="120"/>
        <w:jc w:val="both"/>
      </w:pPr>
      <w:r>
        <w:rPr>
          <w:rFonts w:ascii="Arial" w:cs="Arial" w:eastAsia="Arial" w:hAnsi="Arial"/>
          <w:sz w:val="24"/>
          <w:szCs w:val="24"/>
        </w:rPr>
        <w:t xml:space="preserve">- в коммерческих банках находилось 2,2 млрд. сомов, или 4,4% из общей суммы денег в обращении;</w:t>
      </w:r>
    </w:p>
    <w:p>
      <w:pPr>
        <w:spacing w:after="120"/>
        <w:jc w:val="both"/>
      </w:pPr>
      <w:r>
        <w:rPr>
          <w:rFonts w:ascii="Arial" w:cs="Arial" w:eastAsia="Arial" w:hAnsi="Arial"/>
          <w:sz w:val="24"/>
          <w:szCs w:val="24"/>
        </w:rPr>
        <w:t xml:space="preserve">- количество банковских счетов составило: 109904 - юридических лиц, 691198 - физических лиц;</w:t>
      </w:r>
    </w:p>
    <w:p>
      <w:pPr>
        <w:spacing w:after="120"/>
        <w:jc w:val="both"/>
      </w:pPr>
      <w:r>
        <w:rPr>
          <w:rFonts w:ascii="Arial" w:cs="Arial" w:eastAsia="Arial" w:hAnsi="Arial"/>
          <w:sz w:val="24"/>
          <w:szCs w:val="24"/>
        </w:rPr>
        <w:t xml:space="preserve">- общий объем безналичных платежей по межбанковским системам за 2011 год составил 585,1 млрд. сомов;</w:t>
      </w:r>
    </w:p>
    <w:p>
      <w:pPr>
        <w:spacing w:after="120"/>
        <w:jc w:val="both"/>
      </w:pPr>
      <w:r>
        <w:rPr>
          <w:rFonts w:ascii="Arial" w:cs="Arial" w:eastAsia="Arial" w:hAnsi="Arial"/>
          <w:sz w:val="24"/>
          <w:szCs w:val="24"/>
        </w:rPr>
        <w:t xml:space="preserve">- выплата заработной платы, пенсий, пособий и поступления в бюджет, осуществляемые наличными денежными средствами, за 2011 год составило 107,4 млрд. сомов, выданных из касс учреждений Национального банка Кыргызской Республики коммерческим банкам;</w:t>
      </w:r>
    </w:p>
    <w:p>
      <w:pPr>
        <w:spacing w:after="120"/>
        <w:jc w:val="both"/>
      </w:pPr>
      <w:r>
        <w:rPr>
          <w:rFonts w:ascii="Arial" w:cs="Arial" w:eastAsia="Arial" w:hAnsi="Arial"/>
          <w:sz w:val="24"/>
          <w:szCs w:val="24"/>
        </w:rPr>
        <w:t xml:space="preserve">- общее число эмитированных платежных карт по состоянию на 1 января 2011 года составило 271,1 тыс. карт, из них количество национальных карт "Элкарт" в обращении составило 51902;</w:t>
      </w:r>
    </w:p>
    <w:p>
      <w:pPr>
        <w:spacing w:after="120"/>
        <w:jc w:val="both"/>
      </w:pPr>
      <w:r>
        <w:rPr>
          <w:rFonts w:ascii="Arial" w:cs="Arial" w:eastAsia="Arial" w:hAnsi="Arial"/>
          <w:sz w:val="24"/>
          <w:szCs w:val="24"/>
        </w:rPr>
        <w:t xml:space="preserve">- банковские платежные карты принимались к обслуживанию в 460-ти банкоматах, и 2022-х терминалах, установленных в местах общего доступа по всей территории республики, из них в рамках национальной системы "Элкарт" функционировало 164 банкомата, 448 кассовых терминалов, установленных в филиалах и сберкассах коммерческих банков, и 226 торговых терминала - в предприятиях торговли и сервиса.</w:t>
      </w:r>
    </w:p>
    <w:p>
      <w:pPr>
        <w:spacing w:after="120"/>
        <w:jc w:val="both"/>
      </w:pPr>
      <w:r>
        <w:rPr>
          <w:rFonts w:ascii="Arial" w:cs="Arial" w:eastAsia="Arial" w:hAnsi="Arial"/>
          <w:sz w:val="24"/>
          <w:szCs w:val="24"/>
        </w:rPr>
        <w:t xml:space="preserve">На основании проведенного анализа Межведомственная комиссия пришла к выводу, что основной объем мероприятий, направленный на повышение спроса на безналичные формы расчетов и обеспечение прозрачности движения денежных средств государственного бюджета и перехода на сбор и выдачу средств из государственного бюджета в безналичной форме, запланированный Государственной программой, остался невыполненным:</w:t>
      </w:r>
    </w:p>
    <w:p>
      <w:pPr>
        <w:spacing w:after="120"/>
        <w:jc w:val="both"/>
      </w:pPr>
      <w:r>
        <w:rPr>
          <w:rFonts w:ascii="Arial" w:cs="Arial" w:eastAsia="Arial" w:hAnsi="Arial"/>
          <w:sz w:val="24"/>
          <w:szCs w:val="24"/>
        </w:rPr>
        <w:t xml:space="preserve">- переход на выплату заработной платы сотрудникам бюджетной сферы выполнен только по городу Бишкек и, в основном, только для государственных служащих;</w:t>
      </w:r>
    </w:p>
    <w:p>
      <w:pPr>
        <w:spacing w:after="120"/>
        <w:jc w:val="both"/>
      </w:pPr>
      <w:r>
        <w:rPr>
          <w:rFonts w:ascii="Arial" w:cs="Arial" w:eastAsia="Arial" w:hAnsi="Arial"/>
          <w:sz w:val="24"/>
          <w:szCs w:val="24"/>
        </w:rPr>
        <w:t xml:space="preserve">- выплата пенсий в безналичной форме путем перечисления средств на индивидуальные счета пенсионеров осуществляется не более чем для 13% пенсионеров;</w:t>
      </w:r>
    </w:p>
    <w:p>
      <w:pPr>
        <w:spacing w:after="120"/>
        <w:jc w:val="both"/>
      </w:pPr>
      <w:r>
        <w:rPr>
          <w:rFonts w:ascii="Arial" w:cs="Arial" w:eastAsia="Arial" w:hAnsi="Arial"/>
          <w:sz w:val="24"/>
          <w:szCs w:val="24"/>
        </w:rPr>
        <w:t xml:space="preserve">- выплата пособий из бюджета осуществляется практически на 100% в наличной форме;</w:t>
      </w:r>
    </w:p>
    <w:p>
      <w:pPr>
        <w:spacing w:after="120"/>
        <w:jc w:val="both"/>
      </w:pPr>
      <w:r>
        <w:rPr>
          <w:rFonts w:ascii="Arial" w:cs="Arial" w:eastAsia="Arial" w:hAnsi="Arial"/>
          <w:sz w:val="24"/>
          <w:szCs w:val="24"/>
        </w:rPr>
        <w:t xml:space="preserve">- сбор платежей в бюджет (налоговые поступления, таможенные пошлины, страховые взносы и т.п.) осуществляется путем взноса наличных денежных средств в кассы банков, открытых на местах, либо через внутренние кассы самих организаций. Процент платежей в бюджет физических и юридических лиц с расчетных счетов в банках составляет не более чем 20% от общего количества платежей в бюджет;</w:t>
      </w:r>
    </w:p>
    <w:p>
      <w:pPr>
        <w:spacing w:after="120"/>
        <w:jc w:val="both"/>
      </w:pPr>
      <w:r>
        <w:rPr>
          <w:rFonts w:ascii="Arial" w:cs="Arial" w:eastAsia="Arial" w:hAnsi="Arial"/>
          <w:sz w:val="24"/>
          <w:szCs w:val="24"/>
        </w:rPr>
        <w:t xml:space="preserve">- объемов эмиссии банковских платежных карт охватывает 8,7% потенциальных клиентов. При этом на сегодняшний день охват рынка розничных платежей посредством платежных карт, являющихся наиболее эффективным инструментом управления банковским счетом для населения, ничтожно мал и составляет 0,001% от общего объема розничных платежей в экономике.</w:t>
      </w:r>
    </w:p>
    <w:p>
      <w:pPr>
        <w:spacing w:after="120"/>
        <w:jc w:val="both"/>
      </w:pPr>
      <w:r>
        <w:rPr>
          <w:rFonts w:ascii="Arial" w:cs="Arial" w:eastAsia="Arial" w:hAnsi="Arial"/>
          <w:sz w:val="24"/>
          <w:szCs w:val="24"/>
        </w:rPr>
        <w:t xml:space="preserve">Невыполнение мероприятий Государственной программы, утвержденного постановлением Правительства Кыргызской Республики и Национального банка Кыргызской Республики от 31 декабря 2002 года № 916, обусловлено следующими обстоятельствами.</w:t>
      </w:r>
    </w:p>
    <w:p>
      <w:pPr>
        <w:spacing w:after="120"/>
        <w:jc w:val="both"/>
      </w:pPr>
      <w:r>
        <w:rPr>
          <w:rFonts w:ascii="Arial" w:cs="Arial" w:eastAsia="Arial" w:hAnsi="Arial"/>
          <w:sz w:val="24"/>
          <w:szCs w:val="24"/>
        </w:rPr>
        <w:t xml:space="preserve">Во-первых, недостаточная активность и низкая исполнительская дисциплина министерств и административных ведомств, бюджетных организаций по переходу на безналичную форму расчетов, как с сотрудниками бюджетной сферы, так и во взаимоотношениях с населением. Изначально установленные в Государственной программе сроки по исполнению мероприятий оказались трудновыполнимыми. Министерства и ведомства, включая Центральное казначейство при Министерстве финансов Кыргызской Республики, оказались неподготовленными к оперативному выполнению мероприятий в силу низкой степени автоматизации внутренних учетных систем и переходу на электронные способы взаимодействия с банками и населением при проведении платежей и расчетов. Повышение уровня автоматизации по учету движения денежных средств внутри каждой бюджетной организации и его взаимодействия с банком требовало дополнительного финансирования из средств бюджета. Однако в силу объективных причин, включая ограниченность государственного бюджета, реализация данных мероприятий не была приоритетной ни для бюджетных организаций, ни для Центрального казначейства.</w:t>
      </w:r>
    </w:p>
    <w:p>
      <w:pPr>
        <w:spacing w:after="120"/>
        <w:jc w:val="both"/>
      </w:pPr>
      <w:r>
        <w:rPr>
          <w:rFonts w:ascii="Arial" w:cs="Arial" w:eastAsia="Arial" w:hAnsi="Arial"/>
          <w:sz w:val="24"/>
          <w:szCs w:val="24"/>
        </w:rPr>
        <w:t xml:space="preserve">Во-вторых, недостаточная развитость инфраструктуры по приему безналичных платежей и неэффективная тарифная политика по банковским и платежным услугам, предлагаемая коммерческими банками. Развитие инфраструктуры по приему платежей в безналичной форме требовало существенных финансовых вложений со стороны коммерческих банков (в том числе и на модернизацию внутренних информационных систем). Однако при отсутствии достаточного уровня спроса на банковские услуги, включая расчеты в безналичной форме, как со стороны бюджетных организаций, так и частного сектора, коммерческие банки предпочитают ограничивать свое присутствие в отдаленных регионах республики. Создание дополнительных подразделений банков является затратным для банков в связи с необходимостью обеспечения безопасности финансовых операций и исполнения требований пруденциального надзора. Как следствие, несмотря на требование Государственной программы, все еще сохраняется низкий уровень проникновения банковских услуг в регионы и доступа населения к финансовым услугам.</w:t>
      </w:r>
    </w:p>
    <w:p>
      <w:pPr>
        <w:spacing w:after="120"/>
        <w:jc w:val="both"/>
      </w:pPr>
      <w:r>
        <w:rPr>
          <w:rFonts w:ascii="Arial" w:cs="Arial" w:eastAsia="Arial" w:hAnsi="Arial"/>
          <w:sz w:val="24"/>
          <w:szCs w:val="24"/>
        </w:rPr>
        <w:t xml:space="preserve">В-третьих, недостаточная развитость инфраструктуры по приему безналичных платежей в системе торговли и сервиса, обусловленная незаинтересованностью предприятий торговли в установке оборудования и открытии расчетных счетов в банках. В связи с отсутствием заинтересованности в приеме оплаты за товары и услуги в безналичной форме со стороны частных коммерческих организаций и предпринимателей, продвижение банковских услуг, в том числе и банковских платежных карт, среди населения является неэффективным, поскольку порядка 95% транзакций, совершенных с использованием банковских платежных карт, - снятие наличных в банкоматах или кассах банков. Статистика показывает, что основные расчеты, несмотря на наличие у населения банковских платежных карт, все равно осуществляются с использованием наличных денежных средств. Пока не будет реализован механизм, обязывающий предприятия торговли и сервиса (с определенным оборотом или занимающий определенную торговую или промышленную площадь) устанавливать на кассах терминальные устройства, или принимать оплату в иной безналичной форме, продвижение банковских услуг и банковских платежных карт для населения и развитие инфраструктуры по приему платежей в безналичной форме будет затруднено.</w:t>
      </w:r>
    </w:p>
    <w:p>
      <w:pPr>
        <w:spacing w:after="120"/>
        <w:jc w:val="both"/>
      </w:pPr>
      <w:r>
        <w:rPr>
          <w:rFonts w:ascii="Arial" w:cs="Arial" w:eastAsia="Arial" w:hAnsi="Arial"/>
          <w:sz w:val="24"/>
          <w:szCs w:val="24"/>
        </w:rPr>
        <w:t xml:space="preserve">В-четвертых, низкий уровень культуры населения по использованию банковских услуг. Банковские счета имеет не более 10% населения. Одна из основных причин - низкий уровень доходов большинства населения, включая сотрудников бюджетной сферы, что не способствует возможности накопления и использования банковских услуг для этих целей. Подавляющее большинство населения предпочитает расчеты наличными денежными средствами. Популяризация банковских услуг, повышение привлекательности средств безналичных расчетов, повышение уровня культуры по использованию банковских услуг также требует финансовых затрат не только со стороны коммерческих банков, но и со стороны государственных организаций.</w:t>
      </w:r>
    </w:p>
    <w:p>
      <w:pPr>
        <w:spacing w:after="120"/>
        <w:jc w:val="both"/>
      </w:pPr>
      <w:r>
        <w:rPr>
          <w:rFonts w:ascii="Arial" w:cs="Arial" w:eastAsia="Arial" w:hAnsi="Arial"/>
          <w:sz w:val="24"/>
          <w:szCs w:val="24"/>
        </w:rPr>
        <w:t xml:space="preserve">В-пятых, неэффективный контроль и отсутствие скоординированных действий с момента прекращения действия Государственной программы в 2008 году. Несмотря на то, что Государственная программа была ограничена по срокам до конца 2008 года, срок исполнения мероприятий по вышеуказанной программе предусматривал продолжение работ после официального завершения программы в связи с объективной необходимостью осуществления поэтапного перехода от центра к регионам. Это было обусловлено тем, что существуют объективные условия по различной степени готовности областных центров и регионов к проведению реформ и использованию информационных технологий, электронного документооборота и инновационных форм и способов проведения платежей в безналичной форме.</w:t>
      </w:r>
    </w:p>
    <w:p>
      <w:pPr>
        <w:spacing w:after="120"/>
        <w:jc w:val="both"/>
      </w:pPr>
      <w:r>
        <w:rPr>
          <w:rFonts w:ascii="Arial" w:cs="Arial" w:eastAsia="Arial" w:hAnsi="Arial"/>
          <w:sz w:val="24"/>
          <w:szCs w:val="24"/>
        </w:rPr>
        <w:t xml:space="preserve">Таким образом, Государственная программа мероприятий на 2003-2008 годы по внедрению системы безналичных платежей и по созданию инфраструктуры, способной обеспечить эффективное проведение платежей в Кыргызской Республике, не была выполнена в полном объеме, в части обеспечения спроса в экономике на платежи в безналичной форме, обеспечения прозрачности движения бюджетных средств и эффективного денежного обращения в целом в экономике.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Государственной программы по увеличению доли безналичных платежей и расчетов в Кыргызской Республике на 2012-2017 годы (далее Государственная программа на 2012-2017 годы) является достижение оптимального соотношения наличного и безналичного денежного обращения, повышение уровня проникновения банковских и платежных услуг путем развития рынка розничных платежей для увеличения доли безналичных платежей и расчетов, а также расширение инфраструктуры, способной обеспечить прием и обслуживание розничных и регулярных платежей в Кыргызской Республике.</w:t>
      </w:r>
    </w:p>
    <w:p>
      <w:pPr>
        <w:spacing w:after="120"/>
        <w:jc w:val="both"/>
      </w:pPr>
      <w:r>
        <w:rPr>
          <w:rFonts w:ascii="Arial" w:cs="Arial" w:eastAsia="Arial" w:hAnsi="Arial"/>
          <w:sz w:val="24"/>
          <w:szCs w:val="24"/>
        </w:rPr>
        <w:t xml:space="preserve">Основные задачи:</w:t>
      </w:r>
    </w:p>
    <w:p>
      <w:pPr>
        <w:spacing w:after="120"/>
        <w:jc w:val="both"/>
      </w:pPr>
      <w:r>
        <w:rPr>
          <w:rFonts w:ascii="Arial" w:cs="Arial" w:eastAsia="Arial" w:hAnsi="Arial"/>
          <w:sz w:val="24"/>
          <w:szCs w:val="24"/>
        </w:rPr>
        <w:t xml:space="preserve">1. Обеспечение условий для эффективного планирования доходной и расходной частей бюджета республики за счет обеспечения прозрачности движения финансовых потоков, повышения контроля за системой бюджетных платежей и своевременного поступления налоговых и других денежных средств в бюджет через счета в коммерческих банках. Усиление контроля за оборачиваемостью денежных средств, уменьшение теневого оборота наличных.</w:t>
      </w:r>
    </w:p>
    <w:p>
      <w:pPr>
        <w:spacing w:after="120"/>
        <w:jc w:val="both"/>
      </w:pPr>
      <w:r>
        <w:rPr>
          <w:rFonts w:ascii="Arial" w:cs="Arial" w:eastAsia="Arial" w:hAnsi="Arial"/>
          <w:sz w:val="24"/>
          <w:szCs w:val="24"/>
        </w:rPr>
        <w:t xml:space="preserve">2. Создание механизмов, обеспечивающих своевременную и полную оплату страховых сумм предприятиями-плательщиками и хозяйствующими субъектами. Сокращение расходов на выплату пенсий и пособий по социальному страхованию.</w:t>
      </w:r>
    </w:p>
    <w:p>
      <w:pPr>
        <w:spacing w:after="120"/>
        <w:jc w:val="both"/>
      </w:pPr>
      <w:r>
        <w:rPr>
          <w:rFonts w:ascii="Arial" w:cs="Arial" w:eastAsia="Arial" w:hAnsi="Arial"/>
          <w:sz w:val="24"/>
          <w:szCs w:val="24"/>
        </w:rPr>
        <w:t xml:space="preserve">3. Создание механизмов и обеспечение условий в центре и регионах для своевременной выплаты заработной платы, пенсий, стипендий, государственных пособий и т.д. Оптимизация процесса сбора регулярных платежей по оплате жилищно-коммунальных услуг. Повышение уровня социального обслуживания населения за счет управления процессом предоставления льгот и пособий при проведении безналичных платежей через счета в коммерческих банках.</w:t>
      </w:r>
    </w:p>
    <w:p>
      <w:pPr>
        <w:spacing w:after="120"/>
        <w:jc w:val="both"/>
      </w:pPr>
      <w:r>
        <w:rPr>
          <w:rFonts w:ascii="Arial" w:cs="Arial" w:eastAsia="Arial" w:hAnsi="Arial"/>
          <w:sz w:val="24"/>
          <w:szCs w:val="24"/>
        </w:rPr>
        <w:t xml:space="preserve">4. Снижение доли наличных расчетов в Кыргызской Республике путем создания условий/механизмов для перехода к безналичным расчетам в торговых и сервисных точках, жилищно-коммунальном хозяйстве, в сфере бытового обслуживания и в системе обеспечения социальной защиты населения. Эффективная обработка платежей, идентификация потоков платежей путем использования единых кодов и классификаторов, снижение рисков и обеспечение безопасности и надежности при проведении платежей и расчетов.</w:t>
      </w:r>
    </w:p>
    <w:p>
      <w:pPr>
        <w:spacing w:after="120"/>
        <w:jc w:val="both"/>
      </w:pPr>
      <w:r>
        <w:rPr>
          <w:rFonts w:ascii="Arial" w:cs="Arial" w:eastAsia="Arial" w:hAnsi="Arial"/>
          <w:sz w:val="24"/>
          <w:szCs w:val="24"/>
        </w:rPr>
        <w:t xml:space="preserve">5. Создание условий для развития предпринимательства в реальном секторе путем расширения инфраструктуры по безналичным расчетам и использования платежных карт в национальной валюте при проведении бюджетных, розничных и регулярных платежей населения. Создание единого "платежного" пространства в банковской системе по обслуживанию населения, торгово-сервисных предприятий, независимо от территориальной принадлежности.</w:t>
      </w:r>
    </w:p>
    <w:p>
      <w:pPr>
        <w:spacing w:after="120"/>
        <w:jc w:val="both"/>
      </w:pPr>
      <w:r>
        <w:rPr>
          <w:rFonts w:ascii="Arial" w:cs="Arial" w:eastAsia="Arial" w:hAnsi="Arial"/>
          <w:sz w:val="24"/>
          <w:szCs w:val="24"/>
        </w:rPr>
        <w:t xml:space="preserve">6. Расширение спектра услуг по проведению платежей и расчетов, предоставляемых коммерческими банками, и развитие филиальной сети в условиях конкурентной среды. Увеличение депозитной базы за счет увеличения количества счетов, привлечения денежных средств населения и аккумулирование значительных объемов финансовых средств для инвестирования в реальный сектор экономики.</w:t>
      </w:r>
    </w:p>
    <w:p>
      <w:pPr>
        <w:spacing w:after="120"/>
        <w:jc w:val="both"/>
      </w:pPr>
      <w:r>
        <w:rPr>
          <w:rFonts w:ascii="Arial" w:cs="Arial" w:eastAsia="Arial" w:hAnsi="Arial"/>
          <w:sz w:val="24"/>
          <w:szCs w:val="24"/>
        </w:rPr>
        <w:t xml:space="preserve">7. Развитие условий для проведения безналичных расчетов по ценным бумагам и организация торговых площадок, соответствующих международным стандартам и необходимых для привлечения отечественных и иностранных инвестиций в экономику республики.</w:t>
      </w:r>
    </w:p>
    <w:p>
      <w:pPr>
        <w:spacing w:after="120"/>
        <w:jc w:val="both"/>
      </w:pPr>
      <w:r>
        <w:rPr>
          <w:rFonts w:ascii="Arial" w:cs="Arial" w:eastAsia="Arial" w:hAnsi="Arial"/>
          <w:sz w:val="24"/>
          <w:szCs w:val="24"/>
        </w:rPr>
        <w:t xml:space="preserve">8. Развитие информационно-телекоммуникационной инфраструктуры в регионах Кыргызстана для обеспечения равных возможностей доступа к телекоммуникационным и банковским услугам всех граждан Кыргызстана.</w:t>
      </w:r>
    </w:p>
    <w:p>
      <w:pPr>
        <w:spacing w:after="120"/>
        <w:jc w:val="both"/>
      </w:pPr>
      <w:r>
        <w:rPr>
          <w:rFonts w:ascii="Arial" w:cs="Arial" w:eastAsia="Arial" w:hAnsi="Arial"/>
          <w:sz w:val="24"/>
          <w:szCs w:val="24"/>
        </w:rPr>
        <w:t xml:space="preserve">Реализация Государственной программы на 2012-2017 годы должна осуществляться при совместном участии министерств, государственных служб, ведомств, администраций городов и районов, коммерческих банков, а также других организаций и частных предпринимателей.</w:t>
      </w:r>
    </w:p>
    <w:p>
      <w:pPr>
        <w:spacing w:after="120"/>
        <w:jc w:val="both"/>
      </w:pPr>
      <w:r>
        <w:rPr>
          <w:rFonts w:ascii="Arial" w:cs="Arial" w:eastAsia="Arial" w:hAnsi="Arial"/>
          <w:sz w:val="24"/>
          <w:szCs w:val="24"/>
        </w:rPr>
        <w:t xml:space="preserve">Государственная программа на 2012-2017 годы является основой для разработки более детальных программ действий каждого государственного учреждения, реализуемых при финансовой поддержке государства и согласованных с другими социально-экономическими и региональными программами развития и стратегиями.</w:t>
      </w:r>
    </w:p>
    <w:p>
      <w:pPr>
        <w:spacing w:after="120"/>
        <w:jc w:val="both"/>
      </w:pPr>
      <w:r>
        <w:rPr>
          <w:rFonts w:ascii="Arial" w:cs="Arial" w:eastAsia="Arial" w:hAnsi="Arial"/>
          <w:sz w:val="24"/>
          <w:szCs w:val="24"/>
        </w:rPr>
        <w:t xml:space="preserve">Государственная программа на 2012-2017 годы может корректироваться с учетом изменения нормативной правовой базы в стране и проводимых экономических реформ.</w:t>
      </w:r>
    </w:p>
    <w:p>
      <w:pPr>
        <w:spacing w:after="120"/>
        <w:jc w:val="both"/>
      </w:pPr>
      <w:r>
        <w:rPr>
          <w:rFonts w:ascii="Arial" w:cs="Arial" w:eastAsia="Arial" w:hAnsi="Arial"/>
          <w:sz w:val="24"/>
          <w:szCs w:val="24"/>
        </w:rPr>
        <w:t xml:space="preserve">Участники Государственной программы на 2012-2017 годы обеспечивают:</w:t>
      </w:r>
    </w:p>
    <w:p>
      <w:pPr>
        <w:spacing w:after="120"/>
        <w:jc w:val="both"/>
      </w:pPr>
      <w:r>
        <w:rPr>
          <w:rFonts w:ascii="Arial" w:cs="Arial" w:eastAsia="Arial" w:hAnsi="Arial"/>
          <w:sz w:val="24"/>
          <w:szCs w:val="24"/>
        </w:rPr>
        <w:t xml:space="preserve">- подготовку и реализацию планов мероприятий, программ развития;</w:t>
      </w:r>
    </w:p>
    <w:p>
      <w:pPr>
        <w:spacing w:after="120"/>
        <w:jc w:val="both"/>
      </w:pPr>
      <w:r>
        <w:rPr>
          <w:rFonts w:ascii="Arial" w:cs="Arial" w:eastAsia="Arial" w:hAnsi="Arial"/>
          <w:sz w:val="24"/>
          <w:szCs w:val="24"/>
        </w:rPr>
        <w:t xml:space="preserve">- разработку предложений по улучшению условий и механизмов финансовой поддержки данных мероприятий;</w:t>
      </w:r>
    </w:p>
    <w:p>
      <w:pPr>
        <w:spacing w:after="120"/>
        <w:jc w:val="both"/>
      </w:pPr>
      <w:r>
        <w:rPr>
          <w:rFonts w:ascii="Arial" w:cs="Arial" w:eastAsia="Arial" w:hAnsi="Arial"/>
          <w:sz w:val="24"/>
          <w:szCs w:val="24"/>
        </w:rPr>
        <w:t xml:space="preserve">- усовершенствование нормативной правовой базы, регламентирующей взаимодействие участников системы безналичных расчетов на территории Кыргызской Республики;</w:t>
      </w:r>
    </w:p>
    <w:p>
      <w:pPr>
        <w:spacing w:after="120"/>
        <w:jc w:val="both"/>
      </w:pPr>
      <w:r>
        <w:rPr>
          <w:rFonts w:ascii="Arial" w:cs="Arial" w:eastAsia="Arial" w:hAnsi="Arial"/>
          <w:sz w:val="24"/>
          <w:szCs w:val="24"/>
        </w:rPr>
        <w:t xml:space="preserve">- оказание поддержки по организации и проведению проектов;</w:t>
      </w:r>
    </w:p>
    <w:p>
      <w:pPr>
        <w:spacing w:after="120"/>
        <w:jc w:val="both"/>
      </w:pPr>
      <w:r>
        <w:rPr>
          <w:rFonts w:ascii="Arial" w:cs="Arial" w:eastAsia="Arial" w:hAnsi="Arial"/>
          <w:sz w:val="24"/>
          <w:szCs w:val="24"/>
        </w:rPr>
        <w:t xml:space="preserve">- ведение текущего контроля за реализацией пилотных проектов.</w:t>
      </w:r>
    </w:p>
    <w:p>
      <w:pPr>
        <w:spacing w:after="120"/>
        <w:jc w:val="both"/>
      </w:pPr>
      <w:r>
        <w:rPr>
          <w:rFonts w:ascii="Arial" w:cs="Arial" w:eastAsia="Arial" w:hAnsi="Arial"/>
          <w:sz w:val="24"/>
          <w:szCs w:val="24"/>
        </w:rPr>
        <w:t xml:space="preserve">Государственная программа на 2012-2017 годы предусматривает комплекс мероприятий по увеличению доли безналичных платежей и расчетов в Кыргызской Республике в соответствии с законодательством Кыргызской Республики, направленных на развитие розничного рынка платежей и расширение инфраструктуры безналичных платежей:</w:t>
      </w:r>
    </w:p>
    <w:p>
      <w:pPr>
        <w:spacing w:after="120"/>
        <w:jc w:val="both"/>
      </w:pPr>
      <w:r>
        <w:rPr>
          <w:rFonts w:ascii="Arial" w:cs="Arial" w:eastAsia="Arial" w:hAnsi="Arial"/>
          <w:sz w:val="24"/>
          <w:szCs w:val="24"/>
        </w:rPr>
        <w:t xml:space="preserve">1. Обеспечение оплаты таможенных и налоговых платежей в безналичной форме.</w:t>
      </w:r>
    </w:p>
    <w:p>
      <w:pPr>
        <w:spacing w:after="120"/>
        <w:jc w:val="both"/>
      </w:pPr>
      <w:r>
        <w:rPr>
          <w:rFonts w:ascii="Arial" w:cs="Arial" w:eastAsia="Arial" w:hAnsi="Arial"/>
          <w:sz w:val="24"/>
          <w:szCs w:val="24"/>
        </w:rPr>
        <w:t xml:space="preserve">2. Обеспечение приема регулярных платежей от населения в регионах через счета в коммерческих банках.</w:t>
      </w:r>
    </w:p>
    <w:p>
      <w:pPr>
        <w:spacing w:after="120"/>
        <w:jc w:val="both"/>
      </w:pPr>
      <w:r>
        <w:rPr>
          <w:rFonts w:ascii="Arial" w:cs="Arial" w:eastAsia="Arial" w:hAnsi="Arial"/>
          <w:sz w:val="24"/>
          <w:szCs w:val="24"/>
        </w:rPr>
        <w:t xml:space="preserve">3. Обеспечение оплаты за розничные товары и услуги в безналичной форме.</w:t>
      </w:r>
    </w:p>
    <w:p>
      <w:pPr>
        <w:spacing w:after="120"/>
        <w:jc w:val="both"/>
      </w:pPr>
      <w:r>
        <w:rPr>
          <w:rFonts w:ascii="Arial" w:cs="Arial" w:eastAsia="Arial" w:hAnsi="Arial"/>
          <w:sz w:val="24"/>
          <w:szCs w:val="24"/>
        </w:rPr>
        <w:t xml:space="preserve">4. Обеспечение выплаты пенсий, пособий, денежных компенсаций и других социальных выплат со счетов Социального фонда Кыргызской Республики на индивидуальные счета получателей в банках.</w:t>
      </w:r>
    </w:p>
    <w:p>
      <w:pPr>
        <w:spacing w:after="120"/>
        <w:jc w:val="both"/>
      </w:pPr>
      <w:r>
        <w:rPr>
          <w:rFonts w:ascii="Arial" w:cs="Arial" w:eastAsia="Arial" w:hAnsi="Arial"/>
          <w:sz w:val="24"/>
          <w:szCs w:val="24"/>
        </w:rPr>
        <w:t xml:space="preserve">5. Обеспечение перевода на счета в коммерческих банках выплат стипендий студентам высших и средних специальных учебных заведений.</w:t>
      </w:r>
    </w:p>
    <w:p>
      <w:pPr>
        <w:spacing w:after="120"/>
        <w:jc w:val="both"/>
      </w:pPr>
      <w:r>
        <w:rPr>
          <w:rFonts w:ascii="Arial" w:cs="Arial" w:eastAsia="Arial" w:hAnsi="Arial"/>
          <w:sz w:val="24"/>
          <w:szCs w:val="24"/>
        </w:rPr>
        <w:t xml:space="preserve">6. Обеспечение перевода всех учреждений и организаций на выплату заработной платы работникам через счета в коммерческих банках.</w:t>
      </w:r>
    </w:p>
    <w:p>
      <w:pPr>
        <w:spacing w:after="120"/>
        <w:jc w:val="both"/>
      </w:pPr>
      <w:r>
        <w:rPr>
          <w:rFonts w:ascii="Arial" w:cs="Arial" w:eastAsia="Arial" w:hAnsi="Arial"/>
          <w:sz w:val="24"/>
          <w:szCs w:val="24"/>
        </w:rPr>
        <w:t xml:space="preserve">7. Обеспечение оплаты пошлин, штрафов, транспортных услуг и др. платежей в доход государства в безналичной форме.</w:t>
      </w:r>
    </w:p>
    <w:p>
      <w:pPr>
        <w:spacing w:after="120"/>
        <w:jc w:val="both"/>
      </w:pPr>
      <w:r>
        <w:rPr>
          <w:rFonts w:ascii="Arial" w:cs="Arial" w:eastAsia="Arial" w:hAnsi="Arial"/>
          <w:sz w:val="24"/>
          <w:szCs w:val="24"/>
        </w:rPr>
        <w:t xml:space="preserve">8. Развитие системы расчетов с использованием пластиковых карт, работающей 24 часа в сутки, 7 дней в неделю. Расширение инфраструктуры сети по обслуживанию пластиковых карт, являющихся наиболее современными технологическими решениями в области проведения расчетов.</w:t>
      </w:r>
    </w:p>
    <w:p>
      <w:pPr>
        <w:spacing w:after="120"/>
        <w:jc w:val="both"/>
      </w:pPr>
      <w:r>
        <w:rPr>
          <w:rFonts w:ascii="Arial" w:cs="Arial" w:eastAsia="Arial" w:hAnsi="Arial"/>
          <w:sz w:val="24"/>
          <w:szCs w:val="24"/>
        </w:rPr>
        <w:t xml:space="preserve">Стратегическим направлением работ второго этапа Государственной программы на 2012-2017 годы является обеспечение условий для достижения оптимального соотношения наличного и безналичного денежного обращения и повышения уровня проникновения банковских и платежных услуг путем развития рынка розничных платежей и увеличения доли безналичных платежей и расчетов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Финансовое обеспечение</w:t>
      </w:r>
    </w:p>
    <w:p>
      <w:pPr>
        <w:spacing w:after="120"/>
        <w:jc w:val="both"/>
      </w:pPr>
      <w:r>
        <w:rPr>
          <w:rFonts w:ascii="Arial" w:cs="Arial" w:eastAsia="Arial" w:hAnsi="Arial"/>
          <w:sz w:val="24"/>
          <w:szCs w:val="24"/>
        </w:rPr>
        <w:t xml:space="preserve">(объемы и источники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поставленных задач Государственной программы на 2012-2017 годы требует комплексного решения вопросов формирования источников финансирования.</w:t>
      </w:r>
    </w:p>
    <w:p>
      <w:pPr>
        <w:spacing w:after="120"/>
        <w:jc w:val="both"/>
      </w:pPr>
      <w:r>
        <w:rPr>
          <w:rFonts w:ascii="Arial" w:cs="Arial" w:eastAsia="Arial" w:hAnsi="Arial"/>
          <w:sz w:val="24"/>
          <w:szCs w:val="24"/>
        </w:rPr>
        <w:t xml:space="preserve">В качестве источников финансирования основных проектов возможно использование кредитов международных финансовых организаций, средств государственного бюджета, Национального банка Кыргызской Республики, а также инвестиций коммерческих банков и других заинтересованных организаций.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ПЛАН МЕРОПРИЯТИЙ
 по реализации Государственной программы по увеличению доли безналичных платежей и расчетов в Кыргызской Республике на 2016-2017 годы (второй этап)</w:t>
      </w:r>
    </w:p>
    <w:p>
      <w:pPr>
        <w:spacing w:after="200"/>
        <w:jc w:val="center"/>
      </w:pPr>
      <w:r>
        <w:rPr>
          <w:rFonts w:ascii="Arial" w:cs="Arial" w:eastAsia="Arial" w:hAnsi="Arial"/>
          <w:i/>
          <w:iCs/>
          <w:sz w:val="24"/>
          <w:szCs w:val="24"/>
        </w:rPr>
        <w:t xml:space="preserve">(В редакции постановления Правительства КР и Нацбанка КР </w:t>
      </w:r>
      <w:hyperlink w:history="1" r:id="rIdiwyxm-i1b9siu-fynbbmk">
        <w:r>
          <w:rPr>
            <w:rFonts w:ascii="Arial" w:cs="Arial" w:eastAsia="Arial" w:hAnsi="Arial"/>
            <w:i/>
            <w:iCs/>
            <w:color w:val="1D4ED8"/>
            <w:sz w:val="24"/>
            <w:szCs w:val="24"/>
            <w:u w:val="single"/>
          </w:rPr>
          <w:t xml:space="preserve">от 29 февраля 2016 года № 92/76/4</w:t>
        </w:r>
      </w:hyperlink>
      <w:r>
        <w:rPr>
          <w:rFonts w:ascii="Arial" w:cs="Arial" w:eastAsia="Arial" w:hAnsi="Arial"/>
          <w:i/>
          <w:iCs/>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4721"/>
        <w:gridCol w:w="2103"/>
        <w:gridCol w:w="2616"/>
      </w:tblGrid>
      <w:tr>
        <w:tc>
          <w:tcPr>
            <w:tcW w:type="dxa" w:w="7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Мероприятия</w:t>
            </w:r>
          </w:p>
        </w:tc>
        <w:tc>
          <w:tcPr>
            <w:tcW w:type="dxa" w:w="2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Сроки исполнения</w:t>
            </w:r>
          </w:p>
        </w:tc>
        <w:tc>
          <w:tcPr>
            <w:tcW w:type="dxa" w:w="26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Ответственный исполнитель</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1. Платежи в доходную часть государственного бюджета по безналичной форме</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государственной электронной платежной системы, включая системы мобильного банкинга, для обеспечения оплаты государственных и муниципальных электронных/мобильных услуг</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МЭ, МФ, ГТС, ГНС, ГРС, НБ, КБ (по согласованию), ЗАО "МПЦ"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налоговых платежей в бюджет в безналичной форме путем перечисления денежных средств с расчетных счетов хозяйствующих субъектов и физических лиц (налогоплательщиков) на бюджетные счета в казначействе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МФ, МЭ, НБ,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Плана мероприятий по поэтапному переходу в регионах к осуществлению оплаты налоговых платежей в безналичной форме (через терминалы, банкоматы, другие способы дистанционного банковского обслуживания: интернет-банкинг, мобильный банкинг и др.)</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НБ, КБ (по согласованию), ЗАО "МПЦ"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налогоплательщиков о правилах оплаты налоговых платежей в безналичной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 с ежеквартальным обновлением информации</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страховых сумм (пенсионные фонды, фонды имущественного и иного страхования) путем перечисления с расчетных счетов юридических лиц на расчетные счета Соцфонда и других накопительных пенсионных фондов</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НПФ (по согласованию), НБ,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плана мероприятий по поэтапному переходу регионов Кыргызской Республики к осуществлению оплаты страховых взносов в безналичной форме (через терминалы, банкоматы, другие способы дистанционного банковского обслуживания: интернет-банкинг, мобильный банкинг и др.)</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НПФ (по согласованию), НБ, ЗАО "МПЦ" (по согласованию),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субъектов о правилах оплаты страховых взносов в безналичной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 с ежеквартальным обновлением информации</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НПФ (по согласованию),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государственных регистрационных платежей в доход государства в безналичной форме путем перечисления денежных средств с расчетных счетов субъектов в коммерческом банке на счета ГРС</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1.9</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Плана мероприятий в разрезе регионов Кыргызской Республики по поэтапному переходу к осуществлению оплаты государственных регистрационных платежей в безналичной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НБ, КБ (по согласованию), ЗАО "МПЦ"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1.10</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договоров с коммерческими банками по установке периферийных устройств (банкоматы, терминалы и т.д.) и систем по оплате государственных регистрационных платежей в доход государства в безналичной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НБ, КБ (по согласованию), ЗАО "МПЦ"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1.11.</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обязательных мер по обеспечению оплаты в безналичной форме сделок по купле-продаже недвижимого и движимого имущества в национальной валюте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1.12.</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населения о правилах оплаты штрафов и пошлин, а также иных взносов в безналичной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 с ежеквартальным обновлением информации</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1.13.</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Совершенствование/модернизация внутренней автоматизированной системы ГРС для получения и учета информации о поступлении платежей за государственные регистрационные услуги в электронной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1.14</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Плана мероприятий в разрезе регионов Кыргызской Республики по оснащению внутренних касс бюджетных организаций терминалами по приему оплаты за услуги, оказываемые населению</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 МКИТ, мэрии городов Бишкек и Ош, ОМСУ (по согласованию)</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Расходы из бюджета в безналичной форме</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заработной платы, также стипендий, пособий и иных отчислений путем перечисления денег со счета бюджетных организаций на банковские счета лиц, получающих заработную плату, стипендии, пособия, отчисления из государственного или местного бюджетов</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 НБ, КБ (по согласованию), ГП "Кыргызпочтасы"</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2.2</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пенсий, пособий и иных выплат со счета Соцфонда, МТСР, НПФ на индивидуальные счета получателей в банках</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МТСР, НПФ (по согласованию), НБ,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2.3</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установка программного обеспечения в отделениях МТСР, НПФ по обмену платежной информацией о выдаче пособий и иных выплат в электронном формате между МТСР, другими инвестиционными фондами и их банками и обеспечение безопасности, надежности передаваемой информации</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НПФ (по согласованию), КБ (по согласованию), ГП "Кыргызпочтасы"</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Платежи населения и хозяйствующих субъектов в безналичной форме</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3.1</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Планов мероприятий по оплате всех видов транспортных услуг в безналичной форме (включая продажу проездных билетов в безналичном виде) в разрезе регионов</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Бишкек и Ош, МТК, ОМСУ (по согласованию), НБ, КБ (по согласованию), ЗАО "МПЦ" (по согласованию), ОЮЛ "Союз банков Кыргызстана" (по согласованию), Ассоциация операторов связи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3.2</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Планов мероприятий по оплате школьного питания в безналичной форме в разрезе регионов. Реализация пилотных проектов по поэтапному переходу оплаты школьного питания в безналичной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Бишкек и Ош, МТК, ОМСУ (по согласованию), НБ, КБ (по согласованию), ЗАО "МПЦ" (по согласованию), ОЮЛ "Союз банков Кыргызстана" (по согласованию), Ассоциация операторов связи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3.3</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Планов мероприятий по оплате обязательного медицинского страхования в безналичной форме. Реализация пилотных проектов по поэтапному переходу оплаты обязательного медицинского страхования в безналичной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 М3, НБ, КБ (по согласованию), ЗАО "МПЦ" (по согласованию), ОЮЛ "Союз банков Кыргызстана" (по согласованию)</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Совершенствование законодательства по развитию системы безналичных платежей и расчетов</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4.1</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регламентирующие проведение платежей и расчетов по предпринимательской деятельности в безналичной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ОМСУ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4.2</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нормативных правовых актов, регулирующих инновационные способы оплаты в безналичной форме (мобильные платежи, электронные деньги и т.д.)</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МЭ</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Расширение инфраструктуры платежной системы для развития безналичных платежей</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5.1</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внутренних систем банков с целью обслуживания физических лиц и ведения индивидуальных счетов физических лиц</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КБ (по согласованию), ОЮЛ "Союз банков Кыргызстана"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5.2</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мероприятий по обслуживанию клиентов с применением электронных средств взаимодействия и управления банковским счетом (включая интернет-банкинг, мобильный банкинг, платежные карты и др.)</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КБ (по согласованию), ОЮЛ "Союз банков Кыргызстана" (по согласованию), Ассоциация операторов связи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5.3</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Согласование и реализация коммерческими банками гибкой тарифной политики при обслуживании зарплатных проектов сотрудников бюджетной сферы, социальных и пенсионных проектов, малоимущих слоев населения (бесплатное открытие счета, бесплатная выдача платежной карты, подключение к интернет-банкингу и т.п.)</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КБ (по согласованию), ОЮЛ "Союз банков Кыргызстана" (по согласованию), МЭ</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5.4</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коммерческими банками маркетинговых планов по приему платежей в безналичной форме в регионах, включая установку терминальных устройств на предприятиях торговли и сервиса, в бюджетных организациях, банкоматов и других средств по приему платежей от населения</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КБ (по согласованию), ОЮЛ "Союз банков Кыргызстана" (по согласованию), МТК</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5.5</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инфраструктуры по обслуживанию клиентов по приему/проведению платежей в безналичной форме</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"Кыргызпочтасы", НБ,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5.6</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внутренней системы ГП "Кыргызпочтасы", техническое оснащение отделений и развитие инфраструктуры по обслуживанию населения по приему/проведению платежей в безналичной форме. Техническое оснащение сети почтовой связи</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"Кыргызпочтасы", КБ (по согласованию)</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5.7</w:t>
            </w:r>
          </w:p>
        </w:tc>
        <w:tc>
          <w:tcPr>
            <w:tcW w:type="dxa" w:w="4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договоров с коммерческими банками по установке средств и систем по сбору платежей от населения в безналичной форме (банкоматы, терминалы, систем "банк-клиент", интернет-банкинг и т.д.) в отделениях ГП "Кыргызпочтасы"</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"Кыргызпочтасы", НБ, КБ (по согласованию)</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сокращенных наименований: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ПКР</w:t>
      </w:r>
      <w:r>
        <w:rPr>
          <w:rFonts w:ascii="Arial" w:cs="Arial" w:eastAsia="Arial" w:hAnsi="Arial"/>
          <w:sz w:val="24"/>
          <w:szCs w:val="24"/>
        </w:rPr>
        <w:t xml:space="preserve">	</w:t>
      </w:r>
      <w:r>
        <w:rPr>
          <w:rFonts w:ascii="Arial" w:cs="Arial" w:eastAsia="Arial" w:hAnsi="Arial"/>
          <w:sz w:val="24"/>
          <w:szCs w:val="24"/>
        </w:rPr>
        <w:t xml:space="preserve">Правительство Кыргызской Республики</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Кыргызской Республики</w:t>
      </w:r>
    </w:p>
    <w:p>
      <w:pPr>
        <w:tabs>
          <w:tab w:val="right" w:pos="10178"/>
        </w:tabs>
        <w:spacing w:after="120"/>
      </w:pPr>
      <w:r>
        <w:rPr>
          <w:rFonts w:ascii="Arial" w:cs="Arial" w:eastAsia="Arial" w:hAnsi="Arial"/>
          <w:b/>
          <w:bCs/>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МТК</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w:t>
      </w:r>
    </w:p>
    <w:p>
      <w:pPr>
        <w:tabs>
          <w:tab w:val="right" w:pos="10178"/>
        </w:tabs>
        <w:spacing w:after="120"/>
      </w:pPr>
      <w:r>
        <w:rPr>
          <w:rFonts w:ascii="Arial" w:cs="Arial" w:eastAsia="Arial" w:hAnsi="Arial"/>
          <w:b/>
          <w:bCs/>
          <w:sz w:val="24"/>
          <w:szCs w:val="24"/>
        </w:rPr>
        <w:t xml:space="preserve">М3</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МКИТ</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и туризма Кыргызской Республики</w:t>
      </w:r>
    </w:p>
    <w:p>
      <w:pPr>
        <w:tabs>
          <w:tab w:val="right" w:pos="10178"/>
        </w:tabs>
        <w:spacing w:after="120"/>
      </w:pPr>
      <w:r>
        <w:rPr>
          <w:rFonts w:ascii="Arial" w:cs="Arial" w:eastAsia="Arial" w:hAnsi="Arial"/>
          <w:b/>
          <w:bCs/>
          <w:sz w:val="24"/>
          <w:szCs w:val="24"/>
        </w:rPr>
        <w:t xml:space="preserve">МСХМ</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и мелиорации Кыргызской Республики</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p>
      <w:pPr>
        <w:tabs>
          <w:tab w:val="right" w:pos="10178"/>
        </w:tabs>
        <w:spacing w:after="120"/>
      </w:pPr>
      <w:r>
        <w:rPr>
          <w:rFonts w:ascii="Arial" w:cs="Arial" w:eastAsia="Arial" w:hAnsi="Arial"/>
          <w:b/>
          <w:bCs/>
          <w:sz w:val="24"/>
          <w:szCs w:val="24"/>
        </w:rPr>
        <w:t xml:space="preserve">Соцфонд</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b/>
          <w:bCs/>
          <w:sz w:val="24"/>
          <w:szCs w:val="24"/>
        </w:rPr>
        <w:t xml:space="preserve">НБ</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ЗАО "МПЦ"</w:t>
      </w:r>
      <w:r>
        <w:rPr>
          <w:rFonts w:ascii="Arial" w:cs="Arial" w:eastAsia="Arial" w:hAnsi="Arial"/>
          <w:sz w:val="24"/>
          <w:szCs w:val="24"/>
        </w:rPr>
        <w:t xml:space="preserve">	</w:t>
      </w:r>
      <w:r>
        <w:rPr>
          <w:rFonts w:ascii="Arial" w:cs="Arial" w:eastAsia="Arial" w:hAnsi="Arial"/>
          <w:sz w:val="24"/>
          <w:szCs w:val="24"/>
        </w:rPr>
        <w:t xml:space="preserve">ЗАО "Межбанковский процессинговый центр"</w:t>
      </w:r>
    </w:p>
    <w:p>
      <w:pPr>
        <w:tabs>
          <w:tab w:val="right" w:pos="10178"/>
        </w:tabs>
        <w:spacing w:after="120"/>
      </w:pPr>
      <w:r>
        <w:rPr>
          <w:rFonts w:ascii="Arial" w:cs="Arial" w:eastAsia="Arial" w:hAnsi="Arial"/>
          <w:b/>
          <w:bCs/>
          <w:sz w:val="24"/>
          <w:szCs w:val="24"/>
        </w:rPr>
        <w:t xml:space="preserve">КБ</w:t>
      </w:r>
      <w:r>
        <w:rPr>
          <w:rFonts w:ascii="Arial" w:cs="Arial" w:eastAsia="Arial" w:hAnsi="Arial"/>
          <w:sz w:val="24"/>
          <w:szCs w:val="24"/>
        </w:rPr>
        <w:t xml:space="preserve">	</w:t>
      </w:r>
      <w:r>
        <w:rPr>
          <w:rFonts w:ascii="Arial" w:cs="Arial" w:eastAsia="Arial" w:hAnsi="Arial"/>
          <w:sz w:val="24"/>
          <w:szCs w:val="24"/>
        </w:rPr>
        <w:t xml:space="preserve">Коммерческие банки Кыргызской Республики</w:t>
      </w:r>
    </w:p>
    <w:p>
      <w:pPr>
        <w:tabs>
          <w:tab w:val="right" w:pos="10178"/>
        </w:tabs>
        <w:spacing w:after="120"/>
      </w:pPr>
      <w:r>
        <w:rPr>
          <w:rFonts w:ascii="Arial" w:cs="Arial" w:eastAsia="Arial" w:hAnsi="Arial"/>
          <w:b/>
          <w:bCs/>
          <w:sz w:val="24"/>
          <w:szCs w:val="24"/>
        </w:rPr>
        <w:t xml:space="preserve">НПФ</w:t>
      </w:r>
      <w:r>
        <w:rPr>
          <w:rFonts w:ascii="Arial" w:cs="Arial" w:eastAsia="Arial" w:hAnsi="Arial"/>
          <w:sz w:val="24"/>
          <w:szCs w:val="24"/>
        </w:rPr>
        <w:t xml:space="preserve">	</w:t>
      </w:r>
      <w:r>
        <w:rPr>
          <w:rFonts w:ascii="Arial" w:cs="Arial" w:eastAsia="Arial" w:hAnsi="Arial"/>
          <w:sz w:val="24"/>
          <w:szCs w:val="24"/>
        </w:rPr>
        <w:t xml:space="preserve">Накопительные пенсионные фонды</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 Кыргызской Республики</w:t>
      </w:r>
    </w:p>
    <w:p>
      <w:pPr>
        <w:tabs>
          <w:tab w:val="right" w:pos="10178"/>
        </w:tabs>
        <w:spacing w:after="120"/>
      </w:pPr>
      <w:r>
        <w:rPr>
          <w:rFonts w:ascii="Arial" w:cs="Arial" w:eastAsia="Arial" w:hAnsi="Arial"/>
          <w:b/>
          <w:bCs/>
          <w:sz w:val="24"/>
          <w:szCs w:val="24"/>
        </w:rPr>
        <w:t xml:space="preserve">ОЮЛ</w:t>
      </w:r>
      <w:r>
        <w:rPr>
          <w:rFonts w:ascii="Arial" w:cs="Arial" w:eastAsia="Arial" w:hAnsi="Arial"/>
          <w:sz w:val="24"/>
          <w:szCs w:val="24"/>
        </w:rPr>
        <w:t xml:space="preserve">	</w:t>
      </w:r>
      <w:r>
        <w:rPr>
          <w:rFonts w:ascii="Arial" w:cs="Arial" w:eastAsia="Arial" w:hAnsi="Arial"/>
          <w:sz w:val="24"/>
          <w:szCs w:val="24"/>
        </w:rPr>
        <w:t xml:space="preserve">Объединение юридических лиц</w:t>
      </w:r>
    </w:p>
    <w:p>
      <w:pPr>
        <w:spacing w:after="60"/>
        <w:ind w:firstLine="567"/>
        <w:jc w:val="center"/>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e9mu503iok27qnj8kelh">
      <w:r>
        <w:rPr>
          <w:rFonts w:ascii="Arial" w:cs="Arial" w:eastAsia="Arial" w:hAnsi="Arial"/>
          <w:color w:val="132D3F"/>
          <w:sz w:val="16"/>
          <w:szCs w:val="16"/>
          <w:u w:val="single"/>
        </w:rPr>
        <w:t xml:space="preserve">dalil.kg/document/93578</w:t>
      </w:r>
    </w:hyperlink>
  </w:p>
  <w:p>
    <w:pPr>
      <w:spacing w:after="0" w:before="40"/>
      <w:jc w:val="center"/>
    </w:pPr>
    <w:hyperlink w:history="1" r:id="rIdp72knicqbrdnyjpog0rf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hqwho5jxlt9hijduywmn" Type="http://schemas.openxmlformats.org/officeDocument/2006/relationships/hyperlink" Target="https://dalil.kg/document/15483" TargetMode="External"/><Relationship Id="rIdvgoaooumua8ykdxbewfqe" Type="http://schemas.openxmlformats.org/officeDocument/2006/relationships/hyperlink" Target="https://dalil.kg/document/93578#p1" TargetMode="External"/><Relationship Id="rId_giky40l4xrxkecy13kdt" Type="http://schemas.openxmlformats.org/officeDocument/2006/relationships/hyperlink" Target="https://dalil.kg/document/93578#&#1088;2" TargetMode="External"/><Relationship Id="rIdiwyxm-i1b9siu-fynbbmk" Type="http://schemas.openxmlformats.org/officeDocument/2006/relationships/hyperlink" Target="https://dalil.kg/document/9903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e9mu503iok27qnj8kelh" Type="http://schemas.openxmlformats.org/officeDocument/2006/relationships/hyperlink" Target="https://dalil.kg/document/93578" TargetMode="External"/><Relationship Id="rIdp72knicqbrdnyjpog0rf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2026-09-24T00:11:13.331Z</dcterms:created>
  <dcterms:modified xsi:type="dcterms:W3CDTF">2026-09-24T00:11:13.331Z</dcterms:modified>
</cp:coreProperties>
</file>

<file path=docProps/custom.xml><?xml version="1.0" encoding="utf-8"?>
<Properties xmlns="http://schemas.openxmlformats.org/officeDocument/2006/custom-properties" xmlns:vt="http://schemas.openxmlformats.org/officeDocument/2006/docPropsVTypes"/>
</file>