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waznkcffoi39d9bm7zq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экспертизы вещественных доказательств в судебно-химических отделениях лабораторий центра судебно-медицинской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 задачи и объекты судебно-химических экспертиз (исследований)</w:t>
      </w:r>
    </w:p>
    <w:p>
      <w:pPr>
        <w:spacing w:after="120"/>
        <w:jc w:val="both"/>
      </w:pPr>
      <w:r>
        <w:rPr>
          <w:rFonts w:ascii="Arial" w:cs="Arial" w:eastAsia="Arial" w:hAnsi="Arial"/>
          <w:sz w:val="24"/>
          <w:szCs w:val="24"/>
        </w:rPr>
        <w:t xml:space="preserve">2. Основания для производства судебно-химической экспертизы (исследования)</w:t>
      </w:r>
    </w:p>
    <w:p>
      <w:pPr>
        <w:spacing w:after="120"/>
        <w:jc w:val="both"/>
      </w:pPr>
      <w:r>
        <w:rPr>
          <w:rFonts w:ascii="Arial" w:cs="Arial" w:eastAsia="Arial" w:hAnsi="Arial"/>
          <w:sz w:val="24"/>
          <w:szCs w:val="24"/>
        </w:rPr>
        <w:t xml:space="preserve">3. Документы, направляемые вместе с вещественными доказательствами</w:t>
      </w:r>
    </w:p>
    <w:p>
      <w:pPr>
        <w:spacing w:after="120"/>
        <w:jc w:val="both"/>
      </w:pPr>
      <w:r>
        <w:rPr>
          <w:rFonts w:ascii="Arial" w:cs="Arial" w:eastAsia="Arial" w:hAnsi="Arial"/>
          <w:sz w:val="24"/>
          <w:szCs w:val="24"/>
        </w:rPr>
        <w:t xml:space="preserve">4. Лица, производящие судебно-химические экспертизы, их обязанности и права</w:t>
      </w:r>
    </w:p>
    <w:p>
      <w:pPr>
        <w:spacing w:after="120"/>
        <w:jc w:val="both"/>
      </w:pPr>
      <w:r>
        <w:rPr>
          <w:rFonts w:ascii="Arial" w:cs="Arial" w:eastAsia="Arial" w:hAnsi="Arial"/>
          <w:sz w:val="24"/>
          <w:szCs w:val="24"/>
        </w:rPr>
        <w:t xml:space="preserve">5. Помещение и оборудование для производства судебно-химических экспертиз</w:t>
      </w:r>
    </w:p>
    <w:p>
      <w:pPr>
        <w:spacing w:after="120"/>
        <w:jc w:val="both"/>
      </w:pPr>
      <w:r>
        <w:rPr>
          <w:rFonts w:ascii="Arial" w:cs="Arial" w:eastAsia="Arial" w:hAnsi="Arial"/>
          <w:sz w:val="24"/>
          <w:szCs w:val="24"/>
        </w:rPr>
        <w:t xml:space="preserve">6. Прием и хранение вещественных доказательств и сопроводительных документов</w:t>
      </w:r>
    </w:p>
    <w:p>
      <w:pPr>
        <w:spacing w:after="120"/>
        <w:jc w:val="both"/>
      </w:pPr>
      <w:r>
        <w:rPr>
          <w:rFonts w:ascii="Arial" w:cs="Arial" w:eastAsia="Arial" w:hAnsi="Arial"/>
          <w:sz w:val="24"/>
          <w:szCs w:val="24"/>
        </w:rPr>
        <w:t xml:space="preserve">7. Порядок производства судебно-химической экспертизы</w:t>
      </w:r>
    </w:p>
    <w:p>
      <w:pPr>
        <w:spacing w:after="120"/>
        <w:jc w:val="both"/>
      </w:pPr>
      <w:r>
        <w:rPr>
          <w:rFonts w:ascii="Arial" w:cs="Arial" w:eastAsia="Arial" w:hAnsi="Arial"/>
          <w:sz w:val="24"/>
          <w:szCs w:val="24"/>
        </w:rPr>
        <w:t xml:space="preserve">8. Методология судебно-химического анализа</w:t>
      </w:r>
    </w:p>
    <w:p>
      <w:pPr>
        <w:spacing w:after="120"/>
        <w:jc w:val="both"/>
      </w:pPr>
      <w:r>
        <w:rPr>
          <w:rFonts w:ascii="Arial" w:cs="Arial" w:eastAsia="Arial" w:hAnsi="Arial"/>
          <w:sz w:val="24"/>
          <w:szCs w:val="24"/>
        </w:rPr>
        <w:t xml:space="preserve">9. Документация при производстве судебно-химических экспертиз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Цель, задачи и объекты судебно-химических экспертиз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Судебно-химические экспертизы (исследования) производят с целью выделения, идентификации и количественного определения или исключения ядовитых, наркотических и сильнодействующих веществ, продуктов их превращения, главным образом, в органах и биологических жидкостях организма человека, а также в фармацевтических препаратах. Важной частью судебно-химического анализа является интерпретация полученных результатов.</w:t>
      </w:r>
    </w:p>
    <w:p>
      <w:pPr>
        <w:spacing w:after="120"/>
        <w:jc w:val="both"/>
      </w:pPr>
      <w:r>
        <w:rPr>
          <w:rFonts w:ascii="Arial" w:cs="Arial" w:eastAsia="Arial" w:hAnsi="Arial"/>
          <w:sz w:val="24"/>
          <w:szCs w:val="24"/>
        </w:rPr>
        <w:t xml:space="preserve">2. Задачи судебно-химической экспертизы:</w:t>
      </w:r>
    </w:p>
    <w:p>
      <w:pPr>
        <w:spacing w:after="120"/>
        <w:jc w:val="both"/>
      </w:pPr>
      <w:r>
        <w:rPr>
          <w:rFonts w:ascii="Arial" w:cs="Arial" w:eastAsia="Arial" w:hAnsi="Arial"/>
          <w:sz w:val="24"/>
          <w:szCs w:val="24"/>
        </w:rPr>
        <w:t xml:space="preserve">1) определение токсикологически важных веществ для установления причины смерти;</w:t>
      </w:r>
    </w:p>
    <w:p>
      <w:pPr>
        <w:spacing w:after="120"/>
        <w:jc w:val="both"/>
      </w:pPr>
      <w:r>
        <w:rPr>
          <w:rFonts w:ascii="Arial" w:cs="Arial" w:eastAsia="Arial" w:hAnsi="Arial"/>
          <w:sz w:val="24"/>
          <w:szCs w:val="24"/>
        </w:rPr>
        <w:t xml:space="preserve">2) идентификация лекарственных и наркотических веществ, которые могут повлиять на состояние человека;</w:t>
      </w:r>
    </w:p>
    <w:p>
      <w:pPr>
        <w:spacing w:after="120"/>
        <w:jc w:val="both"/>
      </w:pPr>
      <w:r>
        <w:rPr>
          <w:rFonts w:ascii="Arial" w:cs="Arial" w:eastAsia="Arial" w:hAnsi="Arial"/>
          <w:sz w:val="24"/>
          <w:szCs w:val="24"/>
        </w:rPr>
        <w:t xml:space="preserve">3) качественный и количественный анализ наркотических веществ в биологическом материале или других образцах, имеющих значение для судебно-медицинской и судебно-следственной практики;</w:t>
      </w:r>
    </w:p>
    <w:p>
      <w:pPr>
        <w:spacing w:after="120"/>
        <w:jc w:val="both"/>
      </w:pPr>
      <w:r>
        <w:rPr>
          <w:rFonts w:ascii="Arial" w:cs="Arial" w:eastAsia="Arial" w:hAnsi="Arial"/>
          <w:sz w:val="24"/>
          <w:szCs w:val="24"/>
        </w:rPr>
        <w:t xml:space="preserve">4) получение аналитических результатов, последующая интерпретация которых может быть полезной для судебно-следственных органов, первостепенное значение придают правильному выбору, изъятию и направлению объектов для судебно-химической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Основания для производства судебно-химической экспертизы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Судебно-химическую экспертизу вещественных доказательств производят на основании постановления органов следствия, прокуратуры или определения суда.</w:t>
      </w:r>
    </w:p>
    <w:p>
      <w:pPr>
        <w:spacing w:after="120"/>
        <w:jc w:val="both"/>
      </w:pPr>
      <w:r>
        <w:rPr>
          <w:rFonts w:ascii="Arial" w:cs="Arial" w:eastAsia="Arial" w:hAnsi="Arial"/>
          <w:sz w:val="24"/>
          <w:szCs w:val="24"/>
        </w:rPr>
        <w:t xml:space="preserve">4. Судебно-химические исследования внутренних органов, тканей, биологических жидкостей трупов людей могут производиться по письменным направлениям судебно-медицинских экспертов.</w:t>
      </w:r>
    </w:p>
    <w:p>
      <w:pPr>
        <w:spacing w:after="120"/>
        <w:jc w:val="both"/>
      </w:pPr>
      <w:r>
        <w:rPr>
          <w:rFonts w:ascii="Arial" w:cs="Arial" w:eastAsia="Arial" w:hAnsi="Arial"/>
          <w:sz w:val="24"/>
          <w:szCs w:val="24"/>
        </w:rPr>
        <w:t xml:space="preserve">5. Судебно-химические исследования биологических жидкостей, выделений человека, смывов с поверхности кожи при подозрении на отравление, связанное с потреблением наркотических или других средств производят по направлениям врачей наркологических диспансеров и других медицинских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Документы, направляемые вместе с вещественными доказательствами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Вместе с вещественными доказательствами направляют:</w:t>
      </w:r>
    </w:p>
    <w:p>
      <w:pPr>
        <w:spacing w:after="120"/>
        <w:jc w:val="both"/>
      </w:pPr>
      <w:r>
        <w:rPr>
          <w:rFonts w:ascii="Arial" w:cs="Arial" w:eastAsia="Arial" w:hAnsi="Arial"/>
          <w:sz w:val="24"/>
          <w:szCs w:val="24"/>
        </w:rPr>
        <w:t xml:space="preserve">1) постановления следствия о назначении экспертизы или определение суда, в котором излагают обстоятельства дела, перечисляют предметы, направляемые на исследование и точно сформулированные вопросы, требующие разрешения;</w:t>
      </w:r>
    </w:p>
    <w:p>
      <w:pPr>
        <w:spacing w:after="120"/>
        <w:jc w:val="both"/>
      </w:pPr>
      <w:r>
        <w:rPr>
          <w:rFonts w:ascii="Arial" w:cs="Arial" w:eastAsia="Arial" w:hAnsi="Arial"/>
          <w:sz w:val="24"/>
          <w:szCs w:val="24"/>
        </w:rPr>
        <w:t xml:space="preserve">2) выписку из акта судебно-медицинского исследования трупа, содержащую предварительные сведения, основные данные исследования трупа и указания на цель исследования, подписанную судебно-медицинским экспертом;</w:t>
      </w:r>
    </w:p>
    <w:p>
      <w:pPr>
        <w:spacing w:after="120"/>
        <w:jc w:val="both"/>
      </w:pPr>
      <w:r>
        <w:rPr>
          <w:rFonts w:ascii="Arial" w:cs="Arial" w:eastAsia="Arial" w:hAnsi="Arial"/>
          <w:sz w:val="24"/>
          <w:szCs w:val="24"/>
        </w:rPr>
        <w:t xml:space="preserve">3) заверенную медицинским учреждением копию карты стационарного больного, если пострадавший пользовался медицинской помощью;</w:t>
      </w:r>
    </w:p>
    <w:p>
      <w:pPr>
        <w:spacing w:after="120"/>
        <w:jc w:val="both"/>
      </w:pPr>
      <w:r>
        <w:rPr>
          <w:rFonts w:ascii="Arial" w:cs="Arial" w:eastAsia="Arial" w:hAnsi="Arial"/>
          <w:sz w:val="24"/>
          <w:szCs w:val="24"/>
        </w:rPr>
        <w:t xml:space="preserve">4) при повторных экспертизах направляют заверенную копию "Акта первичного судебно-химического исследования" ("Заключение эксперта").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Одновременно с объектами исследования из наркологических диспансеров направляют акт изъятия объектов с указанием лиц, направляющих объекты на исследование и производивших отбор проб. Если необходимые материалы не были присланы, то они должны быть затребованы, а проведение исследования может быть задержано до их получения (за исключением случаев проведения анализов на быстроразлагающиеся токсические вещества).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Лица, производящие судебно-химические экспертизы, их обязанности и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Судебно-химические экспертизы проводятся лицами, допущенными в установленном порядке к занятию должности врача судебно-медицинского эксперта и врача судебно-медицинского эксперта - заведующего отделением, прошедшие специальную подготовку по токсикологической химии.</w:t>
      </w:r>
    </w:p>
    <w:p>
      <w:pPr>
        <w:spacing w:after="120"/>
        <w:jc w:val="both"/>
      </w:pPr>
      <w:r>
        <w:rPr>
          <w:rFonts w:ascii="Arial" w:cs="Arial" w:eastAsia="Arial" w:hAnsi="Arial"/>
          <w:sz w:val="24"/>
          <w:szCs w:val="24"/>
        </w:rPr>
        <w:t xml:space="preserve">8. Судебно-химическое отделение возглавляет квалифицированный специалист, который обеспечивает работу отделения на должном научно-техническом уровне, руководит выполнением экспертиз, контролирует работу в отделении и следит за повышением профессионального уровня сотрудников. Заведующий обеспечивает рекомендациями и инструкциями сотрудников судебно-химического отделения.</w:t>
      </w:r>
    </w:p>
    <w:p>
      <w:pPr>
        <w:spacing w:after="120"/>
        <w:jc w:val="both"/>
      </w:pPr>
      <w:r>
        <w:rPr>
          <w:rFonts w:ascii="Arial" w:cs="Arial" w:eastAsia="Arial" w:hAnsi="Arial"/>
          <w:sz w:val="24"/>
          <w:szCs w:val="24"/>
        </w:rPr>
        <w:t xml:space="preserve">9. Судебно-медицинские эксперты судебно-химического отделения должны систематически повышать свой теоретический уровень и профессиональную квалификацию на курсах усовершенствования не реже одного раза в 5 лет, а также на специальных тематических семинарах.</w:t>
      </w:r>
    </w:p>
    <w:p>
      <w:pPr>
        <w:spacing w:after="120"/>
        <w:jc w:val="both"/>
      </w:pPr>
      <w:r>
        <w:rPr>
          <w:rFonts w:ascii="Arial" w:cs="Arial" w:eastAsia="Arial" w:hAnsi="Arial"/>
          <w:sz w:val="24"/>
          <w:szCs w:val="24"/>
        </w:rPr>
        <w:t xml:space="preserve">10. В обязанности судебно-медицинских экспертов судебно-химического отделения входит:</w:t>
      </w:r>
    </w:p>
    <w:p>
      <w:pPr>
        <w:spacing w:after="120"/>
        <w:jc w:val="both"/>
      </w:pPr>
      <w:r>
        <w:rPr>
          <w:rFonts w:ascii="Arial" w:cs="Arial" w:eastAsia="Arial" w:hAnsi="Arial"/>
          <w:sz w:val="24"/>
          <w:szCs w:val="24"/>
        </w:rPr>
        <w:t xml:space="preserve">1) прием вещественных доказательств и документов к ним;</w:t>
      </w:r>
    </w:p>
    <w:p>
      <w:pPr>
        <w:spacing w:after="120"/>
        <w:jc w:val="both"/>
      </w:pPr>
      <w:r>
        <w:rPr>
          <w:rFonts w:ascii="Arial" w:cs="Arial" w:eastAsia="Arial" w:hAnsi="Arial"/>
          <w:sz w:val="24"/>
          <w:szCs w:val="24"/>
        </w:rPr>
        <w:t xml:space="preserve">2) контроль за регистрацией экспертиз вещественных доказательств;</w:t>
      </w:r>
    </w:p>
    <w:p>
      <w:pPr>
        <w:spacing w:after="120"/>
        <w:jc w:val="both"/>
      </w:pPr>
      <w:r>
        <w:rPr>
          <w:rFonts w:ascii="Arial" w:cs="Arial" w:eastAsia="Arial" w:hAnsi="Arial"/>
          <w:sz w:val="24"/>
          <w:szCs w:val="24"/>
        </w:rPr>
        <w:t xml:space="preserve">3) производство в установленные сроки судебно-химических экспертиз на уровне современных достижений науки и техники;</w:t>
      </w:r>
    </w:p>
    <w:p>
      <w:pPr>
        <w:spacing w:after="120"/>
        <w:jc w:val="both"/>
      </w:pPr>
      <w:r>
        <w:rPr>
          <w:rFonts w:ascii="Arial" w:cs="Arial" w:eastAsia="Arial" w:hAnsi="Arial"/>
          <w:sz w:val="24"/>
          <w:szCs w:val="24"/>
        </w:rPr>
        <w:t xml:space="preserve">4) ведение записей в рабочем журнале, относящихся к описанию вещественных доказательств, их упаковке и исследованию;</w:t>
      </w:r>
    </w:p>
    <w:p>
      <w:pPr>
        <w:spacing w:after="120"/>
        <w:jc w:val="both"/>
      </w:pPr>
      <w:r>
        <w:rPr>
          <w:rFonts w:ascii="Arial" w:cs="Arial" w:eastAsia="Arial" w:hAnsi="Arial"/>
          <w:sz w:val="24"/>
          <w:szCs w:val="24"/>
        </w:rPr>
        <w:t xml:space="preserve">5) проведение консультационной работы в пределах своей компетенции с лицами, направившими объекты (вещественные доказательства) и ведущими расследование уголовных дел;</w:t>
      </w:r>
    </w:p>
    <w:p>
      <w:pPr>
        <w:spacing w:after="120"/>
        <w:jc w:val="both"/>
      </w:pPr>
      <w:r>
        <w:rPr>
          <w:rFonts w:ascii="Arial" w:cs="Arial" w:eastAsia="Arial" w:hAnsi="Arial"/>
          <w:sz w:val="24"/>
          <w:szCs w:val="24"/>
        </w:rPr>
        <w:t xml:space="preserve">6) составление "Акта судебно-химического исследования" ("Заключение эксперта") вещественных доказательств и сопроводительных документов, проверка их машинописных текстов;</w:t>
      </w:r>
    </w:p>
    <w:p>
      <w:pPr>
        <w:spacing w:after="120"/>
        <w:jc w:val="both"/>
      </w:pPr>
      <w:r>
        <w:rPr>
          <w:rFonts w:ascii="Arial" w:cs="Arial" w:eastAsia="Arial" w:hAnsi="Arial"/>
          <w:sz w:val="24"/>
          <w:szCs w:val="24"/>
        </w:rPr>
        <w:t xml:space="preserve">7) обеспечение сохранности вещественных доказательств, объектов исследования и документов, сопутствующих экспертизе.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Помещение и оборудование для производства судебно-химических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Судебно-химические экспертизы вещественных доказательств производятся в специально оборудованных для химических работ помещениях, имеющих вытяжные шкафы с вентиляционной установкой, подводкой газа и воды, хорошее естественное освещение, отопление, вентиляцию, оборудованные силовой электролинией, контуром заземления. Доступ в лабораторию должен быть ограничен для посторонних лиц.</w:t>
      </w:r>
    </w:p>
    <w:p>
      <w:pPr>
        <w:spacing w:after="120"/>
        <w:jc w:val="both"/>
      </w:pPr>
      <w:r>
        <w:rPr>
          <w:rFonts w:ascii="Arial" w:cs="Arial" w:eastAsia="Arial" w:hAnsi="Arial"/>
          <w:sz w:val="24"/>
          <w:szCs w:val="24"/>
        </w:rPr>
        <w:t xml:space="preserve">12. Помещение должно соответствовать санитарным нормам и позволять выполнять работу на современном научном уровне. В отделении должны быть обеспечены условия для работы с инфицированным и токсичным материалом. Судебно-химическое отделение включает: помещения для лабораторных мест специалистов, аппаратуры и оборудования (в том числе холодильных установок, морозильных камер, центрифуг и пр.), кабинеты специалистов, моечную комнату, подсобные помещения для хранения реактивов, химической посуды, архива.</w:t>
      </w:r>
    </w:p>
    <w:p>
      <w:pPr>
        <w:spacing w:after="120"/>
        <w:jc w:val="both"/>
      </w:pPr>
      <w:r>
        <w:rPr>
          <w:rFonts w:ascii="Arial" w:cs="Arial" w:eastAsia="Arial" w:hAnsi="Arial"/>
          <w:sz w:val="24"/>
          <w:szCs w:val="24"/>
        </w:rPr>
        <w:t xml:space="preserve">13. При оборудовании помещений судебно-химического отделения должны быть учтены условия техники безопасности.</w:t>
      </w:r>
    </w:p>
    <w:p>
      <w:pPr>
        <w:spacing w:after="120"/>
        <w:jc w:val="both"/>
      </w:pPr>
      <w:r>
        <w:rPr>
          <w:rFonts w:ascii="Arial" w:cs="Arial" w:eastAsia="Arial" w:hAnsi="Arial"/>
          <w:sz w:val="24"/>
          <w:szCs w:val="24"/>
        </w:rPr>
        <w:t xml:space="preserve">14. Судебно-химическое отделение должно быть изолированным и опечатываться печатью отделения.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Прием и хранение вещественных доказательств и сопроводительных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Вещественные доказательства (объекты исследования) поступают непосредственно в судебно-химическое отделение центра судебно-медицинской экспертизы (далее - СМЭ).</w:t>
      </w:r>
    </w:p>
    <w:p>
      <w:pPr>
        <w:spacing w:after="120"/>
        <w:jc w:val="both"/>
      </w:pPr>
      <w:r>
        <w:rPr>
          <w:rFonts w:ascii="Arial" w:cs="Arial" w:eastAsia="Arial" w:hAnsi="Arial"/>
          <w:sz w:val="24"/>
          <w:szCs w:val="24"/>
        </w:rPr>
        <w:t xml:space="preserve">16. Правильный выбор, изъятие и направление объектов отражены в Правилах изъятия и направления трупного материала на судебно-химическое исследование. Объекты, направленные с нарушением действующих Правил, исследованию не подлежат. Это положение не распространяется (во избежание порчи материала) на вещественные доказательства, направленные из иногородних учреждений, и прием их производится.</w:t>
      </w:r>
    </w:p>
    <w:p>
      <w:pPr>
        <w:spacing w:after="120"/>
        <w:jc w:val="both"/>
      </w:pPr>
      <w:r>
        <w:rPr>
          <w:rFonts w:ascii="Arial" w:cs="Arial" w:eastAsia="Arial" w:hAnsi="Arial"/>
          <w:sz w:val="24"/>
          <w:szCs w:val="24"/>
        </w:rPr>
        <w:t xml:space="preserve">При нарушении правил изъятия, оформления и направления биологических объектов на судебно-химическое исследование составляется акт в 2-х экземплярах, один из которых передается лицу, направившему материал на исследование, другой - хранится в отделении. Вещественные доказательства, принятые в отделение, регистрируют, описывают и подвергают исследованию.</w:t>
      </w:r>
    </w:p>
    <w:p>
      <w:pPr>
        <w:spacing w:after="120"/>
        <w:jc w:val="both"/>
      </w:pPr>
      <w:r>
        <w:rPr>
          <w:rFonts w:ascii="Arial" w:cs="Arial" w:eastAsia="Arial" w:hAnsi="Arial"/>
          <w:sz w:val="24"/>
          <w:szCs w:val="24"/>
        </w:rPr>
        <w:t xml:space="preserve">17. Присланные на судебно-химическое исследование объекты должны быть достаточными по количеству для проведения исследования и возможного повторного анализа.</w:t>
      </w:r>
    </w:p>
    <w:p>
      <w:pPr>
        <w:spacing w:after="120"/>
        <w:jc w:val="both"/>
      </w:pPr>
      <w:r>
        <w:rPr>
          <w:rFonts w:ascii="Arial" w:cs="Arial" w:eastAsia="Arial" w:hAnsi="Arial"/>
          <w:sz w:val="24"/>
          <w:szCs w:val="24"/>
        </w:rPr>
        <w:t xml:space="preserve">18. Для соблюдения мер предосторожности при направлении на судебно-химическое исследование объектов из инфицированных трупов и живых лиц с инфекционными заболеваниями на контейнерах должны быть особые пометки, например, "туберкулез", "гепатит", "СПИД" и др.</w:t>
      </w:r>
    </w:p>
    <w:p>
      <w:pPr>
        <w:spacing w:after="120"/>
        <w:jc w:val="both"/>
      </w:pPr>
      <w:r>
        <w:rPr>
          <w:rFonts w:ascii="Arial" w:cs="Arial" w:eastAsia="Arial" w:hAnsi="Arial"/>
          <w:sz w:val="24"/>
          <w:szCs w:val="24"/>
        </w:rPr>
        <w:t xml:space="preserve">19. Регистрацию вещественных доказательств и документов к ним, поступивших в отделение, производят в регистрационном журнале отделения по утвержденной форме. Регистрационный журнал с пронумерованными листами прошнуровывают, опечатывают, подписывают у заведующего отделением.</w:t>
      </w:r>
    </w:p>
    <w:p>
      <w:pPr>
        <w:spacing w:after="120"/>
        <w:jc w:val="both"/>
      </w:pPr>
      <w:r>
        <w:rPr>
          <w:rFonts w:ascii="Arial" w:cs="Arial" w:eastAsia="Arial" w:hAnsi="Arial"/>
          <w:sz w:val="24"/>
          <w:szCs w:val="24"/>
        </w:rPr>
        <w:t xml:space="preserve">20. Вещественные доказательства подвергают подробному осмотру и описанию. При этом отмечают характер упаковки, надписей, печати. Проверяют соответствие доставленных вещественных доказательств данным, указанным в направлении (постановлении).</w:t>
      </w:r>
    </w:p>
    <w:p>
      <w:pPr>
        <w:spacing w:after="120"/>
        <w:jc w:val="both"/>
      </w:pPr>
      <w:r>
        <w:rPr>
          <w:rFonts w:ascii="Arial" w:cs="Arial" w:eastAsia="Arial" w:hAnsi="Arial"/>
          <w:sz w:val="24"/>
          <w:szCs w:val="24"/>
        </w:rPr>
        <w:t xml:space="preserve">21. Вещественные доказательства должны находиться до начала судебно-химического исследования, в процессе его проведения и по окончании исследования в условиях, обеспечивающих сохранность этих объектов:</w:t>
      </w:r>
    </w:p>
    <w:p>
      <w:pPr>
        <w:spacing w:after="120"/>
        <w:jc w:val="both"/>
      </w:pPr>
      <w:r>
        <w:rPr>
          <w:rFonts w:ascii="Arial" w:cs="Arial" w:eastAsia="Arial" w:hAnsi="Arial"/>
          <w:sz w:val="24"/>
          <w:szCs w:val="24"/>
        </w:rPr>
        <w:t xml:space="preserve">1) вещественные доказательства, не подвергающиеся гниению, хранят в закрытом и опечатанном металлическом шкафу;</w:t>
      </w:r>
    </w:p>
    <w:p>
      <w:pPr>
        <w:spacing w:after="120"/>
        <w:jc w:val="both"/>
      </w:pPr>
      <w:r>
        <w:rPr>
          <w:rFonts w:ascii="Arial" w:cs="Arial" w:eastAsia="Arial" w:hAnsi="Arial"/>
          <w:sz w:val="24"/>
          <w:szCs w:val="24"/>
        </w:rPr>
        <w:t xml:space="preserve">2) вещественные доказательства, подвергающиеся гниению (внутренние органы, биологические жидкости), хранят в герметически закрытой посуде, помещенной в холодильник или морозильную камеру, которые по окончании работы опечатывают;</w:t>
      </w:r>
    </w:p>
    <w:p>
      <w:pPr>
        <w:spacing w:after="120"/>
        <w:jc w:val="both"/>
      </w:pPr>
      <w:r>
        <w:rPr>
          <w:rFonts w:ascii="Arial" w:cs="Arial" w:eastAsia="Arial" w:hAnsi="Arial"/>
          <w:sz w:val="24"/>
          <w:szCs w:val="24"/>
        </w:rPr>
        <w:t xml:space="preserve">3) вещественные доказательства, представляющие собой ядовитые и сильнодействующие вещества, хранят с соблюдением Правил приема, хранения, использования и отпуска ядовитых и сильнодействующих веществ в судебно-медицинских лабораториях республиканского центра СМЭ.</w:t>
      </w:r>
    </w:p>
    <w:p>
      <w:pPr>
        <w:spacing w:after="120"/>
        <w:jc w:val="both"/>
      </w:pPr>
      <w:r>
        <w:rPr>
          <w:rFonts w:ascii="Arial" w:cs="Arial" w:eastAsia="Arial" w:hAnsi="Arial"/>
          <w:sz w:val="24"/>
          <w:szCs w:val="24"/>
        </w:rPr>
        <w:t xml:space="preserve">По окончании экспертизы вещественные доказательства, не подвергающиеся гниению, возвращают в опечатанном виде вместе с "Заключением эксперта" через лицо, имеющее право на их получение, или направляют приславшему их учреждению по почте.</w:t>
      </w:r>
    </w:p>
    <w:p>
      <w:pPr>
        <w:spacing w:after="120"/>
        <w:jc w:val="both"/>
      </w:pPr>
      <w:r>
        <w:rPr>
          <w:rFonts w:ascii="Arial" w:cs="Arial" w:eastAsia="Arial" w:hAnsi="Arial"/>
          <w:sz w:val="24"/>
          <w:szCs w:val="24"/>
        </w:rPr>
        <w:t xml:space="preserve">22. Вещественные доказательства, подвергающиеся гниению (внутренние органы, части трупов, выделения человеческого организма и т.п.), если они не могут быть возвращены в органы суда или следствия ввиду сложности их дальнейшего хранения в этих организациях, оставляют на хранение в судебно-химических отделениях в течение одного года по окончании экспертизы (при наличии условий для хранения). При отсутствии условий для хранения подлежат уничтожению через один месяц после окончания исследования.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Вследствие влияния процессов гниения на определение этанола в трупном материале кровь, моча и внутренние органы, поступившие для исследования на наличие только одного этанола, подлежат уничтожению в порядке исключения через 30 суток после окончания исследования.</w:t>
      </w:r>
    </w:p>
    <w:p>
      <w:pPr>
        <w:spacing w:after="120"/>
        <w:jc w:val="both"/>
      </w:pPr>
      <w:r>
        <w:rPr>
          <w:rFonts w:ascii="Arial" w:cs="Arial" w:eastAsia="Arial" w:hAnsi="Arial"/>
          <w:sz w:val="24"/>
          <w:szCs w:val="24"/>
        </w:rPr>
        <w:t xml:space="preserve">23. В отдельных случаях вещественные доказательства могут быть уничтожены ранее установленного срока, по письменному разрешению судебно-медицинского эксперта или судебно-следственных органов.</w:t>
      </w:r>
    </w:p>
    <w:p>
      <w:pPr>
        <w:spacing w:after="120"/>
        <w:jc w:val="both"/>
      </w:pPr>
      <w:r>
        <w:rPr>
          <w:rFonts w:ascii="Arial" w:cs="Arial" w:eastAsia="Arial" w:hAnsi="Arial"/>
          <w:sz w:val="24"/>
          <w:szCs w:val="24"/>
        </w:rPr>
        <w:t xml:space="preserve">24. По окончании сроков хранения вещественные доказательства и иные объекты уничтожают согласно действующим Правилам хранения и уничтожения вещественных доказательств в судебно-медицинских лабораториях.</w:t>
      </w:r>
    </w:p>
    <w:p>
      <w:pPr>
        <w:spacing w:after="120"/>
        <w:jc w:val="both"/>
      </w:pPr>
      <w:r>
        <w:rPr>
          <w:rFonts w:ascii="Arial" w:cs="Arial" w:eastAsia="Arial" w:hAnsi="Arial"/>
          <w:sz w:val="24"/>
          <w:szCs w:val="24"/>
        </w:rPr>
        <w:t xml:space="preserve">25. Сопроводительные документы по окончании экспертизы хранят в архиве вместе с копией "Заключения эксперта" ("Акта").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Порядок производства судебно-химической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Судебно-химическая экспертиза вещественных доказательств должна быть начата в день их поступления, учитывая возможность летучести и разложения некоторых веществ (органические растворители, кислоты, щелочи, синильная кислота, атропин, кокаин). Если это по объективным причинам невозможно, то вещественные доказательства хранят в холодильнике.</w:t>
      </w:r>
    </w:p>
    <w:p>
      <w:pPr>
        <w:spacing w:after="120"/>
        <w:jc w:val="both"/>
      </w:pPr>
      <w:r>
        <w:rPr>
          <w:rFonts w:ascii="Arial" w:cs="Arial" w:eastAsia="Arial" w:hAnsi="Arial"/>
          <w:sz w:val="24"/>
          <w:szCs w:val="24"/>
        </w:rPr>
        <w:t xml:space="preserve">27. Поступившие в судебно-химическое отделение вещественные доказательства тщательно осматривает эксперт и подробно описывает в рабочем журнале.</w:t>
      </w:r>
    </w:p>
    <w:p>
      <w:pPr>
        <w:spacing w:after="120"/>
        <w:jc w:val="both"/>
      </w:pPr>
      <w:r>
        <w:rPr>
          <w:rFonts w:ascii="Arial" w:cs="Arial" w:eastAsia="Arial" w:hAnsi="Arial"/>
          <w:sz w:val="24"/>
          <w:szCs w:val="24"/>
        </w:rPr>
        <w:t xml:space="preserve">28. Эксперт должен установить полное соответствие полученных объектов с описанием их в сопроводительном документе и их принадлежность.</w:t>
      </w:r>
    </w:p>
    <w:p>
      <w:pPr>
        <w:spacing w:after="120"/>
        <w:jc w:val="both"/>
      </w:pPr>
      <w:r>
        <w:rPr>
          <w:rFonts w:ascii="Arial" w:cs="Arial" w:eastAsia="Arial" w:hAnsi="Arial"/>
          <w:sz w:val="24"/>
          <w:szCs w:val="24"/>
        </w:rPr>
        <w:t xml:space="preserve">29. Эксперт тщательно изучает все материалы по проводимой экспертизе и составляет план исследования.</w:t>
      </w:r>
    </w:p>
    <w:p>
      <w:pPr>
        <w:spacing w:after="120"/>
        <w:jc w:val="both"/>
      </w:pPr>
      <w:r>
        <w:rPr>
          <w:rFonts w:ascii="Arial" w:cs="Arial" w:eastAsia="Arial" w:hAnsi="Arial"/>
          <w:sz w:val="24"/>
          <w:szCs w:val="24"/>
        </w:rPr>
        <w:t xml:space="preserve">30. Для проведения судебно-химического исследования (обнаружение, применение подтверждающих методов, количественное определение) расходуют две трети присланных вещественных доказательств (объектов) и одну треть хранят в лаборатории (архиве) для повторного анализа, если возникает такая необходимость.</w:t>
      </w:r>
    </w:p>
    <w:p>
      <w:pPr>
        <w:spacing w:after="120"/>
        <w:jc w:val="both"/>
      </w:pPr>
      <w:r>
        <w:rPr>
          <w:rFonts w:ascii="Arial" w:cs="Arial" w:eastAsia="Arial" w:hAnsi="Arial"/>
          <w:sz w:val="24"/>
          <w:szCs w:val="24"/>
        </w:rPr>
        <w:t xml:space="preserve">31. При получении ограниченного количества вещественных доказательств они могут быть использованы полностью, по согласованию с судебно-медицинским экспертом или судебно-следственными органами.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Методология судебно-химического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Основной задачей судебно-химической экспертизы является выбор оптимального метода изолирования вещества. Для обнаружения и идентификации химических и лекарственных веществ имеются как предварительные методы (цветные реакции, тонкослойная хроматография, иммунно-ферментные методы), так и подтверждающие - инструментальные (спектрофотометрия в видимой, УФ (ультрафиолетовой) и ИК (инфракрасной) зонах, атомно-абсорбционная спектрофотометрия, газожидкостная хроматография, высокоэффективная жидкостная хроматография, хромато-масс спектрометрия).</w:t>
      </w:r>
    </w:p>
    <w:p>
      <w:pPr>
        <w:spacing w:after="120"/>
        <w:jc w:val="both"/>
      </w:pPr>
      <w:r>
        <w:rPr>
          <w:rFonts w:ascii="Arial" w:cs="Arial" w:eastAsia="Arial" w:hAnsi="Arial"/>
          <w:sz w:val="24"/>
          <w:szCs w:val="24"/>
        </w:rPr>
        <w:t xml:space="preserve">При применении УФ-спектрометрии следует учитывать влияние метаболитов и других загрязняющих соэкстрактивных веществ, а также чувствительность и недостаточную специфичность метода.</w:t>
      </w:r>
    </w:p>
    <w:p>
      <w:pPr>
        <w:spacing w:after="120"/>
        <w:jc w:val="both"/>
      </w:pPr>
      <w:r>
        <w:rPr>
          <w:rFonts w:ascii="Arial" w:cs="Arial" w:eastAsia="Arial" w:hAnsi="Arial"/>
          <w:sz w:val="24"/>
          <w:szCs w:val="24"/>
        </w:rPr>
        <w:t xml:space="preserve">При применении газовой и жидкостной хроматографии для уменьшения ошибок, связанных с абсорбцией на поверхности, потерь в процессе экстракции, при выпаривании растворителей, дериватизации и невоспроизводимости, обусловленной различной техникой ввода, следует использовать метод внутреннего стандарта.</w:t>
      </w:r>
    </w:p>
    <w:p>
      <w:pPr>
        <w:spacing w:after="120"/>
        <w:jc w:val="both"/>
      </w:pPr>
      <w:r>
        <w:rPr>
          <w:rFonts w:ascii="Arial" w:cs="Arial" w:eastAsia="Arial" w:hAnsi="Arial"/>
          <w:sz w:val="24"/>
          <w:szCs w:val="24"/>
        </w:rPr>
        <w:t xml:space="preserve">Внутренний стандарт должен обладать физико-химическими свойствами, сходными с анализируемым веществом. Хроматографические свойства внутреннего стандарта должны быть такими, чтобы он элюировался с анализируемым веществом и отличался от остальных веществ, которые могут присутствовать. По возможности нужно использовать гомолог анализируемого вещества, который должен также растворяться и равномерно смешиваться с анализируемой пробой.</w:t>
      </w:r>
    </w:p>
    <w:p>
      <w:pPr>
        <w:spacing w:after="120"/>
        <w:jc w:val="both"/>
      </w:pPr>
      <w:r>
        <w:rPr>
          <w:rFonts w:ascii="Arial" w:cs="Arial" w:eastAsia="Arial" w:hAnsi="Arial"/>
          <w:sz w:val="24"/>
          <w:szCs w:val="24"/>
        </w:rPr>
        <w:t xml:space="preserve">33. Многие лекарственные препараты и другие токсикологически важные вещества метаболизируются в организме и превращаются в полярные и конъюгированные метаболиты, которые ввиду низкой летучести трудно поддаются газохроматографической идентификации. Кроме того, коньюгаты трудно экстрагируются обычными экстракционными методами, поэтому предпочтительно разрушать коньюгаты с помощью кислотного гидролиза перед экстракцией, а затем экстрагировать метаболиты, подвергать дериватизации для улучшения термической стабильности и увеличения их летучести.</w:t>
      </w:r>
    </w:p>
    <w:p>
      <w:pPr>
        <w:spacing w:after="120"/>
        <w:jc w:val="both"/>
      </w:pPr>
      <w:r>
        <w:rPr>
          <w:rFonts w:ascii="Arial" w:cs="Arial" w:eastAsia="Arial" w:hAnsi="Arial"/>
          <w:sz w:val="24"/>
          <w:szCs w:val="24"/>
        </w:rPr>
        <w:t xml:space="preserve">Однако стоит учитывать, что некоторые вещества подвергаются изменениям во время упомянутых аналитических процедур (кислотный гидролиз, дериватизация, термические превращения при газохроматографическом процессе и т.д.), и это должно быть дополнительным признаком для идентификации нативных веществ и их метаболитов.</w:t>
      </w:r>
    </w:p>
    <w:p>
      <w:pPr>
        <w:spacing w:after="120"/>
        <w:jc w:val="both"/>
      </w:pPr>
      <w:r>
        <w:rPr>
          <w:rFonts w:ascii="Arial" w:cs="Arial" w:eastAsia="Arial" w:hAnsi="Arial"/>
          <w:sz w:val="24"/>
          <w:szCs w:val="24"/>
        </w:rPr>
        <w:t xml:space="preserve">34. Исследование может быть произведено на определенное соединение, группу веществ или на неизвестное вещество по схеме общего судебно-химического исследования в зависимости от вопросов, поставленных в сопроводительном документе.</w:t>
      </w:r>
    </w:p>
    <w:p>
      <w:pPr>
        <w:spacing w:after="120"/>
        <w:jc w:val="both"/>
      </w:pPr>
      <w:r>
        <w:rPr>
          <w:rFonts w:ascii="Arial" w:cs="Arial" w:eastAsia="Arial" w:hAnsi="Arial"/>
          <w:sz w:val="24"/>
          <w:szCs w:val="24"/>
        </w:rPr>
        <w:t xml:space="preserve">35. Если в ходе исследования возникает необходимость в проведении анализа на другие вещества, то эксперт обязан расширить исследование.</w:t>
      </w:r>
    </w:p>
    <w:p>
      <w:pPr>
        <w:spacing w:after="120"/>
        <w:jc w:val="both"/>
      </w:pPr>
      <w:r>
        <w:rPr>
          <w:rFonts w:ascii="Arial" w:cs="Arial" w:eastAsia="Arial" w:hAnsi="Arial"/>
          <w:sz w:val="24"/>
          <w:szCs w:val="24"/>
        </w:rPr>
        <w:t xml:space="preserve">36. Для исследования всегда нужно применять лишь те методы и процедуры, с которыми эксперт ранее ознакомился, владеет ими, знает все условия воспроизведения, сможет учесть все ошибки, которые возникают при их применении. Любые изменения метода или процедуры должны быть четко документированы, объяснены причины для их изменения. Все изменения должны быть согласованы с руководителем отделения.</w:t>
      </w:r>
    </w:p>
    <w:p>
      <w:pPr>
        <w:spacing w:after="120"/>
        <w:jc w:val="both"/>
      </w:pPr>
      <w:r>
        <w:rPr>
          <w:rFonts w:ascii="Arial" w:cs="Arial" w:eastAsia="Arial" w:hAnsi="Arial"/>
          <w:sz w:val="24"/>
          <w:szCs w:val="24"/>
        </w:rPr>
        <w:t xml:space="preserve">37. В отделении должны иметься разработанные рекомендации для всех используемых стандартных методик. Все методики должны быть апробированы. Использование методических указаний системы Министерства здравоохранения Кыргызской Республики должно быть обязательным. Любые изменения методик должны быть мотивированы и обоснованы.</w:t>
      </w:r>
    </w:p>
    <w:p>
      <w:pPr>
        <w:spacing w:after="120"/>
        <w:jc w:val="both"/>
      </w:pPr>
      <w:r>
        <w:rPr>
          <w:rFonts w:ascii="Arial" w:cs="Arial" w:eastAsia="Arial" w:hAnsi="Arial"/>
          <w:sz w:val="24"/>
          <w:szCs w:val="24"/>
        </w:rPr>
        <w:t xml:space="preserve">38. В зависимости от поставленных задач разрабатывается соответствующая схема анализа. Если анализ направлен на обнаружение одного яда или группы веществ, то применяют специально разработанные частные методики. По возможности должно быть применено не менее двух независимых методов, каждый из которых основан на различных физических или химических принципах для надежной идентификации. Если потребуется обнаружить или исключить широкий круг ядов без специального задания (общий ход анализа на "неизвестное вещество"), то необходимо применить комплексный подход для систематического хода исследования, целью которого является обнаружение токсических веществ, их идентификация и количественное определение. Для этого следует провести скрининг-анализ с последующим применением подтверждающих методов, основанных на различных аналитических принципах. Результаты каждого метода сравнивают с соответствующими данными, что позволяет ограничить круг подозреваемых веществ. В случае обнаружения какого-либо соединения для надежной идентификации последнего необходимо произвести сравнительный анализ предполагаемого токсического вещества с соответствующим стандартом подлинного вещества или применить метод добавок к биологическому материалу, а также учесть результаты контрольного опыта.</w:t>
      </w:r>
    </w:p>
    <w:p>
      <w:pPr>
        <w:spacing w:after="120"/>
        <w:jc w:val="both"/>
      </w:pPr>
      <w:r>
        <w:rPr>
          <w:rFonts w:ascii="Arial" w:cs="Arial" w:eastAsia="Arial" w:hAnsi="Arial"/>
          <w:sz w:val="24"/>
          <w:szCs w:val="24"/>
        </w:rPr>
        <w:t xml:space="preserve">39. Каждое судебно-химическое исследование следует проводить как количественное исследование, в которое оно и может быть превращено на любой стадии работы. Объекты для всех испытаний берут по массе, количеству дистиллятов; диализаты, фильтраты - по объему.</w:t>
      </w:r>
    </w:p>
    <w:p>
      <w:pPr>
        <w:spacing w:after="120"/>
        <w:jc w:val="both"/>
      </w:pPr>
      <w:r>
        <w:rPr>
          <w:rFonts w:ascii="Arial" w:cs="Arial" w:eastAsia="Arial" w:hAnsi="Arial"/>
          <w:sz w:val="24"/>
          <w:szCs w:val="24"/>
        </w:rPr>
        <w:t xml:space="preserve">40. Количественное определение производят во всех случаях, где это возможно и имеются соответствующие методики определения. Количество найденных веществ относятся к 100 г взятой для анализа навески объекта, и выражается в весовых единицах.</w:t>
      </w:r>
    </w:p>
    <w:p>
      <w:pPr>
        <w:spacing w:after="120"/>
        <w:jc w:val="both"/>
      </w:pPr>
      <w:r>
        <w:rPr>
          <w:rFonts w:ascii="Arial" w:cs="Arial" w:eastAsia="Arial" w:hAnsi="Arial"/>
          <w:sz w:val="24"/>
          <w:szCs w:val="24"/>
        </w:rPr>
        <w:t xml:space="preserve">41. Все методы количественного определения должны быть апробированы на той биологической матрице, которая будет использоваться для анализа (кровь, моча, ткани органов), к которой добавляют заведомо известное количество вещества и подвергают исследованию по данной схеме анализа. При этом определяют пределы обнаружения и определения, абсолютный выход при различных концентрациях, диапазон определяемых содержаний для калибровочного графика (подчинение закону Ламберта-Бера), селективность, воспроизводимость анализа. Для повышения точности определения обнаруживаемого вещества проводят не менее двух определений для каждого объекта.</w:t>
      </w:r>
    </w:p>
    <w:p>
      <w:pPr>
        <w:spacing w:after="120"/>
        <w:jc w:val="both"/>
      </w:pPr>
      <w:r>
        <w:rPr>
          <w:rFonts w:ascii="Arial" w:cs="Arial" w:eastAsia="Arial" w:hAnsi="Arial"/>
          <w:sz w:val="24"/>
          <w:szCs w:val="24"/>
        </w:rPr>
        <w:t xml:space="preserve">42. Следует убедиться в химической чистоте используемых для анализа реактивов, при этом на чистоту реактивы проверяют в тех максимальных количествах, в которых они будут употреблены для анализа и теми же методами и реакциями, которые будут применены в ходе судебно-химического исследования.</w:t>
      </w:r>
    </w:p>
    <w:p>
      <w:pPr>
        <w:spacing w:after="120"/>
        <w:jc w:val="both"/>
      </w:pPr>
      <w:r>
        <w:rPr>
          <w:rFonts w:ascii="Arial" w:cs="Arial" w:eastAsia="Arial" w:hAnsi="Arial"/>
          <w:sz w:val="24"/>
          <w:szCs w:val="24"/>
        </w:rPr>
        <w:t xml:space="preserve">43. Для обеспечения высокого качества производства экспертизы рекомендуется проводить внутрилабораторный и внешний контроль качества, ориентированный как на метод, так и на определяемое вещество. Судебно-химические отделения должны быть лицензированы (аттестованы).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Документация при производстве судебно-химических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Документацию следует оформлять в соответствии с действующим уголовно-процессуальным законодательством и приказами Министерства здравоохранения Кыргызской Республики.</w:t>
      </w:r>
    </w:p>
    <w:p>
      <w:pPr>
        <w:spacing w:after="120"/>
        <w:jc w:val="both"/>
      </w:pPr>
      <w:r>
        <w:rPr>
          <w:rFonts w:ascii="Arial" w:cs="Arial" w:eastAsia="Arial" w:hAnsi="Arial"/>
          <w:sz w:val="24"/>
          <w:szCs w:val="24"/>
        </w:rPr>
        <w:t xml:space="preserve">45. Каждый эксперт должен иметь рабочий журнал, куда вносят все необходимые данные по производимому исследованию.</w:t>
      </w:r>
    </w:p>
    <w:p>
      <w:pPr>
        <w:spacing w:after="120"/>
        <w:jc w:val="both"/>
      </w:pPr>
      <w:r>
        <w:rPr>
          <w:rFonts w:ascii="Arial" w:cs="Arial" w:eastAsia="Arial" w:hAnsi="Arial"/>
          <w:sz w:val="24"/>
          <w:szCs w:val="24"/>
        </w:rPr>
        <w:t xml:space="preserve">46. По каждой экспертизе оформляют "Заключение эксперта" ("Акт судебно-химического исследования") в 2-х экземплярах, один из которых по окончании исследования выдают лицу, назначившему экспертизу, другой хранят в архиве отделения. "Заключение эксперта" ("Акт судебно-химического исследования") должно иметь подпись эксперта, печать и дату окончания оформления.</w:t>
      </w:r>
    </w:p>
    <w:p>
      <w:pPr>
        <w:spacing w:after="120"/>
        <w:jc w:val="both"/>
      </w:pPr>
      <w:r>
        <w:rPr>
          <w:rFonts w:ascii="Arial" w:cs="Arial" w:eastAsia="Arial" w:hAnsi="Arial"/>
          <w:sz w:val="24"/>
          <w:szCs w:val="24"/>
        </w:rPr>
        <w:t xml:space="preserve">47. К каждому "Заключению эксперта" ("Акту судебно-химического исследования") прилагают сопроводительный документ, в котором указывают: номер препровождаемого "Заключения эксперта" ("Акта судебно-химического исследования"), дело, по которому произведена экспертиза, фамилию и инициалы потерпевшего (или погибшего); вещественные доказательства, возвращаемые учреждению, которое их направило; вещественные доказательства, оставленные в отделении; возвращаемые документы с отметкой о количестве листов. Сопроводительный документ к "Акту" подписывает директор республиканского центра СМЭ и заведующий судебно-химическим отделением.</w:t>
      </w:r>
    </w:p>
    <w:p>
      <w:pPr>
        <w:spacing w:after="120"/>
        <w:jc w:val="both"/>
      </w:pPr>
      <w:r>
        <w:rPr>
          <w:rFonts w:ascii="Arial" w:cs="Arial" w:eastAsia="Arial" w:hAnsi="Arial"/>
          <w:sz w:val="24"/>
          <w:szCs w:val="24"/>
        </w:rPr>
        <w:t xml:space="preserve">48. "Заключение эксперта" ("Акт судебно-химического исследования").</w:t>
      </w:r>
    </w:p>
    <w:p>
      <w:pPr>
        <w:spacing w:after="120"/>
        <w:jc w:val="both"/>
      </w:pPr>
      <w:r>
        <w:rPr>
          <w:rFonts w:ascii="Arial" w:cs="Arial" w:eastAsia="Arial" w:hAnsi="Arial"/>
          <w:sz w:val="24"/>
          <w:szCs w:val="24"/>
        </w:rPr>
        <w:t xml:space="preserve">При проведении судебно-химической экспертизы вещественных доказательств на основании постановления прокуратуры или определения суда составляют "Заключение эксперта", а при проведении судебно-химического исследования по направлениям судебно-медицинских экспертов или других лиц оформляют "Акт судебно-химического исследования". Они составляются на основании всестороннего изучения результатов анализа, записей в рабочем журнале и предназначены для учреждения (лица), назначившего экспертизу, что обуславливает необходимость полноты сведений этих документов.</w:t>
      </w:r>
    </w:p>
    <w:p>
      <w:pPr>
        <w:spacing w:after="120"/>
        <w:jc w:val="both"/>
      </w:pPr>
      <w:r>
        <w:rPr>
          <w:rFonts w:ascii="Arial" w:cs="Arial" w:eastAsia="Arial" w:hAnsi="Arial"/>
          <w:sz w:val="24"/>
          <w:szCs w:val="24"/>
        </w:rPr>
        <w:t xml:space="preserve">"Заключение эксперта" ("Акт судебно-химического исследования") составляется по определенной форме, состоит из следующих разделов: вводной части, описания вещественных доказательств (объектов исследования), исследовательской части и выводов (заключения).</w:t>
      </w:r>
    </w:p>
    <w:p>
      <w:pPr>
        <w:spacing w:after="120"/>
        <w:jc w:val="both"/>
      </w:pPr>
      <w:r>
        <w:rPr>
          <w:rFonts w:ascii="Arial" w:cs="Arial" w:eastAsia="Arial" w:hAnsi="Arial"/>
          <w:sz w:val="24"/>
          <w:szCs w:val="24"/>
        </w:rPr>
        <w:t xml:space="preserve">В вводной части указывается, на основании каких документов проводилась экспертиза; отделение, в котором проводили исследование; должность, ФИО эксперта, стаж работы, категория, перечисляют вещественные доказательства (объекты), указывают ФИО погибшего (пострадавшего), отмечают дату начала и окончания исследования, перечисляют вопросы, подлежащие решению. Затем излагают обстоятельства дела, приводят сведения из полученных документов.</w:t>
      </w:r>
    </w:p>
    <w:p>
      <w:pPr>
        <w:spacing w:after="120"/>
        <w:jc w:val="both"/>
      </w:pPr>
      <w:r>
        <w:rPr>
          <w:rFonts w:ascii="Arial" w:cs="Arial" w:eastAsia="Arial" w:hAnsi="Arial"/>
          <w:sz w:val="24"/>
          <w:szCs w:val="24"/>
        </w:rPr>
        <w:t xml:space="preserve">"Заключение эксперта" ("Акт судебно-химического исследования") должно иметь подпись эксперта, печать, дату окончания оформления.</w:t>
      </w:r>
    </w:p>
    <w:p>
      <w:pPr>
        <w:spacing w:after="120"/>
        <w:jc w:val="both"/>
      </w:pPr>
      <w:r>
        <w:rPr>
          <w:rFonts w:ascii="Arial" w:cs="Arial" w:eastAsia="Arial" w:hAnsi="Arial"/>
          <w:sz w:val="24"/>
          <w:szCs w:val="24"/>
        </w:rPr>
        <w:t xml:space="preserve">Для обеспечения конфиденциальности должны применяться все меры предосторожности. Для этого в отделении должна быть разработана форма выдачи информации и документации только уполномоченному лицу.</w:t>
      </w:r>
    </w:p>
    <w:p>
      <w:pPr>
        <w:spacing w:after="120"/>
        <w:jc w:val="both"/>
      </w:pPr>
      <w:r>
        <w:rPr>
          <w:rFonts w:ascii="Arial" w:cs="Arial" w:eastAsia="Arial" w:hAnsi="Arial"/>
          <w:sz w:val="24"/>
          <w:szCs w:val="24"/>
        </w:rPr>
        <w:t xml:space="preserve">49. В целях единого подхода учета экспертной работы в судебно-химических отделениях центра СМЭ разработаны условные коэффициенты пересчета судебно-химических исследований неизвестных веществ на полные анализы (условные единицы приведены ниже в таблице).</w:t>
      </w:r>
    </w:p>
    <w:p>
      <w:pPr>
        <w:spacing w:after="120"/>
        <w:jc w:val="both"/>
      </w:pPr>
      <w:r>
        <w:rPr>
          <w:rFonts w:ascii="Arial" w:cs="Arial" w:eastAsia="Arial" w:hAnsi="Arial"/>
          <w:sz w:val="24"/>
          <w:szCs w:val="24"/>
        </w:rPr>
        <w:t xml:space="preserve">Перерасчет исследований неизвестных веществ (порошков, жидкостей и т.д.) на полные анализы производится по фактически затраченному времени с учетом того, что на один полный анализ в среднем затрачивается около 35 рабочих часов. Данные параметры могут быть пересмотрены соответствующим образом и в установленном порядке.</w:t>
      </w:r>
    </w:p>
    <w:p>
      <w:pPr>
        <w:spacing w:after="120"/>
        <w:jc w:val="both"/>
      </w:pPr>
      <w:r>
        <w:rPr>
          <w:rFonts w:ascii="Arial" w:cs="Arial" w:eastAsia="Arial" w:hAnsi="Arial"/>
          <w:sz w:val="24"/>
          <w:szCs w:val="24"/>
        </w:rPr>
        <w:t xml:space="preserve">50. Должность врача судебно-медицинского эксперта в судебно-химическом отделении в республиканском центре СМЭ устанавливают из расчета: 1 должность на каждые 55 полных анализов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 пересчета судебно-химических исследований неизвестных веществ на полные анализы (условные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Метод исследования и органы   │      Результаты       │Примечание│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Кол-во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Газовая хроматография (ДТП)    │      │       │        │          │</w:t>
      </w:r>
    </w:p>
    <w:p>
      <w:pPr>
        <w:spacing w:after="120"/>
        <w:jc w:val="both"/>
      </w:pPr>
      <w:r>
        <w:rPr>
          <w:rFonts w:ascii="Arial" w:cs="Arial" w:eastAsia="Arial" w:hAnsi="Arial"/>
          <w:sz w:val="24"/>
          <w:szCs w:val="24"/>
        </w:rPr>
        <w:t xml:space="preserve">│1.1. Алкоголь                     │      │       │        │          │</w:t>
      </w:r>
    </w:p>
    <w:p>
      <w:pPr>
        <w:spacing w:after="120"/>
        <w:jc w:val="both"/>
      </w:pPr>
      <w:r>
        <w:rPr>
          <w:rFonts w:ascii="Arial" w:cs="Arial" w:eastAsia="Arial" w:hAnsi="Arial"/>
          <w:sz w:val="24"/>
          <w:szCs w:val="24"/>
        </w:rPr>
        <w:t xml:space="preserve">│1.1.1. Кровь                      │ 0,04 │  0,04 │        │          │</w:t>
      </w:r>
    </w:p>
    <w:p>
      <w:pPr>
        <w:spacing w:after="120"/>
        <w:jc w:val="both"/>
      </w:pPr>
      <w:r>
        <w:rPr>
          <w:rFonts w:ascii="Arial" w:cs="Arial" w:eastAsia="Arial" w:hAnsi="Arial"/>
          <w:sz w:val="24"/>
          <w:szCs w:val="24"/>
        </w:rPr>
        <w:t xml:space="preserve">│1.1.2. Моча                       │ 0,04 │  0,04 │        │          │</w:t>
      </w:r>
    </w:p>
    <w:p>
      <w:pPr>
        <w:spacing w:after="120"/>
        <w:jc w:val="both"/>
      </w:pPr>
      <w:r>
        <w:rPr>
          <w:rFonts w:ascii="Arial" w:cs="Arial" w:eastAsia="Arial" w:hAnsi="Arial"/>
          <w:sz w:val="24"/>
          <w:szCs w:val="24"/>
        </w:rPr>
        <w:t xml:space="preserve">│1.1.3. Мышца                      │ 0,15 │  0,15 │        │          │</w:t>
      </w:r>
    </w:p>
    <w:p>
      <w:pPr>
        <w:spacing w:after="120"/>
        <w:jc w:val="both"/>
      </w:pPr>
      <w:r>
        <w:rPr>
          <w:rFonts w:ascii="Arial" w:cs="Arial" w:eastAsia="Arial" w:hAnsi="Arial"/>
          <w:sz w:val="24"/>
          <w:szCs w:val="24"/>
        </w:rPr>
        <w:t xml:space="preserve">│1.1.4. Дистиллят                  │ 0,04 │  0,04 │        │          │</w:t>
      </w:r>
    </w:p>
    <w:p>
      <w:pPr>
        <w:spacing w:after="120"/>
        <w:jc w:val="both"/>
      </w:pPr>
      <w:r>
        <w:rPr>
          <w:rFonts w:ascii="Arial" w:cs="Arial" w:eastAsia="Arial" w:hAnsi="Arial"/>
          <w:sz w:val="24"/>
          <w:szCs w:val="24"/>
        </w:rPr>
        <w:t xml:space="preserve">│1.1.5. Жидкость                   │ 0,04 │  0,04 │        │          │</w:t>
      </w:r>
    </w:p>
    <w:p>
      <w:pPr>
        <w:spacing w:after="120"/>
        <w:jc w:val="both"/>
      </w:pPr>
      <w:r>
        <w:rPr>
          <w:rFonts w:ascii="Arial" w:cs="Arial" w:eastAsia="Arial" w:hAnsi="Arial"/>
          <w:sz w:val="24"/>
          <w:szCs w:val="24"/>
        </w:rPr>
        <w:t xml:space="preserve">│1.2. Окись углерода               │ 0,10 │  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Газовая хроматография (ДИП)    │      │       │        │          │</w:t>
      </w:r>
    </w:p>
    <w:p>
      <w:pPr>
        <w:spacing w:after="120"/>
        <w:jc w:val="both"/>
      </w:pPr>
      <w:r>
        <w:rPr>
          <w:rFonts w:ascii="Arial" w:cs="Arial" w:eastAsia="Arial" w:hAnsi="Arial"/>
          <w:sz w:val="24"/>
          <w:szCs w:val="24"/>
        </w:rPr>
        <w:t xml:space="preserve">│2.1. Летучие                      │ 0,15 │  0,08 │  0,20  │          │</w:t>
      </w:r>
    </w:p>
    <w:p>
      <w:pPr>
        <w:spacing w:after="120"/>
        <w:jc w:val="both"/>
      </w:pPr>
      <w:r>
        <w:rPr>
          <w:rFonts w:ascii="Arial" w:cs="Arial" w:eastAsia="Arial" w:hAnsi="Arial"/>
          <w:sz w:val="24"/>
          <w:szCs w:val="24"/>
        </w:rPr>
        <w:t xml:space="preserve">│2.2. Лекарственные                │ 0,30 │  0,20 │  0,20  │          │</w:t>
      </w:r>
    </w:p>
    <w:p>
      <w:pPr>
        <w:spacing w:after="120"/>
        <w:jc w:val="both"/>
      </w:pPr>
      <w:r>
        <w:rPr>
          <w:rFonts w:ascii="Arial" w:cs="Arial" w:eastAsia="Arial" w:hAnsi="Arial"/>
          <w:sz w:val="24"/>
          <w:szCs w:val="24"/>
        </w:rPr>
        <w:t xml:space="preserve">│2.3. Гликоли                      │ 0,30 │  0,20 │  0,20  │          │</w:t>
      </w:r>
    </w:p>
    <w:p>
      <w:pPr>
        <w:spacing w:after="120"/>
        <w:jc w:val="both"/>
      </w:pPr>
      <w:r>
        <w:rPr>
          <w:rFonts w:ascii="Arial" w:cs="Arial" w:eastAsia="Arial" w:hAnsi="Arial"/>
          <w:sz w:val="24"/>
          <w:szCs w:val="24"/>
        </w:rPr>
        <w:t xml:space="preserve">│2.4. Уксусная кислота             │ 0,15 │  0,08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Газовая хроматография (ДЭЗ)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Газовая хроматография (ТИД)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ВЭЖХ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Хромато-масс спектрометрия     │ 0,30 │  0,30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Перегонка                      │      │       │        │          │</w:t>
      </w:r>
    </w:p>
    <w:p>
      <w:pPr>
        <w:spacing w:after="120"/>
        <w:jc w:val="both"/>
      </w:pPr>
      <w:r>
        <w:rPr>
          <w:rFonts w:ascii="Arial" w:cs="Arial" w:eastAsia="Arial" w:hAnsi="Arial"/>
          <w:sz w:val="24"/>
          <w:szCs w:val="24"/>
        </w:rPr>
        <w:t xml:space="preserve">│7.1. Суррогаты алкоголя           │ 0,40 │  0,25 │  0,20  │          │</w:t>
      </w:r>
    </w:p>
    <w:p>
      <w:pPr>
        <w:spacing w:after="120"/>
        <w:jc w:val="both"/>
      </w:pPr>
      <w:r>
        <w:rPr>
          <w:rFonts w:ascii="Arial" w:cs="Arial" w:eastAsia="Arial" w:hAnsi="Arial"/>
          <w:sz w:val="24"/>
          <w:szCs w:val="24"/>
        </w:rPr>
        <w:t xml:space="preserve">│7.2. Уксусная кислота             │ 0,30 │  0,20 │  0,20  │          │</w:t>
      </w:r>
    </w:p>
    <w:p>
      <w:pPr>
        <w:spacing w:after="120"/>
        <w:jc w:val="both"/>
      </w:pPr>
      <w:r>
        <w:rPr>
          <w:rFonts w:ascii="Arial" w:cs="Arial" w:eastAsia="Arial" w:hAnsi="Arial"/>
          <w:sz w:val="24"/>
          <w:szCs w:val="24"/>
        </w:rPr>
        <w:t xml:space="preserve">│7.3. Гликоли                      │ 0,20 │  0,20 │        │          │</w:t>
      </w:r>
    </w:p>
    <w:p>
      <w:pPr>
        <w:spacing w:after="120"/>
        <w:jc w:val="both"/>
      </w:pPr>
      <w:r>
        <w:rPr>
          <w:rFonts w:ascii="Arial" w:cs="Arial" w:eastAsia="Arial" w:hAnsi="Arial"/>
          <w:sz w:val="24"/>
          <w:szCs w:val="24"/>
        </w:rPr>
        <w:t xml:space="preserve">│7.4. Синильная кислота            │ 0,40 │  0,25 │  0,20  │          │</w:t>
      </w:r>
    </w:p>
    <w:p>
      <w:pPr>
        <w:spacing w:after="120"/>
        <w:jc w:val="both"/>
      </w:pPr>
      <w:r>
        <w:rPr>
          <w:rFonts w:ascii="Arial" w:cs="Arial" w:eastAsia="Arial" w:hAnsi="Arial"/>
          <w:sz w:val="24"/>
          <w:szCs w:val="24"/>
        </w:rPr>
        <w:t xml:space="preserve">│7.5. Фтор                         │ 0,60 │  0,60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Изолирование лекарственных     │      │       │        │          │</w:t>
      </w:r>
    </w:p>
    <w:p>
      <w:pPr>
        <w:spacing w:after="120"/>
        <w:jc w:val="both"/>
      </w:pPr>
      <w:r>
        <w:rPr>
          <w:rFonts w:ascii="Arial" w:cs="Arial" w:eastAsia="Arial" w:hAnsi="Arial"/>
          <w:sz w:val="24"/>
          <w:szCs w:val="24"/>
        </w:rPr>
        <w:t xml:space="preserve">│веществ                           │      │       │        │          │</w:t>
      </w:r>
    </w:p>
    <w:p>
      <w:pPr>
        <w:spacing w:after="120"/>
        <w:jc w:val="both"/>
      </w:pPr>
      <w:r>
        <w:rPr>
          <w:rFonts w:ascii="Arial" w:cs="Arial" w:eastAsia="Arial" w:hAnsi="Arial"/>
          <w:sz w:val="24"/>
          <w:szCs w:val="24"/>
        </w:rPr>
        <w:t xml:space="preserve">│8.1. Водой                        │ 0,40 │  0,40 │  0,20  │          │</w:t>
      </w:r>
    </w:p>
    <w:p>
      <w:pPr>
        <w:spacing w:after="120"/>
        <w:jc w:val="both"/>
      </w:pPr>
      <w:r>
        <w:rPr>
          <w:rFonts w:ascii="Arial" w:cs="Arial" w:eastAsia="Arial" w:hAnsi="Arial"/>
          <w:sz w:val="24"/>
          <w:szCs w:val="24"/>
        </w:rPr>
        <w:t xml:space="preserve">│8.2. Спиртом                      │ 0,40 │  0,40 │  0,20  │          │</w:t>
      </w:r>
    </w:p>
    <w:p>
      <w:pPr>
        <w:spacing w:after="120"/>
        <w:jc w:val="both"/>
      </w:pPr>
      <w:r>
        <w:rPr>
          <w:rFonts w:ascii="Arial" w:cs="Arial" w:eastAsia="Arial" w:hAnsi="Arial"/>
          <w:sz w:val="24"/>
          <w:szCs w:val="24"/>
        </w:rPr>
        <w:t xml:space="preserve">│8.3. Ацетонитрилом                │ 0,40 │  0,40 │  0,20  │          │</w:t>
      </w:r>
    </w:p>
    <w:p>
      <w:pPr>
        <w:spacing w:after="120"/>
        <w:jc w:val="both"/>
      </w:pPr>
      <w:r>
        <w:rPr>
          <w:rFonts w:ascii="Arial" w:cs="Arial" w:eastAsia="Arial" w:hAnsi="Arial"/>
          <w:sz w:val="24"/>
          <w:szCs w:val="24"/>
        </w:rPr>
        <w:t xml:space="preserve">│8.4. Другими органическими        │ 0,40 │  0,40 │  0,20  │          │</w:t>
      </w:r>
    </w:p>
    <w:p>
      <w:pPr>
        <w:spacing w:after="120"/>
        <w:jc w:val="both"/>
      </w:pPr>
      <w:r>
        <w:rPr>
          <w:rFonts w:ascii="Arial" w:cs="Arial" w:eastAsia="Arial" w:hAnsi="Arial"/>
          <w:sz w:val="24"/>
          <w:szCs w:val="24"/>
        </w:rPr>
        <w:t xml:space="preserve">│растворителями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Изолирование наркотиков из     │ 0,20 │  0,20 │  0,20  │          │</w:t>
      </w:r>
    </w:p>
    <w:p>
      <w:pPr>
        <w:spacing w:after="120"/>
        <w:jc w:val="both"/>
      </w:pPr>
      <w:r>
        <w:rPr>
          <w:rFonts w:ascii="Arial" w:cs="Arial" w:eastAsia="Arial" w:hAnsi="Arial"/>
          <w:sz w:val="24"/>
          <w:szCs w:val="24"/>
        </w:rPr>
        <w:t xml:space="preserve">│биологических жидкостей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Гидролиз                      │      │       │        │          │</w:t>
      </w:r>
    </w:p>
    <w:p>
      <w:pPr>
        <w:spacing w:after="120"/>
        <w:jc w:val="both"/>
      </w:pPr>
      <w:r>
        <w:rPr>
          <w:rFonts w:ascii="Arial" w:cs="Arial" w:eastAsia="Arial" w:hAnsi="Arial"/>
          <w:sz w:val="24"/>
          <w:szCs w:val="24"/>
        </w:rPr>
        <w:t xml:space="preserve">│10.1. Внутренние органы           │ 0,30 │  0,30 │  0,20  │          │</w:t>
      </w:r>
    </w:p>
    <w:p>
      <w:pPr>
        <w:spacing w:after="120"/>
        <w:jc w:val="both"/>
      </w:pPr>
      <w:r>
        <w:rPr>
          <w:rFonts w:ascii="Arial" w:cs="Arial" w:eastAsia="Arial" w:hAnsi="Arial"/>
          <w:sz w:val="24"/>
          <w:szCs w:val="24"/>
        </w:rPr>
        <w:t xml:space="preserve">│10.2. Извлечения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Изолирование пестицидов орг.  │      │       │        │          │</w:t>
      </w:r>
    </w:p>
    <w:p>
      <w:pPr>
        <w:spacing w:after="120"/>
        <w:jc w:val="both"/>
      </w:pPr>
      <w:r>
        <w:rPr>
          <w:rFonts w:ascii="Arial" w:cs="Arial" w:eastAsia="Arial" w:hAnsi="Arial"/>
          <w:sz w:val="24"/>
          <w:szCs w:val="24"/>
        </w:rPr>
        <w:t xml:space="preserve">│растворителями                    │      │       │        │          │</w:t>
      </w:r>
    </w:p>
    <w:p>
      <w:pPr>
        <w:spacing w:after="120"/>
        <w:jc w:val="both"/>
      </w:pPr>
      <w:r>
        <w:rPr>
          <w:rFonts w:ascii="Arial" w:cs="Arial" w:eastAsia="Arial" w:hAnsi="Arial"/>
          <w:sz w:val="24"/>
          <w:szCs w:val="24"/>
        </w:rPr>
        <w:t xml:space="preserve">│11.1. Эфиром                      │ 0,30 │  0,30 │  0,20  │          │</w:t>
      </w:r>
    </w:p>
    <w:p>
      <w:pPr>
        <w:spacing w:after="120"/>
        <w:jc w:val="both"/>
      </w:pPr>
      <w:r>
        <w:rPr>
          <w:rFonts w:ascii="Arial" w:cs="Arial" w:eastAsia="Arial" w:hAnsi="Arial"/>
          <w:sz w:val="24"/>
          <w:szCs w:val="24"/>
        </w:rPr>
        <w:t xml:space="preserve">│11.2. Гексаном                    │ 0,40 │  0,40 │  0,20  │          │</w:t>
      </w:r>
    </w:p>
    <w:p>
      <w:pPr>
        <w:spacing w:after="120"/>
        <w:jc w:val="both"/>
      </w:pPr>
      <w:r>
        <w:rPr>
          <w:rFonts w:ascii="Arial" w:cs="Arial" w:eastAsia="Arial" w:hAnsi="Arial"/>
          <w:sz w:val="24"/>
          <w:szCs w:val="24"/>
        </w:rPr>
        <w:t xml:space="preserve">│11.3. Бензолом                    │ 0,40 │  0,40 │  0,20  │          │</w:t>
      </w:r>
    </w:p>
    <w:p>
      <w:pPr>
        <w:spacing w:after="120"/>
        <w:jc w:val="both"/>
      </w:pPr>
      <w:r>
        <w:rPr>
          <w:rFonts w:ascii="Arial" w:cs="Arial" w:eastAsia="Arial" w:hAnsi="Arial"/>
          <w:sz w:val="24"/>
          <w:szCs w:val="24"/>
        </w:rPr>
        <w:t xml:space="preserve">│11.4. Другими растворителями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Спектрофотометрия             │      │       │        │К пунктам │</w:t>
      </w:r>
    </w:p>
    <w:p>
      <w:pPr>
        <w:spacing w:after="120"/>
        <w:jc w:val="both"/>
      </w:pPr>
      <w:r>
        <w:rPr>
          <w:rFonts w:ascii="Arial" w:cs="Arial" w:eastAsia="Arial" w:hAnsi="Arial"/>
          <w:sz w:val="24"/>
          <w:szCs w:val="24"/>
        </w:rPr>
        <w:t xml:space="preserve">│12.1. УФ-область и видимая        │ 0,05 │  0,05 │        │8, 9, 10, │</w:t>
      </w:r>
    </w:p>
    <w:p>
      <w:pPr>
        <w:spacing w:after="120"/>
        <w:jc w:val="both"/>
      </w:pPr>
      <w:r>
        <w:rPr>
          <w:rFonts w:ascii="Arial" w:cs="Arial" w:eastAsia="Arial" w:hAnsi="Arial"/>
          <w:sz w:val="24"/>
          <w:szCs w:val="24"/>
        </w:rPr>
        <w:t xml:space="preserve">│12.2. ИК-область                  │ 0,20 │  0,20 │        │11 одна   │</w:t>
      </w:r>
    </w:p>
    <w:p>
      <w:pPr>
        <w:spacing w:after="120"/>
        <w:jc w:val="both"/>
      </w:pPr>
      <w:r>
        <w:rPr>
          <w:rFonts w:ascii="Arial" w:cs="Arial" w:eastAsia="Arial" w:hAnsi="Arial"/>
          <w:sz w:val="24"/>
          <w:szCs w:val="24"/>
        </w:rPr>
        <w:t xml:space="preserve">│                                  │      │       │        │спектраль-│</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      │       │        │характе-  │</w:t>
      </w:r>
    </w:p>
    <w:p>
      <w:pPr>
        <w:spacing w:after="120"/>
        <w:jc w:val="both"/>
      </w:pPr>
      <w:r>
        <w:rPr>
          <w:rFonts w:ascii="Arial" w:cs="Arial" w:eastAsia="Arial" w:hAnsi="Arial"/>
          <w:sz w:val="24"/>
          <w:szCs w:val="24"/>
        </w:rPr>
        <w:t xml:space="preserve">│                                  │      │       │        │ристика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Тонкослойная хроматография    │      │       │        │К пунктам │</w:t>
      </w:r>
    </w:p>
    <w:p>
      <w:pPr>
        <w:spacing w:after="120"/>
        <w:jc w:val="both"/>
      </w:pPr>
      <w:r>
        <w:rPr>
          <w:rFonts w:ascii="Arial" w:cs="Arial" w:eastAsia="Arial" w:hAnsi="Arial"/>
          <w:sz w:val="24"/>
          <w:szCs w:val="24"/>
        </w:rPr>
        <w:t xml:space="preserve">│13.1. Без элюирования             │ 0,15 │  0,05 │        │8, 9, 10, │</w:t>
      </w:r>
    </w:p>
    <w:p>
      <w:pPr>
        <w:spacing w:after="120"/>
        <w:jc w:val="both"/>
      </w:pPr>
      <w:r>
        <w:rPr>
          <w:rFonts w:ascii="Arial" w:cs="Arial" w:eastAsia="Arial" w:hAnsi="Arial"/>
          <w:sz w:val="24"/>
          <w:szCs w:val="24"/>
        </w:rPr>
        <w:t xml:space="preserve">│13.2. Элюирование                 │ 0,10 │       │        │11 одна   │</w:t>
      </w:r>
    </w:p>
    <w:p>
      <w:pPr>
        <w:spacing w:after="120"/>
        <w:jc w:val="both"/>
      </w:pPr>
      <w:r>
        <w:rPr>
          <w:rFonts w:ascii="Arial" w:cs="Arial" w:eastAsia="Arial" w:hAnsi="Arial"/>
          <w:sz w:val="24"/>
          <w:szCs w:val="24"/>
        </w:rPr>
        <w:t xml:space="preserve">│                                  │      │       │        │пластинка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Реакция                       │      │       │        │К пунктам │</w:t>
      </w:r>
    </w:p>
    <w:p>
      <w:pPr>
        <w:spacing w:after="120"/>
        <w:jc w:val="both"/>
      </w:pPr>
      <w:r>
        <w:rPr>
          <w:rFonts w:ascii="Arial" w:cs="Arial" w:eastAsia="Arial" w:hAnsi="Arial"/>
          <w:sz w:val="24"/>
          <w:szCs w:val="24"/>
        </w:rPr>
        <w:t xml:space="preserve">│14.1. Микрокристаллические        │ 0,02 │  0,02 │        │8, 9, 10, │</w:t>
      </w:r>
    </w:p>
    <w:p>
      <w:pPr>
        <w:spacing w:after="120"/>
        <w:jc w:val="both"/>
      </w:pPr>
      <w:r>
        <w:rPr>
          <w:rFonts w:ascii="Arial" w:cs="Arial" w:eastAsia="Arial" w:hAnsi="Arial"/>
          <w:sz w:val="24"/>
          <w:szCs w:val="24"/>
        </w:rPr>
        <w:t xml:space="preserve">│14.2. Окрашивания                 │ 0,02 │  0,02 │        │11 одна   │</w:t>
      </w:r>
    </w:p>
    <w:p>
      <w:pPr>
        <w:spacing w:after="120"/>
        <w:jc w:val="both"/>
      </w:pPr>
      <w:r>
        <w:rPr>
          <w:rFonts w:ascii="Arial" w:cs="Arial" w:eastAsia="Arial" w:hAnsi="Arial"/>
          <w:sz w:val="24"/>
          <w:szCs w:val="24"/>
        </w:rPr>
        <w:t xml:space="preserve">│                                  │      │       │        │реакция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Деструкция                    │ 0,40 │  0,40 │  0,10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Минерализация                 │ 0,40 │  0,40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Озоление                      │ 0,30 │  0,30 │  0,10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Диализ                        │ 0,40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Спектрофотометрическое        │ 0,15 │  0,15 │        │          │</w:t>
      </w:r>
    </w:p>
    <w:p>
      <w:pPr>
        <w:spacing w:after="120"/>
        <w:jc w:val="both"/>
      </w:pPr>
      <w:r>
        <w:rPr>
          <w:rFonts w:ascii="Arial" w:cs="Arial" w:eastAsia="Arial" w:hAnsi="Arial"/>
          <w:sz w:val="24"/>
          <w:szCs w:val="24"/>
        </w:rPr>
        <w:t xml:space="preserve">│определение СОН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Иммунно-ферментный анализ     │ 0,05 │  0,05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Прочие (по затрате времени) 1 п.а. = 25.5 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ipdi23cn9vm64crgvdb">
      <w:r>
        <w:rPr>
          <w:rFonts w:ascii="Arial" w:cs="Arial" w:eastAsia="Arial" w:hAnsi="Arial"/>
          <w:color w:val="132D3F"/>
          <w:sz w:val="16"/>
          <w:szCs w:val="16"/>
          <w:u w:val="single"/>
        </w:rPr>
        <w:t xml:space="preserve">dalil.kg/document/93612</w:t>
      </w:r>
    </w:hyperlink>
  </w:p>
  <w:p>
    <w:pPr>
      <w:spacing w:after="0" w:before="40"/>
      <w:jc w:val="center"/>
    </w:pPr>
    <w:hyperlink w:history="1" r:id="rIdpyeef82ryjaln6ikjp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znkcffoi39d9bm7zqla"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ipdi23cn9vm64crgvdb" Type="http://schemas.openxmlformats.org/officeDocument/2006/relationships/hyperlink" Target="https://dalil.kg/document/93612" TargetMode="External"/><Relationship Id="rIdpyeef82ryjaln6ikjp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2026-09-27T15:26:20.784Z</dcterms:created>
  <dcterms:modified xsi:type="dcterms:W3CDTF">2026-09-27T15:26:20.784Z</dcterms:modified>
</cp:coreProperties>
</file>

<file path=docProps/custom.xml><?xml version="1.0" encoding="utf-8"?>
<Properties xmlns="http://schemas.openxmlformats.org/officeDocument/2006/custom-properties" xmlns:vt="http://schemas.openxmlformats.org/officeDocument/2006/docPropsVTypes"/>
</file>