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69fa1z1wzzoqvc4vmtlp_">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gyz3t6nqcl3gcib28qv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26 января 2012 года № 61/68/2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экономической политике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Макроэкономическая политика</w:t>
      </w:r>
    </w:p>
    <w:p>
      <w:pPr>
        <w:spacing w:after="120"/>
        <w:jc w:val="both"/>
      </w:pPr>
      <w:r>
        <w:rPr>
          <w:rFonts w:ascii="Arial" w:cs="Arial" w:eastAsia="Arial" w:hAnsi="Arial"/>
          <w:sz w:val="24"/>
          <w:szCs w:val="24"/>
        </w:rPr>
        <w:t xml:space="preserve">2. Денежно-кредитная политика</w:t>
      </w:r>
    </w:p>
    <w:p>
      <w:pPr>
        <w:spacing w:after="120"/>
        <w:jc w:val="both"/>
      </w:pPr>
      <w:r>
        <w:rPr>
          <w:rFonts w:ascii="Arial" w:cs="Arial" w:eastAsia="Arial" w:hAnsi="Arial"/>
          <w:sz w:val="24"/>
          <w:szCs w:val="24"/>
        </w:rPr>
        <w:t xml:space="preserve">3. Фискальная политика</w:t>
      </w:r>
    </w:p>
    <w:p>
      <w:pPr>
        <w:spacing w:after="120"/>
        <w:jc w:val="both"/>
      </w:pPr>
      <w:r>
        <w:rPr>
          <w:rFonts w:ascii="Arial" w:cs="Arial" w:eastAsia="Arial" w:hAnsi="Arial"/>
          <w:sz w:val="24"/>
          <w:szCs w:val="24"/>
        </w:rPr>
        <w:t xml:space="preserve">4. Бюджетная политика</w:t>
      </w:r>
    </w:p>
    <w:p>
      <w:pPr>
        <w:spacing w:after="120"/>
        <w:jc w:val="both"/>
      </w:pPr>
      <w:r>
        <w:rPr>
          <w:rFonts w:ascii="Arial" w:cs="Arial" w:eastAsia="Arial" w:hAnsi="Arial"/>
          <w:sz w:val="24"/>
          <w:szCs w:val="24"/>
        </w:rPr>
        <w:t xml:space="preserve">5. Государственный долг</w:t>
      </w:r>
    </w:p>
    <w:p>
      <w:pPr>
        <w:spacing w:after="120"/>
        <w:jc w:val="both"/>
      </w:pPr>
      <w:r>
        <w:rPr>
          <w:rFonts w:ascii="Arial" w:cs="Arial" w:eastAsia="Arial" w:hAnsi="Arial"/>
          <w:sz w:val="24"/>
          <w:szCs w:val="24"/>
        </w:rPr>
        <w:t xml:space="preserve">6. Развитие реального сектора</w:t>
      </w:r>
    </w:p>
    <w:p>
      <w:pPr>
        <w:spacing w:after="120"/>
        <w:jc w:val="both"/>
      </w:pPr>
      <w:r>
        <w:rPr>
          <w:rFonts w:ascii="Arial" w:cs="Arial" w:eastAsia="Arial" w:hAnsi="Arial"/>
          <w:sz w:val="24"/>
          <w:szCs w:val="24"/>
        </w:rPr>
        <w:t xml:space="preserve">7. Социальная политика</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и социальная политика Кыргызской Республики после событий 2010 года была ориентирована на преодоление социальных последствий и выведение экономики страны на устойчивый вектор развития, улучшение состояния бюджета.</w:t>
      </w:r>
    </w:p>
    <w:p>
      <w:pPr>
        <w:spacing w:after="120"/>
        <w:jc w:val="both"/>
      </w:pPr>
      <w:r>
        <w:rPr>
          <w:rFonts w:ascii="Arial" w:cs="Arial" w:eastAsia="Arial" w:hAnsi="Arial"/>
          <w:sz w:val="24"/>
          <w:szCs w:val="24"/>
        </w:rPr>
        <w:t xml:space="preserve">Основным результатом деятельности Правительства Кыргызской Республики стало преодоление угрозы спада экономического роста и выход на устойчивые тенденции в социально-экономическом развитии на фоне улучшения параметров макроэкономической стабильности и снижения внутриполитической напряженности в стране.</w:t>
      </w:r>
    </w:p>
    <w:p>
      <w:pPr>
        <w:spacing w:after="120"/>
        <w:jc w:val="both"/>
      </w:pPr>
      <w:r>
        <w:rPr>
          <w:rFonts w:ascii="Arial" w:cs="Arial" w:eastAsia="Arial" w:hAnsi="Arial"/>
          <w:sz w:val="24"/>
          <w:szCs w:val="24"/>
        </w:rPr>
        <w:t xml:space="preserve">В 2011 году удалось достигнуть роста экономики. По итогам за январь-декабрь 2011 года, по предварительной оценке, объем валового внутреннего продукта (ВВП) сложился в сумме 273,1 млрд. сомов, реальный рост составил 105,7%, в то время как за аналогичный период 2010 года данный показатель составлял 99,5%. Без учета предприятий по разработке месторождения "Кумтор", реальный рост ВВП составил 105,6% (2010 г. 99,0%).</w:t>
      </w:r>
    </w:p>
    <w:p>
      <w:pPr>
        <w:spacing w:after="120"/>
        <w:jc w:val="both"/>
      </w:pPr>
      <w:r>
        <w:rPr>
          <w:rFonts w:ascii="Arial" w:cs="Arial" w:eastAsia="Arial" w:hAnsi="Arial"/>
          <w:sz w:val="24"/>
          <w:szCs w:val="24"/>
        </w:rPr>
        <w:t xml:space="preserve">Основными секторами, повлиявшими на достижение положительных темпов экономического роста в январе-декабре 2011 года стали промышленность и сфера услуг, а вклад строительства оказался отрицательным.</w:t>
      </w:r>
    </w:p>
    <w:p>
      <w:pPr>
        <w:spacing w:after="120"/>
        <w:jc w:val="both"/>
      </w:pPr>
      <w:r>
        <w:rPr>
          <w:rFonts w:ascii="Arial" w:cs="Arial" w:eastAsia="Arial" w:hAnsi="Arial"/>
          <w:sz w:val="24"/>
          <w:szCs w:val="24"/>
        </w:rPr>
        <w:t xml:space="preserve">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- 4,2%, Казахстан - 7,5%, Китай - 9,2%);</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(Россия, Казахстан);</w:t>
      </w:r>
    </w:p>
    <w:p>
      <w:pPr>
        <w:spacing w:after="120"/>
        <w:jc w:val="both"/>
      </w:pPr>
      <w:r>
        <w:rPr>
          <w:rFonts w:ascii="Arial" w:cs="Arial" w:eastAsia="Arial" w:hAnsi="Arial"/>
          <w:sz w:val="24"/>
          <w:szCs w:val="24"/>
        </w:rPr>
        <w:t xml:space="preserve">- умеренная динамика цен на мировых товарно-сырьевых рынках (продовольствие, энергоносители);</w:t>
      </w:r>
    </w:p>
    <w:p>
      <w:pPr>
        <w:spacing w:after="120"/>
        <w:jc w:val="both"/>
      </w:pPr>
      <w:r>
        <w:rPr>
          <w:rFonts w:ascii="Arial" w:cs="Arial" w:eastAsia="Arial" w:hAnsi="Arial"/>
          <w:sz w:val="24"/>
          <w:szCs w:val="24"/>
        </w:rPr>
        <w:t xml:space="preserve">- налоговые преференции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реконструкции стекловаренной печи, поставок и экспорта золотого и серебряного сплавов, аффинированных золота и серебра, включение общества с ограниченной ответственностью (ОсОО) "Майлуу-Сууйский электроламповый завод" в Перечень облагаемых субъектов и т.д.);</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другие меры государственного регулирования в целях снижения коррупции и теневой экономики;</w:t>
      </w:r>
    </w:p>
    <w:p>
      <w:pPr>
        <w:spacing w:after="120"/>
        <w:jc w:val="both"/>
      </w:pPr>
      <w:r>
        <w:rPr>
          <w:rFonts w:ascii="Arial" w:cs="Arial" w:eastAsia="Arial" w:hAnsi="Arial"/>
          <w:sz w:val="24"/>
          <w:szCs w:val="24"/>
        </w:rPr>
        <w:t xml:space="preserve">- реструктуризация кредиторских задолженностей ряда предприятий (открытое акционерное общество (ОАО) "Касиет", ОАО "Ак-Тилек", Завод "Достук");</w:t>
      </w:r>
    </w:p>
    <w:p>
      <w:pPr>
        <w:spacing w:after="120"/>
        <w:jc w:val="both"/>
      </w:pPr>
      <w:r>
        <w:rPr>
          <w:rFonts w:ascii="Arial" w:cs="Arial" w:eastAsia="Arial" w:hAnsi="Arial"/>
          <w:sz w:val="24"/>
          <w:szCs w:val="24"/>
        </w:rPr>
        <w:t xml:space="preserve">- рост цен на золото на уровне 1326 - 1652,3 долл. за 1 унцию (январь-декабрь 2011 г.);</w:t>
      </w:r>
    </w:p>
    <w:p>
      <w:pPr>
        <w:spacing w:after="120"/>
        <w:jc w:val="both"/>
      </w:pPr>
      <w:r>
        <w:rPr>
          <w:rFonts w:ascii="Arial" w:cs="Arial" w:eastAsia="Arial" w:hAnsi="Arial"/>
          <w:sz w:val="24"/>
          <w:szCs w:val="24"/>
        </w:rPr>
        <w:t xml:space="preserve">- отмена экспортных пошлин на нефтепродукты, поставляемые в Кыргызстан, со стороны России;</w:t>
      </w:r>
    </w:p>
    <w:p>
      <w:pPr>
        <w:spacing w:after="120"/>
        <w:jc w:val="both"/>
      </w:pPr>
      <w:r>
        <w:rPr>
          <w:rFonts w:ascii="Arial" w:cs="Arial" w:eastAsia="Arial" w:hAnsi="Arial"/>
          <w:sz w:val="24"/>
          <w:szCs w:val="24"/>
        </w:rPr>
        <w:t xml:space="preserve">- рост объемов кредитования в экономике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В целях оперативного решения неотложных проблем и предотвращения спада экономического роста, сохранения устойчивости бюджета и финансовой системы в целом, а также восстановления деловой активности в течение 2011 года Правительством Кыргызской Республики реализовывался краткосрочный </w:t>
      </w:r>
      <w:hyperlink w:history="1" r:id="rIdieyapg3nvew913w_gsejm">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на 2011 год "Экономика и безопасность". Социальная политика была направлена на повышение размеров заработной платы и пенсий, в частности, размер заработной платы учителей и врачей повысился в два и более раза, пенсий - на 30%. Рядом нормативных документов установлены налоговые и таможенные преференции для хозяйствующих субъектов, пострадавших в южных регионах, приняты нормативные правовые акты, направленные на поддержку субъектов предпринимательства и др.</w:t>
      </w:r>
    </w:p>
    <w:p>
      <w:pPr>
        <w:spacing w:after="120"/>
        <w:jc w:val="both"/>
      </w:pPr>
      <w:r>
        <w:rPr>
          <w:rFonts w:ascii="Arial" w:cs="Arial" w:eastAsia="Arial" w:hAnsi="Arial"/>
          <w:sz w:val="24"/>
          <w:szCs w:val="24"/>
        </w:rPr>
        <w:t xml:space="preserve">Обществу и бизнесу сегодня необходимы как среднесрочные, так и долгосрочные ориентиры развития Кыргызской Республики. Поэтому, постановлением Жогорку Кенеша Кыргызской Республики одобрена Программа Правительства Кыргызской Республики "Стабильность и достойная жизнь" (от 23 декабря 2011 года № 1451-V). Данная Программа определяет цели, задачи и ключевые меры, которые Правительство Кыргызской Республики будет осуществлять в период своей деятельности. Программа разработана на принципах преемственности и отражения интересов общества. Она также учитывает Среднесрочную </w:t>
      </w:r>
      <w:hyperlink w:history="1" r:id="rId96hneqptavn21qdsak2w4">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Кыргызской Республики на 2012-2014 годы, утвержденную </w:t>
      </w:r>
      <w:hyperlink w:history="1" r:id="rIdomtz5oeggwofbaptivp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2011 года № 540, предвыборные программы партий, вошедших в коалицию большинства Жогорку Кенеша Кыргызской Республики, и предвыборную программу Президента Кыргызской Республики.</w:t>
      </w:r>
    </w:p>
    <w:p>
      <w:pPr>
        <w:spacing w:after="120"/>
        <w:jc w:val="both"/>
      </w:pPr>
      <w:r>
        <w:rPr>
          <w:rFonts w:ascii="Arial" w:cs="Arial" w:eastAsia="Arial" w:hAnsi="Arial"/>
          <w:sz w:val="24"/>
          <w:szCs w:val="24"/>
        </w:rPr>
        <w:t xml:space="preserve">Учитывая вышеизложенное, а также в целях сохранения и поддержания экономической стабильности в различных секторах экономики разработано настоящее Совместное заявление Правительства Кыргызской Республики (далее - Правительство) и Национального банка Кыргызской Республики (далее - Национальный банк) об экономической политике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закрепление макроэкономической стабильности для устойчивого экономического роста, создание базовых условий для экономического и социального развития в среднесрочном периоде.</w:t>
      </w:r>
    </w:p>
    <w:p>
      <w:pPr>
        <w:spacing w:after="120"/>
        <w:jc w:val="both"/>
      </w:pPr>
      <w:r>
        <w:rPr>
          <w:rFonts w:ascii="Arial" w:cs="Arial" w:eastAsia="Arial" w:hAnsi="Arial"/>
          <w:sz w:val="24"/>
          <w:szCs w:val="24"/>
        </w:rPr>
        <w:t xml:space="preserve">Макроэкономическая политика в 2012 году будет нацелена на решение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(ВВП) не ниже 7,5%, в том числе за счет:</w:t>
      </w:r>
    </w:p>
    <w:p>
      <w:pPr>
        <w:spacing w:after="120"/>
        <w:jc w:val="both"/>
      </w:pPr>
      <w:r>
        <w:rPr>
          <w:rFonts w:ascii="Arial" w:cs="Arial" w:eastAsia="Arial" w:hAnsi="Arial"/>
          <w:sz w:val="24"/>
          <w:szCs w:val="24"/>
        </w:rPr>
        <w:t xml:space="preserve">роста продукции промышленного сектора - на 7,6%;</w:t>
      </w:r>
    </w:p>
    <w:p>
      <w:pPr>
        <w:spacing w:after="120"/>
        <w:jc w:val="both"/>
      </w:pPr>
      <w:r>
        <w:rPr>
          <w:rFonts w:ascii="Arial" w:cs="Arial" w:eastAsia="Arial" w:hAnsi="Arial"/>
          <w:sz w:val="24"/>
          <w:szCs w:val="24"/>
        </w:rPr>
        <w:t xml:space="preserve">роста производства сельского хозяйства - на 3,5%;</w:t>
      </w:r>
    </w:p>
    <w:p>
      <w:pPr>
        <w:spacing w:after="120"/>
        <w:jc w:val="both"/>
      </w:pPr>
      <w:r>
        <w:rPr>
          <w:rFonts w:ascii="Arial" w:cs="Arial" w:eastAsia="Arial" w:hAnsi="Arial"/>
          <w:sz w:val="24"/>
          <w:szCs w:val="24"/>
        </w:rPr>
        <w:t xml:space="preserve">роста строительного сектора - на 24,6%;</w:t>
      </w:r>
    </w:p>
    <w:p>
      <w:pPr>
        <w:spacing w:after="120"/>
        <w:jc w:val="both"/>
      </w:pPr>
      <w:r>
        <w:rPr>
          <w:rFonts w:ascii="Arial" w:cs="Arial" w:eastAsia="Arial" w:hAnsi="Arial"/>
          <w:sz w:val="24"/>
          <w:szCs w:val="24"/>
        </w:rPr>
        <w:t xml:space="preserve">роста сектора услуг - не менее чем на 7,5%;</w:t>
      </w:r>
    </w:p>
    <w:p>
      <w:pPr>
        <w:spacing w:after="120"/>
        <w:jc w:val="both"/>
      </w:pPr>
      <w:r>
        <w:rPr>
          <w:rFonts w:ascii="Arial" w:cs="Arial" w:eastAsia="Arial" w:hAnsi="Arial"/>
          <w:sz w:val="24"/>
          <w:szCs w:val="24"/>
        </w:rPr>
        <w:t xml:space="preserve">- сохранение инфляции на уровне - не выше 9%;</w:t>
      </w:r>
    </w:p>
    <w:p>
      <w:pPr>
        <w:spacing w:after="120"/>
        <w:jc w:val="both"/>
      </w:pPr>
      <w:r>
        <w:rPr>
          <w:rFonts w:ascii="Arial" w:cs="Arial" w:eastAsia="Arial" w:hAnsi="Arial"/>
          <w:sz w:val="24"/>
          <w:szCs w:val="24"/>
        </w:rPr>
        <w:t xml:space="preserve">- удержание дефицита бюджета - в пределах 5,0% к ВВП;</w:t>
      </w:r>
    </w:p>
    <w:p>
      <w:pPr>
        <w:spacing w:after="120"/>
        <w:jc w:val="both"/>
      </w:pPr>
      <w:r>
        <w:rPr>
          <w:rFonts w:ascii="Arial" w:cs="Arial" w:eastAsia="Arial" w:hAnsi="Arial"/>
          <w:sz w:val="24"/>
          <w:szCs w:val="24"/>
        </w:rPr>
        <w:t xml:space="preserve">- рост среднемесячной заработной платы - на 15,5%;</w:t>
      </w:r>
    </w:p>
    <w:p>
      <w:pPr>
        <w:spacing w:after="120"/>
        <w:jc w:val="both"/>
      </w:pPr>
      <w:r>
        <w:rPr>
          <w:rFonts w:ascii="Arial" w:cs="Arial" w:eastAsia="Arial" w:hAnsi="Arial"/>
          <w:sz w:val="24"/>
          <w:szCs w:val="24"/>
        </w:rPr>
        <w:t xml:space="preserve">- полное и своевременное выполнение всех социальных гарантий государства.</w:t>
      </w:r>
    </w:p>
    <w:p>
      <w:pPr>
        <w:spacing w:after="120"/>
        <w:jc w:val="both"/>
      </w:pPr>
      <w:r>
        <w:rPr>
          <w:rFonts w:ascii="Arial" w:cs="Arial" w:eastAsia="Arial" w:hAnsi="Arial"/>
          <w:sz w:val="24"/>
          <w:szCs w:val="24"/>
        </w:rPr>
        <w:t xml:space="preserve">Улучшение макроэкономической стабильности в стране, устойчивый экономический рост, снижение цен на мировых продовольственных и сырьевых рынках создают предпосылки для невысокого инфляционного фона в 2012 году. Правительство и Национальный банк осознают, что фактическое значение инфляции может оказаться выше обозначенного инфляционного ориентира, поэтому будет предпринят комплекс мер, направленных на сдерживание темпов роста цен в стране в 2012 году, что позволит в последующем снизить инфляцию до однозначного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экономики в 2011 году начало приобретать устойчивый характер. Усилия Правительства и Национального банка, направленные на выработку и реализацию комплекса мер экономической политики для восстановления макроэкономической стабильности, внесли свой вклад в экономический рост. Одновременно произошло заметное снижение темпов роста общего уровня цен, но ситуация с инфляцией все еще требует пристального внимания. Наблюдаемая в последние годы динамика потребительских цен показывает, что происходившие значительные колебания инфляции были обусловлены, в большей степени, не монетарными факторами, а именно волатильностью цен на продовольственные товары, главным образом, из-за колебаний цен на мировых товарных и сырьевых рынках.</w:t>
      </w:r>
    </w:p>
    <w:p>
      <w:pPr>
        <w:spacing w:after="120"/>
        <w:jc w:val="both"/>
      </w:pPr>
      <w:r>
        <w:rPr>
          <w:rFonts w:ascii="Arial" w:cs="Arial" w:eastAsia="Arial" w:hAnsi="Arial"/>
          <w:sz w:val="24"/>
          <w:szCs w:val="24"/>
        </w:rPr>
        <w:t xml:space="preserve">Несмотря на некоторое снижение цен на группу продовольственных товаров, в среднесрочной перспективе цены на важные продукты питания все еще остаются на относительно высоких уровнях. Помимо фактора сохранения зависимости от внешней ценовой конъюнктуры, внутренняя ценовая ситуация будет предопределяться, во многом, такими факторами, как структурные реформы сельскохозяйственного сектора, повышение производственного потенциала и конкурентоспособности отечественных товаров, изменения во внешнеэкономической позиции страны, в том числе в связи с процессом вступления в Таможенный союз, баланс между спросом и предложением товаров и услуг, административно-устанавливаемые тарифы. Воздействие монетарных инфляционных факторов будет происходить в большей степени за счет показателей бюджетного дефицита сектора государственных финансов.</w:t>
      </w:r>
    </w:p>
    <w:p>
      <w:pPr>
        <w:spacing w:after="120"/>
        <w:jc w:val="both"/>
      </w:pPr>
      <w:r>
        <w:rPr>
          <w:rFonts w:ascii="Arial" w:cs="Arial" w:eastAsia="Arial" w:hAnsi="Arial"/>
          <w:sz w:val="24"/>
          <w:szCs w:val="24"/>
        </w:rPr>
        <w:t xml:space="preserve">В этих условиях действия Национального банка будут направлены на сдерживание монетарных факторов инфляции посредством применения инструментов денежно-кредитной политики с тем, чтобы сохранить инфляцию к концу 2012 года на уровне не выше 9%. При этом, первоочередными задачами являются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Одной из основных среднесрочных задач Национального банка является дальнейшее повышение эффективности денежно-кредитной политики, в том числе через улучшение работы процентного трансмиссионного механизма, развитие финансовых рынков и усиление конкуренции в банковском секторе.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В случае усиления давления на обменный курс Национальный банк будет избегать значительного сокращения международных резервов, управление которыми осуществляется с соблюдением основных принципов обеспечения ликвидности и безопасности.</w:t>
      </w:r>
    </w:p>
    <w:p>
      <w:pPr>
        <w:spacing w:after="120"/>
        <w:jc w:val="both"/>
      </w:pPr>
      <w:r>
        <w:rPr>
          <w:rFonts w:ascii="Arial" w:cs="Arial" w:eastAsia="Arial" w:hAnsi="Arial"/>
          <w:sz w:val="24"/>
          <w:szCs w:val="24"/>
        </w:rPr>
        <w:t xml:space="preserve">Необходимость развития системы раннего реагирования на предупреждение системных рисков в банковском секторе и совершенствования нормативной правовой базы для проведения процедуры санации проблемных банков в короткие сроки определяет следующие приоритетные направления в деятельности Национального банка в области реализации надзорных функций: а) разработка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В целях оздоровления банковской системы Национальный банк будет решать проблемы с банками, находящимися в особых режимах, до достижения ими полного соответствия регуляторным требованиям или до начала ликвидации.</w:t>
      </w:r>
    </w:p>
    <w:p>
      <w:pPr>
        <w:spacing w:after="120"/>
        <w:jc w:val="both"/>
      </w:pPr>
      <w:r>
        <w:rPr>
          <w:rFonts w:ascii="Arial" w:cs="Arial" w:eastAsia="Arial" w:hAnsi="Arial"/>
          <w:sz w:val="24"/>
          <w:szCs w:val="24"/>
        </w:rPr>
        <w:t xml:space="preserve">В 2012 году ожидается сохранение положительных трендов роста основных показателей деятельности сектора микрофинансирования. В связи с расширением перечня оказываемых микрофинансовых услуг, внедрением принципов защиты прав потребителей, в целях повышения транспарентности оказываемых услуг и конкуренции на рынке микрофинансирования ключевым направлением развития будет совершенствование нормативной правовой базы, регулирующей деятельность небанковских финансово-кредитных учреждений. В части совершенствования надзорной функции будут осуществлены мероприятия по внедрению метода риск-ориентированного надзора за деятельностью небанковских финансово-кредитных учреждений.</w:t>
      </w:r>
    </w:p>
    <w:p>
      <w:pPr>
        <w:spacing w:after="120"/>
        <w:jc w:val="both"/>
      </w:pPr>
      <w:r>
        <w:rPr>
          <w:rFonts w:ascii="Arial" w:cs="Arial" w:eastAsia="Arial" w:hAnsi="Arial"/>
          <w:sz w:val="24"/>
          <w:szCs w:val="24"/>
        </w:rPr>
        <w:t xml:space="preserve">Национальный банк продолжит планомерную работу по развитию рынка розничных платежей в республике, улучшению качества банковского обслуживания населения. Совершенствование нормативной правовой базы, тесное взаимодействие с государственными органами и бизнес-средой будут направлены на поддержку конкуренции и обеспечение защиты конечного пользователя. Возобновление второго этапа реализации Государственной программы мероприятий по увеличению доли безналичных платежей и расчетов на период с 2012 по 2017 годы послужит обеспечению прозрачности денежного обращения и достижению оптимального соотношения наличного и безналичного денежного обращения.</w:t>
      </w:r>
    </w:p>
    <w:p>
      <w:pPr>
        <w:spacing w:after="120"/>
        <w:jc w:val="both"/>
      </w:pPr>
      <w:r>
        <w:rPr>
          <w:rFonts w:ascii="Arial" w:cs="Arial" w:eastAsia="Arial" w:hAnsi="Arial"/>
          <w:sz w:val="24"/>
          <w:szCs w:val="24"/>
        </w:rPr>
        <w:t xml:space="preserve">В целях защиты прав потребителей и снижения финансовых рисков в платежной системе Национальный банк будет осуществлять мероприятия по надзору за функционированием платежной системы страны и обеспечению контроля за корреспондентскими отношениями и технической инфраструктурой платежной системы Кыргызской Республики. Политика в области надзора (оверсайт) за платежной системой будет совершенствоваться с учетом появляющихся на рынке инновационных технологий.</w:t>
      </w:r>
    </w:p>
    <w:p>
      <w:pPr>
        <w:spacing w:after="120"/>
        <w:jc w:val="both"/>
      </w:pPr>
      <w:r>
        <w:rPr>
          <w:rFonts w:ascii="Arial" w:cs="Arial" w:eastAsia="Arial" w:hAnsi="Arial"/>
          <w:sz w:val="24"/>
          <w:szCs w:val="24"/>
        </w:rPr>
        <w:t xml:space="preserve">В 2012 году Национальный банк планирует завершение проекта по внедрению автоматизированной банковской информационной системы и модернизации инфраструктуры финансового рынка, а в среднесрочной перспективе - обновление информационных систем и технологий.</w:t>
      </w:r>
    </w:p>
    <w:p>
      <w:pPr>
        <w:spacing w:after="120"/>
        <w:jc w:val="both"/>
      </w:pPr>
      <w:r>
        <w:rPr>
          <w:rFonts w:ascii="Arial" w:cs="Arial" w:eastAsia="Arial" w:hAnsi="Arial"/>
          <w:sz w:val="24"/>
          <w:szCs w:val="24"/>
        </w:rPr>
        <w:t xml:space="preserve">Согласование действий Правительства и Национального банка в обеспечении макроэкономической стабильности будет проводиться, как минимум, по двум направлениям: разработка согласованных макроэкономических прогнозов в рамках межведомственной рабочей группы и координация денежно-кредитной и налогово-бюджетной политик в рамках межведомственного координационного совета Министерства экономики и антимонопольной политики Кыргызской Республики, Министерства финансов Кыргызской Республики и Национального банка.</w:t>
      </w:r>
    </w:p>
    <w:p>
      <w:pPr>
        <w:spacing w:after="120"/>
        <w:jc w:val="both"/>
      </w:pPr>
      <w:r>
        <w:rPr>
          <w:rFonts w:ascii="Arial" w:cs="Arial" w:eastAsia="Arial" w:hAnsi="Arial"/>
          <w:sz w:val="24"/>
          <w:szCs w:val="24"/>
        </w:rPr>
        <w:t xml:space="preserve">Параметры денежно-кредитной политики зависят от показателей сектора государственных финансов. На момент принятия настоящего заявления законопроект, определяющий параметры республиканского бюджета на 2012 год, еще не прошел процедуру утверждения. Еще одним существенным фактором неопределенности является незавершенность процесса согласования условий вступления страны в Таможенный союз. Данные обстоятельства предопределяют, что прогнозы макроэкономических показателей, включая оценку инфляции, могут быть пересмотрены.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2012 году будут: а) совершенствование системы налогового и таможенного администрирования; б) достижение разумного баланса прав предпринимателя и контролирующих органов; в) снижение коррупции; г) обеспечение прозрачности и повышение эффективности деятельности контролирующих органов, повышение качества предоставляемых услуг таможенными органами и сокращение издержек участников внешнеэкономической деятельности, связанных с таможенным оформлением.</w:t>
      </w:r>
    </w:p>
    <w:p>
      <w:pPr>
        <w:spacing w:after="120"/>
        <w:jc w:val="both"/>
      </w:pPr>
      <w:r>
        <w:rPr>
          <w:rFonts w:ascii="Arial" w:cs="Arial" w:eastAsia="Arial" w:hAnsi="Arial"/>
          <w:sz w:val="24"/>
          <w:szCs w:val="24"/>
        </w:rPr>
        <w:t xml:space="preserve">Налоговая политика будет направлена на обеспечение полноты поступления налогов, создания эффективной системы управления. Для достижения данной цели необходимо:</w:t>
      </w:r>
    </w:p>
    <w:p>
      <w:pPr>
        <w:spacing w:after="120"/>
        <w:jc w:val="both"/>
      </w:pPr>
      <w:r>
        <w:rPr>
          <w:rFonts w:ascii="Arial" w:cs="Arial" w:eastAsia="Arial" w:hAnsi="Arial"/>
          <w:sz w:val="24"/>
          <w:szCs w:val="24"/>
        </w:rPr>
        <w:t xml:space="preserve">- применение унифицированного и упрощенного налогообложения с точки зрения его администрирования, стимулирующего легальный бизнес;</w:t>
      </w:r>
    </w:p>
    <w:p>
      <w:pPr>
        <w:spacing w:after="120"/>
        <w:jc w:val="both"/>
      </w:pPr>
      <w:r>
        <w:rPr>
          <w:rFonts w:ascii="Arial" w:cs="Arial" w:eastAsia="Arial" w:hAnsi="Arial"/>
          <w:sz w:val="24"/>
          <w:szCs w:val="24"/>
        </w:rPr>
        <w:t xml:space="preserve">- совершенствование режима патентирования, направленного на качественное администрирование;</w:t>
      </w:r>
    </w:p>
    <w:p>
      <w:pPr>
        <w:spacing w:after="120"/>
        <w:jc w:val="both"/>
      </w:pPr>
      <w:r>
        <w:rPr>
          <w:rFonts w:ascii="Arial" w:cs="Arial" w:eastAsia="Arial" w:hAnsi="Arial"/>
          <w:sz w:val="24"/>
          <w:szCs w:val="24"/>
        </w:rPr>
        <w:t xml:space="preserve">- перевести большинство импортируемых товаров с оценки на основе веса на стоимостную оценку;</w:t>
      </w:r>
    </w:p>
    <w:p>
      <w:pPr>
        <w:spacing w:after="120"/>
        <w:jc w:val="both"/>
      </w:pPr>
      <w:r>
        <w:rPr>
          <w:rFonts w:ascii="Arial" w:cs="Arial" w:eastAsia="Arial" w:hAnsi="Arial"/>
          <w:sz w:val="24"/>
          <w:szCs w:val="24"/>
        </w:rPr>
        <w:t xml:space="preserve">- сосредоточение администрирования социальных сборов и отчетности в Государственной налоговой службе при Правительстве, что приведет к сокращению количества проверяющих органов и нагрузки на бизнес;</w:t>
      </w:r>
    </w:p>
    <w:p>
      <w:pPr>
        <w:spacing w:after="120"/>
        <w:jc w:val="both"/>
      </w:pPr>
      <w:r>
        <w:rPr>
          <w:rFonts w:ascii="Arial" w:cs="Arial" w:eastAsia="Arial" w:hAnsi="Arial"/>
          <w:sz w:val="24"/>
          <w:szCs w:val="24"/>
        </w:rPr>
        <w:t xml:space="preserve">- переход от проведения проверок к системе управления рисками в таможенном и налоговом деле;</w:t>
      </w:r>
    </w:p>
    <w:p>
      <w:pPr>
        <w:spacing w:after="120"/>
        <w:jc w:val="both"/>
      </w:pPr>
      <w:r>
        <w:rPr>
          <w:rFonts w:ascii="Arial" w:cs="Arial" w:eastAsia="Arial" w:hAnsi="Arial"/>
          <w:sz w:val="24"/>
          <w:szCs w:val="24"/>
        </w:rPr>
        <w:t xml:space="preserve">- оптимизировать контроль таможенной стоимости ввозимых товаров;</w:t>
      </w:r>
    </w:p>
    <w:p>
      <w:pPr>
        <w:spacing w:after="120"/>
        <w:jc w:val="both"/>
      </w:pPr>
      <w:r>
        <w:rPr>
          <w:rFonts w:ascii="Arial" w:cs="Arial" w:eastAsia="Arial" w:hAnsi="Arial"/>
          <w:sz w:val="24"/>
          <w:szCs w:val="24"/>
        </w:rPr>
        <w:t xml:space="preserve">- усиление контроля за достоверностью декларирования товаров;</w:t>
      </w:r>
    </w:p>
    <w:p>
      <w:pPr>
        <w:spacing w:after="120"/>
        <w:jc w:val="both"/>
      </w:pPr>
      <w:r>
        <w:rPr>
          <w:rFonts w:ascii="Arial" w:cs="Arial" w:eastAsia="Arial" w:hAnsi="Arial"/>
          <w:sz w:val="24"/>
          <w:szCs w:val="24"/>
        </w:rPr>
        <w:t xml:space="preserve">- проведение масштабных операций по пресечению контрабандного перемещения товаров и транспортных средств через таможенную границу.</w:t>
      </w:r>
    </w:p>
    <w:p>
      <w:pPr>
        <w:spacing w:after="120"/>
        <w:jc w:val="both"/>
      </w:pPr>
      <w:r>
        <w:rPr>
          <w:rFonts w:ascii="Arial" w:cs="Arial" w:eastAsia="Arial" w:hAnsi="Arial"/>
          <w:sz w:val="24"/>
          <w:szCs w:val="24"/>
        </w:rPr>
        <w:t xml:space="preserve">Для модернизации налоговой и таможенной служб предусматривается:</w:t>
      </w:r>
    </w:p>
    <w:p>
      <w:pPr>
        <w:spacing w:after="120"/>
        <w:jc w:val="both"/>
      </w:pPr>
      <w:r>
        <w:rPr>
          <w:rFonts w:ascii="Arial" w:cs="Arial" w:eastAsia="Arial" w:hAnsi="Arial"/>
          <w:sz w:val="24"/>
          <w:szCs w:val="24"/>
        </w:rPr>
        <w:t xml:space="preserve">1) внедрение автоматизированной информационной системы таможенной службы, включающей систему электронной подачи таможенных деклараций и облегчающей обмен информацией между участниками внешнеэкономической деятельности (ВЭД) и таможенными органами;</w:t>
      </w:r>
    </w:p>
    <w:p>
      <w:pPr>
        <w:spacing w:after="120"/>
        <w:jc w:val="both"/>
      </w:pPr>
      <w:r>
        <w:rPr>
          <w:rFonts w:ascii="Arial" w:cs="Arial" w:eastAsia="Arial" w:hAnsi="Arial"/>
          <w:sz w:val="24"/>
          <w:szCs w:val="24"/>
        </w:rPr>
        <w:t xml:space="preserve">2) внедрение автоматизированной информационной системы налоговой службы для подачи налоговой отчетности в электронной форме и современных технологий в налоговое администрирование для упрощения процедур исполнения налогоплательщиками налоговых обязательств;</w:t>
      </w:r>
    </w:p>
    <w:p>
      <w:pPr>
        <w:spacing w:after="120"/>
        <w:jc w:val="both"/>
      </w:pPr>
      <w:r>
        <w:rPr>
          <w:rFonts w:ascii="Arial" w:cs="Arial" w:eastAsia="Arial" w:hAnsi="Arial"/>
          <w:sz w:val="24"/>
          <w:szCs w:val="24"/>
        </w:rPr>
        <w:t xml:space="preserve">3) автоматизация процедур налогового контроля с внедрением эффективной системы налоговых проверок с учетом факторов риска (создание системы электронного мониторинга по проверкам налогоплательщиков);</w:t>
      </w:r>
    </w:p>
    <w:p>
      <w:pPr>
        <w:spacing w:after="120"/>
        <w:jc w:val="both"/>
      </w:pPr>
      <w:r>
        <w:rPr>
          <w:rFonts w:ascii="Arial" w:cs="Arial" w:eastAsia="Arial" w:hAnsi="Arial"/>
          <w:sz w:val="24"/>
          <w:szCs w:val="24"/>
        </w:rPr>
        <w:t xml:space="preserve">4) выявление на системной основе новых способов и схем, использующихся для уклонения от налогообложения, и дальнейшее внедрение мер по устранению причин, способствовавших их появлению;</w:t>
      </w:r>
    </w:p>
    <w:p>
      <w:pPr>
        <w:spacing w:after="120"/>
        <w:jc w:val="both"/>
      </w:pPr>
      <w:r>
        <w:rPr>
          <w:rFonts w:ascii="Arial" w:cs="Arial" w:eastAsia="Arial" w:hAnsi="Arial"/>
          <w:sz w:val="24"/>
          <w:szCs w:val="24"/>
        </w:rPr>
        <w:t xml:space="preserve">5) внедрение новых прогрессивных технологий таможенного администрирования.</w:t>
      </w:r>
    </w:p>
    <w:p>
      <w:pPr>
        <w:spacing w:after="120"/>
        <w:jc w:val="both"/>
      </w:pPr>
      <w:r>
        <w:rPr>
          <w:rFonts w:ascii="Arial" w:cs="Arial" w:eastAsia="Arial" w:hAnsi="Arial"/>
          <w:sz w:val="24"/>
          <w:szCs w:val="24"/>
        </w:rPr>
        <w:t xml:space="preserve">Для повышения доверия общественности к налоговой и таможенной службам и снижения уровня коррупции планируется:</w:t>
      </w:r>
    </w:p>
    <w:p>
      <w:pPr>
        <w:spacing w:after="120"/>
        <w:jc w:val="both"/>
      </w:pPr>
      <w:r>
        <w:rPr>
          <w:rFonts w:ascii="Arial" w:cs="Arial" w:eastAsia="Arial" w:hAnsi="Arial"/>
          <w:sz w:val="24"/>
          <w:szCs w:val="24"/>
        </w:rPr>
        <w:t xml:space="preserve">1) создать 3 центра обработки налоговых деклараций (по южному, северному и восточному регионам);</w:t>
      </w:r>
    </w:p>
    <w:p>
      <w:pPr>
        <w:spacing w:after="120"/>
        <w:jc w:val="both"/>
      </w:pPr>
      <w:r>
        <w:rPr>
          <w:rFonts w:ascii="Arial" w:cs="Arial" w:eastAsia="Arial" w:hAnsi="Arial"/>
          <w:sz w:val="24"/>
          <w:szCs w:val="24"/>
        </w:rPr>
        <w:t xml:space="preserve">2) оснастить многосторонние пункты пропуска системами видеонаблюдения;</w:t>
      </w:r>
    </w:p>
    <w:p>
      <w:pPr>
        <w:spacing w:after="120"/>
        <w:jc w:val="both"/>
      </w:pPr>
      <w:r>
        <w:rPr>
          <w:rFonts w:ascii="Arial" w:cs="Arial" w:eastAsia="Arial" w:hAnsi="Arial"/>
          <w:sz w:val="24"/>
          <w:szCs w:val="24"/>
        </w:rPr>
        <w:t xml:space="preserve">3) разработать и внедрить в органах налоговой и таможенной служб информационные программы по профилактике коррупционных аспектов прохождения службы;</w:t>
      </w:r>
    </w:p>
    <w:p>
      <w:pPr>
        <w:spacing w:after="120"/>
        <w:jc w:val="both"/>
      </w:pPr>
      <w:r>
        <w:rPr>
          <w:rFonts w:ascii="Arial" w:cs="Arial" w:eastAsia="Arial" w:hAnsi="Arial"/>
          <w:sz w:val="24"/>
          <w:szCs w:val="24"/>
        </w:rPr>
        <w:t xml:space="preserve">4) внедрить систематическое анкетирование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5) обеспечить открытость административных процессов налоговой службы путем информирования налогоплательщиков о ее услугах, образцах заполняемых форм документов, возможностях заполнения и подачи документов в электронной форме, порядке оборота документов, порядке оспаривания и обжалования решений.</w:t>
      </w:r>
    </w:p>
    <w:p>
      <w:pPr>
        <w:spacing w:after="120"/>
        <w:jc w:val="both"/>
      </w:pPr>
      <w:r>
        <w:rPr>
          <w:rFonts w:ascii="Arial" w:cs="Arial" w:eastAsia="Arial" w:hAnsi="Arial"/>
          <w:sz w:val="24"/>
          <w:szCs w:val="24"/>
        </w:rPr>
        <w:t xml:space="preserve">Для повышения качества предоставляемых услуг таможенными органами и сокращения издержек участников ВЭД, связанных с таможенным оформлением и таможенным контролем, предусматривается:</w:t>
      </w:r>
    </w:p>
    <w:p>
      <w:pPr>
        <w:spacing w:after="120"/>
        <w:jc w:val="both"/>
      </w:pPr>
      <w:r>
        <w:rPr>
          <w:rFonts w:ascii="Arial" w:cs="Arial" w:eastAsia="Arial" w:hAnsi="Arial"/>
          <w:sz w:val="24"/>
          <w:szCs w:val="24"/>
        </w:rPr>
        <w:t xml:space="preserve">- увеличение пропускной способности пунктов пропуска через государственную границу, в частности, многостороннего пункта пропуска "Ак-жол автодорожный";</w:t>
      </w:r>
    </w:p>
    <w:p>
      <w:pPr>
        <w:spacing w:after="120"/>
        <w:jc w:val="both"/>
      </w:pPr>
      <w:r>
        <w:rPr>
          <w:rFonts w:ascii="Arial" w:cs="Arial" w:eastAsia="Arial" w:hAnsi="Arial"/>
          <w:sz w:val="24"/>
          <w:szCs w:val="24"/>
        </w:rPr>
        <w:t xml:space="preserve">- разделение пассажирского и грузового потока для сокращения времени при переходе границы;</w:t>
      </w:r>
    </w:p>
    <w:p>
      <w:pPr>
        <w:spacing w:after="120"/>
        <w:jc w:val="both"/>
      </w:pPr>
      <w:r>
        <w:rPr>
          <w:rFonts w:ascii="Arial" w:cs="Arial" w:eastAsia="Arial" w:hAnsi="Arial"/>
          <w:sz w:val="24"/>
          <w:szCs w:val="24"/>
        </w:rPr>
        <w:t xml:space="preserve">- установление максимального времени ожидания и проверки;</w:t>
      </w:r>
    </w:p>
    <w:p>
      <w:pPr>
        <w:spacing w:after="120"/>
        <w:jc w:val="both"/>
      </w:pPr>
      <w:r>
        <w:rPr>
          <w:rFonts w:ascii="Arial" w:cs="Arial" w:eastAsia="Arial" w:hAnsi="Arial"/>
          <w:sz w:val="24"/>
          <w:szCs w:val="24"/>
        </w:rPr>
        <w:t xml:space="preserve">- расширение практики информирования и консультирования участников ВЭД;</w:t>
      </w:r>
    </w:p>
    <w:p>
      <w:pPr>
        <w:spacing w:after="120"/>
        <w:jc w:val="both"/>
      </w:pPr>
      <w:r>
        <w:rPr>
          <w:rFonts w:ascii="Arial" w:cs="Arial" w:eastAsia="Arial" w:hAnsi="Arial"/>
          <w:sz w:val="24"/>
          <w:szCs w:val="24"/>
        </w:rPr>
        <w:t xml:space="preserve">- рассмотрение вопроса внедрения GPS системы (Global Positio№i№g System - глобальная система позиционирования) и полный отказ от таможенного сопровождения.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Бюджетная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2012 году будет полное и своевременное финансирование социальных гарантий государства, создание благоприятных условий для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Основными направлениями бюджетной политики на 2012 год являются:</w:t>
      </w:r>
    </w:p>
    <w:p>
      <w:pPr>
        <w:spacing w:after="120"/>
        <w:jc w:val="both"/>
      </w:pPr>
      <w:r>
        <w:rPr>
          <w:rFonts w:ascii="Arial" w:cs="Arial" w:eastAsia="Arial" w:hAnsi="Arial"/>
          <w:sz w:val="24"/>
          <w:szCs w:val="24"/>
        </w:rPr>
        <w:t xml:space="preserve">- повышение эффективности использования государственных ресурсов;</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уменьшение межрегиональной дифференциации уровня жизни населения;</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активизация инвестиционного процесса.</w:t>
      </w:r>
    </w:p>
    <w:p>
      <w:pPr>
        <w:spacing w:after="120"/>
        <w:jc w:val="both"/>
      </w:pPr>
      <w:r>
        <w:rPr>
          <w:rFonts w:ascii="Arial" w:cs="Arial" w:eastAsia="Arial" w:hAnsi="Arial"/>
          <w:sz w:val="24"/>
          <w:szCs w:val="24"/>
        </w:rPr>
        <w:t xml:space="preserve">В 2012 году будет продолжена работа по совершенствованию формата и процедур разработки Среднесрочного прогноза бюджета, определяющего бюджетную политику страны. Будет продолжено внедрение программного формата представления расходов, позволяющего повысить эффективность и прозрачность расходования бюджетных средств.</w:t>
      </w:r>
    </w:p>
    <w:p>
      <w:pPr>
        <w:spacing w:after="120"/>
        <w:jc w:val="both"/>
      </w:pPr>
      <w:r>
        <w:rPr>
          <w:rFonts w:ascii="Arial" w:cs="Arial" w:eastAsia="Arial" w:hAnsi="Arial"/>
          <w:sz w:val="24"/>
          <w:szCs w:val="24"/>
        </w:rPr>
        <w:t xml:space="preserve">В настоящее время сохраняется тенденция роста расходных обязательств государства, что приводит к увеличению бюджетного дефицита из года в год. Значительный бюджетный дефицит диктует необходимость его оптимизации, как путем улучшения традиционных механизмов, так и путем поиска альтернативных источников доходов. Это - увеличение бюджетных поступлений через привлечение дополнительных инвестиций в реальный сектор экономики, пересмотр налоговых льгот, упрощение налоговых процедур, улучшение всей системы управления.</w:t>
      </w:r>
    </w:p>
    <w:p>
      <w:pPr>
        <w:spacing w:after="120"/>
        <w:jc w:val="both"/>
      </w:pPr>
      <w:r>
        <w:rPr>
          <w:rFonts w:ascii="Arial" w:cs="Arial" w:eastAsia="Arial" w:hAnsi="Arial"/>
          <w:sz w:val="24"/>
          <w:szCs w:val="24"/>
        </w:rPr>
        <w:t xml:space="preserve">Политика по сокращению расходов будет направлена на сокращение количества лицензий и разрешений, на реформу контрольно-надзорной сферы, упорядочение в сфере государственных услуг и сокращение штатной численности государственных служащих.</w:t>
      </w:r>
    </w:p>
    <w:p>
      <w:pPr>
        <w:spacing w:after="120"/>
        <w:jc w:val="both"/>
      </w:pPr>
      <w:r>
        <w:rPr>
          <w:rFonts w:ascii="Arial" w:cs="Arial" w:eastAsia="Arial" w:hAnsi="Arial"/>
          <w:sz w:val="24"/>
          <w:szCs w:val="24"/>
        </w:rPr>
        <w:t xml:space="preserve">Для эффективного управления государственными финансами будет усовершенствован Среднесрочный план действий по реформированию системы управления государственными финансами Кыргызской Республики на 2009-2013 годы.</w:t>
      </w:r>
    </w:p>
    <w:p>
      <w:pPr>
        <w:spacing w:after="120"/>
        <w:jc w:val="both"/>
      </w:pPr>
      <w:r>
        <w:rPr>
          <w:rFonts w:ascii="Arial" w:cs="Arial" w:eastAsia="Arial" w:hAnsi="Arial"/>
          <w:sz w:val="24"/>
          <w:szCs w:val="24"/>
        </w:rPr>
        <w:t xml:space="preserve">В рамках реформирования системы управления государственными финансами будет разработан Бюджетный кодекс Кыргызской Республики, проведена работа по автоматизации бюджетного процесса и совершенствованию системы межбюджетных отношений.</w:t>
      </w:r>
    </w:p>
    <w:p>
      <w:pPr>
        <w:spacing w:after="120"/>
        <w:jc w:val="both"/>
      </w:pPr>
      <w:r>
        <w:rPr>
          <w:rFonts w:ascii="Arial" w:cs="Arial" w:eastAsia="Arial" w:hAnsi="Arial"/>
          <w:sz w:val="24"/>
          <w:szCs w:val="24"/>
        </w:rPr>
        <w:t xml:space="preserve">Реформа структуры неналоговых платежей будет направлена на оптимизацию государственных платных услуг и эффективное управление государственной собственностью и природными ресурсами.</w:t>
      </w:r>
    </w:p>
    <w:p>
      <w:pPr>
        <w:spacing w:after="120"/>
        <w:jc w:val="both"/>
      </w:pPr>
      <w:r>
        <w:rPr>
          <w:rFonts w:ascii="Arial" w:cs="Arial" w:eastAsia="Arial" w:hAnsi="Arial"/>
          <w:sz w:val="24"/>
          <w:szCs w:val="24"/>
        </w:rPr>
        <w:t xml:space="preserve">Будут принята специальная программа по улучшению администрирования со стороны налоговых и таможенных органов, а также выполнены все обязательства Правительства для обеспечения поступления грантов в бюджет по линии договоров с международными организациями. Доходы бюджета будут учитывать положения Меморандума с МВФ.</w:t>
      </w:r>
    </w:p>
    <w:p>
      <w:pPr>
        <w:spacing w:after="120"/>
        <w:jc w:val="both"/>
      </w:pPr>
      <w:r>
        <w:rPr>
          <w:rFonts w:ascii="Arial" w:cs="Arial" w:eastAsia="Arial" w:hAnsi="Arial"/>
          <w:sz w:val="24"/>
          <w:szCs w:val="24"/>
        </w:rPr>
        <w:t xml:space="preserve">В целях эффективного управления государственными финансами, помимо сокращения структуры государственного аппарата, будет введен механизм результативности бюджетных затрат, предполагающий планирование и использование бюджетных расходов под конкретные программы и проекты. Это позволит направить освободившиеся средства на развитие экономики, что в последующем приведет к росту поступления доходов.</w:t>
      </w:r>
    </w:p>
    <w:p>
      <w:pPr>
        <w:spacing w:after="120"/>
        <w:jc w:val="both"/>
      </w:pPr>
      <w:r>
        <w:rPr>
          <w:rFonts w:ascii="Arial" w:cs="Arial" w:eastAsia="Arial" w:hAnsi="Arial"/>
          <w:sz w:val="24"/>
          <w:szCs w:val="24"/>
        </w:rPr>
        <w:t xml:space="preserve">В рамках совершенствования бюджетной политики будут пересмотрены подходы к управлению государственным долгом. Для улучшения ситуации с внешним долгом в 2012 году будет разработана и принята новая Стратегия по управлению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Государственный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рамках новой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предполагается:</w:t>
      </w:r>
    </w:p>
    <w:p>
      <w:pPr>
        <w:spacing w:after="120"/>
        <w:jc w:val="both"/>
      </w:pPr>
      <w:r>
        <w:rPr>
          <w:rFonts w:ascii="Arial" w:cs="Arial" w:eastAsia="Arial" w:hAnsi="Arial"/>
          <w:sz w:val="24"/>
          <w:szCs w:val="24"/>
        </w:rPr>
        <w:t xml:space="preserve">- уменьшение бремени государственного внешнего долга;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рассмотрение возможности дальнейшей реструктуризации внешнего долга;</w:t>
      </w:r>
    </w:p>
    <w:p>
      <w:pPr>
        <w:spacing w:after="120"/>
        <w:jc w:val="both"/>
      </w:pPr>
      <w:r>
        <w:rPr>
          <w:rFonts w:ascii="Arial" w:cs="Arial" w:eastAsia="Arial" w:hAnsi="Arial"/>
          <w:sz w:val="24"/>
          <w:szCs w:val="24"/>
        </w:rPr>
        <w:t xml:space="preserve">- проведение конверсионных операций с двусторонними кредиторами;</w:t>
      </w:r>
    </w:p>
    <w:p>
      <w:pPr>
        <w:spacing w:after="120"/>
        <w:jc w:val="both"/>
      </w:pPr>
      <w:r>
        <w:rPr>
          <w:rFonts w:ascii="Arial" w:cs="Arial" w:eastAsia="Arial" w:hAnsi="Arial"/>
          <w:sz w:val="24"/>
          <w:szCs w:val="24"/>
        </w:rPr>
        <w:t xml:space="preserve">- привлечение льготных внешних кредитов с грант-элементом не менее 35% на эффективные и экономически обоснованные проекты;</w:t>
      </w:r>
    </w:p>
    <w:p>
      <w:pPr>
        <w:spacing w:after="120"/>
        <w:jc w:val="both"/>
      </w:pPr>
      <w:r>
        <w:rPr>
          <w:rFonts w:ascii="Arial" w:cs="Arial" w:eastAsia="Arial" w:hAnsi="Arial"/>
          <w:sz w:val="24"/>
          <w:szCs w:val="24"/>
        </w:rPr>
        <w:t xml:space="preserve">- расширение круга держателей государственных ценных бумаг посредством развития как первичного, так и вторичного рынка государственных ценных бумаг;</w:t>
      </w:r>
    </w:p>
    <w:p>
      <w:pPr>
        <w:spacing w:after="120"/>
        <w:jc w:val="both"/>
      </w:pPr>
      <w:r>
        <w:rPr>
          <w:rFonts w:ascii="Arial" w:cs="Arial" w:eastAsia="Arial" w:hAnsi="Arial"/>
          <w:sz w:val="24"/>
          <w:szCs w:val="24"/>
        </w:rPr>
        <w:t xml:space="preserve">- рост объема внутренних заимствований посредством выпуска и размещения государственных ценных бумаг;</w:t>
      </w:r>
    </w:p>
    <w:p>
      <w:pPr>
        <w:spacing w:after="120"/>
        <w:jc w:val="both"/>
      </w:pPr>
      <w:r>
        <w:rPr>
          <w:rFonts w:ascii="Arial" w:cs="Arial" w:eastAsia="Arial" w:hAnsi="Arial"/>
          <w:sz w:val="24"/>
          <w:szCs w:val="24"/>
        </w:rPr>
        <w:t xml:space="preserve">- внедрение практики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промышленном секторе(1) в 2012 году прогнозируется прирост на 7,6% с удельным весом 19,9% к ВВП. Без учета предприятий по разработке месторождения "Кумтор", рост промышленного производства прогнозируется на уровне 10,8% за счет устойчивой работы производств горнодобывающей и обрабатывающей отраслей.</w:t>
      </w:r>
    </w:p>
    <w:p>
      <w:pPr>
        <w:spacing w:after="120"/>
        <w:jc w:val="both"/>
      </w:pPr>
      <w:r>
        <w:rPr>
          <w:rFonts w:ascii="Arial" w:cs="Arial" w:eastAsia="Arial" w:hAnsi="Arial"/>
          <w:sz w:val="24"/>
          <w:szCs w:val="24"/>
        </w:rPr>
        <w:t xml:space="preserve">В обрабатывающей промышленности прогнозируется рост производства на 8,0%, за счет увеличения объемов производства пищевых продуктов, включая напитки и табак, на 6,8%, в текстильном и швейном производстве - на 7,8%, химическом производстве - на 29,7%, производстве прочих неметаллических минеральных продуктов - на 26,1%, металлургическом производстве - на 6,9%.</w:t>
      </w:r>
    </w:p>
    <w:p>
      <w:pPr>
        <w:spacing w:after="120"/>
        <w:jc w:val="both"/>
      </w:pPr>
      <w:r>
        <w:rPr>
          <w:rFonts w:ascii="Arial" w:cs="Arial" w:eastAsia="Arial" w:hAnsi="Arial"/>
          <w:sz w:val="24"/>
          <w:szCs w:val="24"/>
        </w:rPr>
        <w:t xml:space="preserve">Увеличение переработки сельскохозяйственной продукции прогнозируется за счет роста производства пищевых продуктов, включая напитки и табак, сахар, муку, растительное масло, а также за счет сокращения объемов теневой деятельности в алкогольной и табачной отраслях.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Прогнозные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акционерного общества ОАО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w:t>
      </w:r>
    </w:p>
    <w:p>
      <w:pPr>
        <w:spacing w:after="120"/>
        <w:jc w:val="both"/>
      </w:pPr>
      <w:r>
        <w:rPr>
          <w:rFonts w:ascii="Arial" w:cs="Arial" w:eastAsia="Arial" w:hAnsi="Arial"/>
          <w:sz w:val="24"/>
          <w:szCs w:val="24"/>
        </w:rPr>
        <w:t xml:space="preserve">В целях выполнения прогнозных показателей предусматривается продолжение реализации Стратегии развития текстильной и швейной промышленности на 2011-2013 годы, а также мер по расширению действующих и введению новых швейных производств, продвижение швейной продукции на международные рынки, создание благоприятных условий по увеличению экспорта.</w:t>
      </w:r>
    </w:p>
    <w:p>
      <w:pPr>
        <w:spacing w:after="120"/>
        <w:jc w:val="both"/>
      </w:pPr>
      <w:r>
        <w:rPr>
          <w:rFonts w:ascii="Arial" w:cs="Arial" w:eastAsia="Arial" w:hAnsi="Arial"/>
          <w:sz w:val="24"/>
          <w:szCs w:val="24"/>
        </w:rPr>
        <w:t xml:space="preserve">Увеличение объемов производства в химическом производстве прогнозируется за счет активизации деятельности закрытого акционерного общества (ЗАО) "Таш-Кумыр Солар" (ОАО "Кристалл") и стабилизации деятельности предприятий ОсОО "КХМЗ-Астра" и Хайдарканское ртутное АО.</w:t>
      </w:r>
    </w:p>
    <w:p>
      <w:pPr>
        <w:spacing w:after="120"/>
        <w:jc w:val="both"/>
      </w:pPr>
      <w:r>
        <w:rPr>
          <w:rFonts w:ascii="Arial" w:cs="Arial" w:eastAsia="Arial" w:hAnsi="Arial"/>
          <w:sz w:val="24"/>
          <w:szCs w:val="24"/>
        </w:rPr>
        <w:t xml:space="preserve">В производстве строительных материалов прогнозируемый существенный рост производства, в большей степени, будет обусловлен запуском стекольного завода ОсОО "Интергласс" в мае-июне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С целью оказания государственной поддержки ОсОО "Интергласс" Законом Кыргызской Республики от 9 июня 2011 года внесены изменения и дополнения в Налоговый кодекс Кыргызской Республики, в части отмены НДС на импорт оборудования для модернизации стекольного производства. Продолжится освоение новых видов строительной продукции, так например, в производстве пескоблока прогнозируется рост в 1,5 раза, добыче гипса - в 1,7 и изделий из него - в 3 раза.</w:t>
      </w:r>
    </w:p>
    <w:p>
      <w:pPr>
        <w:spacing w:after="120"/>
        <w:jc w:val="both"/>
      </w:pPr>
      <w:r>
        <w:rPr>
          <w:rFonts w:ascii="Arial" w:cs="Arial" w:eastAsia="Arial" w:hAnsi="Arial"/>
          <w:sz w:val="24"/>
          <w:szCs w:val="24"/>
        </w:rPr>
        <w:t xml:space="preserve">Рост в металлургическом производстве прогнозируется, в основном, за счет увеличения производства в золотодобывающей отрасли, где основную долю занимают предприятия, разрабатывающие месторождение "Кумтор", с реальным ростом на 5,0%. При этом работа предприятий ОАО "Кыргызалтын" прогнозируется с увеличением добычи золота на 20,0%. Кроме того, в металлургическом производстве увеличение добычи прогнозируется за счет освоения и добычи золота на месторождениях Иштамберды, Жамгыр, Бозымчак, Караказык.</w:t>
      </w:r>
    </w:p>
    <w:p>
      <w:pPr>
        <w:spacing w:after="120"/>
        <w:jc w:val="both"/>
      </w:pPr>
      <w:r>
        <w:rPr>
          <w:rFonts w:ascii="Arial" w:cs="Arial" w:eastAsia="Arial" w:hAnsi="Arial"/>
          <w:sz w:val="24"/>
          <w:szCs w:val="24"/>
        </w:rPr>
        <w:t xml:space="preserve">В горнодобывающей промышленности прогнозируется, что темп реального роста производства на 7,8% будет достигнут за счет: а) увеличения добычи угля, лигнита и торфа в 1,2 раза; б) увеличения добычи нефти на 4,7% через технологическое обновление оборудования по добыче нефти и более полную загрузку нефтеперерабатывающих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 будет оставаться приоритетным, поскольку в этом секторе занята одна треть численности населения и 65% населения страны проживает в сельской местности. Темп реального прироста в 2012 году прогнозируется на уровне 3,5%, за счет прироста в растениеводстве на 4,9% и животноводстве - на 2,0%.</w:t>
      </w:r>
    </w:p>
    <w:p>
      <w:pPr>
        <w:spacing w:after="120"/>
        <w:jc w:val="both"/>
      </w:pPr>
      <w:r>
        <w:rPr>
          <w:rFonts w:ascii="Arial" w:cs="Arial" w:eastAsia="Arial" w:hAnsi="Arial"/>
          <w:sz w:val="24"/>
          <w:szCs w:val="24"/>
        </w:rPr>
        <w:t xml:space="preserve">В 2012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повышения доступа к кредитным ресурсам, улучшения сортов семян, обновления машинно-тракторного парка.</w:t>
      </w:r>
    </w:p>
    <w:p>
      <w:pPr>
        <w:spacing w:after="120"/>
        <w:jc w:val="both"/>
      </w:pPr>
      <w:r>
        <w:rPr>
          <w:rFonts w:ascii="Arial" w:cs="Arial" w:eastAsia="Arial" w:hAnsi="Arial"/>
          <w:sz w:val="24"/>
          <w:szCs w:val="24"/>
        </w:rPr>
        <w:t xml:space="preserve">Реальный прирост в животноводстве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В региональном разрезе наибольший вклад в производство сельхозпродукции планируется от деятельности Чуйской, Иссык-Кульской, Джалал-Абадской и Ошской областей, суммарная доля которых составит 75,2% от валового выпуска сельскохозяйственной продукции. Риском в данном секторе будет рост цен на топливо и ГСМ, а также дефицит минеральных удобрений и природно-климатический фактор.</w:t>
      </w:r>
    </w:p>
    <w:p>
      <w:pPr>
        <w:spacing w:after="120"/>
        <w:jc w:val="both"/>
      </w:pPr>
      <w:r>
        <w:rPr>
          <w:rFonts w:ascii="Arial" w:cs="Arial" w:eastAsia="Arial" w:hAnsi="Arial"/>
          <w:sz w:val="24"/>
          <w:szCs w:val="24"/>
        </w:rPr>
        <w:t xml:space="preserve">В реализации намеченных мер значительная поддержка будет оказана в рамках реализуемых проектов программ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и др.</w:t>
      </w:r>
    </w:p>
    <w:p>
      <w:pPr>
        <w:spacing w:after="120"/>
        <w:jc w:val="both"/>
      </w:pPr>
      <w:r>
        <w:rPr>
          <w:rFonts w:ascii="Arial" w:cs="Arial" w:eastAsia="Arial" w:hAnsi="Arial"/>
          <w:sz w:val="24"/>
          <w:szCs w:val="24"/>
        </w:rPr>
        <w:t xml:space="preserve">Кроме того, прирост в сельском хозяйстве ожидается с учетом запланированного предоставления льготных кредитов сельскохозяйственным производителям в размере 1 млрд. сомов по проекту "Доступные кредиты фермерам-2", разработанному в целях оказания государственной помощи отечественным производителям на весенне-полевые работы в 2012 году и развитие животноводства в 2012-2013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 реального роста в строительном секторе в 2012 году прогнозируется на уровне 124,6%. Расходы на капитальные вложения планируется направить на строительство и реконструкцию объектов социально-экономического значения (в сфере образования, здравоохранения, культуры и спорта, жилищного строительства), на строительство и реконструкцию автодорог в республике. Средства, предусмотренные на восстановление и развитие городов Ош и Джалал-Абад, будут направлены на продолжение работ по восстановлению и развитию жилья, социальной и инженерной инфраструктуры городов.</w:t>
      </w:r>
    </w:p>
    <w:p>
      <w:pPr>
        <w:spacing w:after="120"/>
        <w:jc w:val="both"/>
      </w:pPr>
      <w:r>
        <w:rPr>
          <w:rFonts w:ascii="Arial" w:cs="Arial" w:eastAsia="Arial" w:hAnsi="Arial"/>
          <w:sz w:val="24"/>
          <w:szCs w:val="24"/>
        </w:rPr>
        <w:t xml:space="preserve">В первую очередь расходы будут направлены:</w:t>
      </w:r>
    </w:p>
    <w:p>
      <w:pPr>
        <w:spacing w:after="120"/>
        <w:jc w:val="both"/>
      </w:pPr>
      <w:r>
        <w:rPr>
          <w:rFonts w:ascii="Arial" w:cs="Arial" w:eastAsia="Arial" w:hAnsi="Arial"/>
          <w:sz w:val="24"/>
          <w:szCs w:val="24"/>
        </w:rPr>
        <w:t xml:space="preserve">- на незавершенные строительством объекты, финансируемые из республиканского бюджета и подлежащие завершению строительства в планируемом году;</w:t>
      </w:r>
    </w:p>
    <w:p>
      <w:pPr>
        <w:spacing w:after="120"/>
        <w:jc w:val="both"/>
      </w:pPr>
      <w:r>
        <w:rPr>
          <w:rFonts w:ascii="Arial" w:cs="Arial" w:eastAsia="Arial" w:hAnsi="Arial"/>
          <w:sz w:val="24"/>
          <w:szCs w:val="24"/>
        </w:rPr>
        <w:t xml:space="preserve">- на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на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 на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на стройки и объекты, для которых заказчиком обеспечивается привлечение иных дополнительных источников финансирования.</w:t>
      </w:r>
    </w:p>
    <w:p>
      <w:pPr>
        <w:spacing w:after="120"/>
        <w:jc w:val="both"/>
      </w:pPr>
      <w:r>
        <w:rPr>
          <w:rFonts w:ascii="Arial" w:cs="Arial" w:eastAsia="Arial" w:hAnsi="Arial"/>
          <w:sz w:val="24"/>
          <w:szCs w:val="24"/>
        </w:rPr>
        <w:t xml:space="preserve">В 2012 году предполагается увеличение объемов капитальных вложений до 63,6 млрд. сомов или реальный прирост на 23,4% по сравнению с 2011 годом. В данный период основной вклад в строительство внесут следующие крупные инвестиционные проекты: строительство подстанции 500 кВ "Датка", ВЛ 220 кВ и реконструкция существующих объектов 220 кВ юга республики, строительство объектов золотодобычи на месторождениях Иштамберды, Жамгыр. Планируется начать реализацию проектов по строительству ВЛ 500 кВ "Датка-Кемин", Верхне-нарынского каскада ГЭС. Будут продолжены работы по реализации ВЛ 500 кВ "Датка-Худжент" (проект CASA-1000) и строительство Камбаратинской ГЭС-1.</w:t>
      </w:r>
    </w:p>
    <w:p>
      <w:pPr>
        <w:spacing w:after="120"/>
        <w:jc w:val="both"/>
      </w:pPr>
      <w:r>
        <w:rPr>
          <w:rFonts w:ascii="Arial" w:cs="Arial" w:eastAsia="Arial" w:hAnsi="Arial"/>
          <w:sz w:val="24"/>
          <w:szCs w:val="24"/>
        </w:rPr>
        <w:t xml:space="preserve">В региональном развитии прогнозируется поступательный тренд роста инвестиций в основной капитал. Основной вклад в данный сектор прогнозируется со стороны Джалал-Абадской, Иссык-Кульской, Ошской областей и городов Бишкек и Ош, суммарная доля которых в инвестициях в основной капитал составит 84,8%. Негативным фактором для строительного сектора остается снижение поступления инвестиций в строительство из-за снижения доверия со стороны зарубежных инвесторов.</w:t>
      </w:r>
    </w:p>
    <w:p>
      <w:pPr>
        <w:spacing w:after="120"/>
        <w:jc w:val="both"/>
      </w:pPr>
      <w:r>
        <w:rPr>
          <w:rFonts w:ascii="Arial" w:cs="Arial" w:eastAsia="Arial" w:hAnsi="Arial"/>
          <w:sz w:val="24"/>
          <w:szCs w:val="24"/>
        </w:rPr>
        <w:t xml:space="preserve">Приоритетом является увеличение вложений в ремонт существующих дорог и дорожных коммуникаций, поэтому в 2012 году ожидается продолжение реконструкции автомобильных дорог "Тараз-Талас-Суусамыр", "Бишкек-Нарын-Торугарт", "Ош-Исфана", "Ош-Сарыташ-Иркештам", "Тюп-Кеген", "Южного транспортного коридора",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в сфере услуг будет сохраняться устойчивая тенденция к росту, через: а) дальнейшее совершенствование нормативной правовой базы, регулирующей сферу предпринимательства; б) расширение сектора услуг в результате роста новых, быстрорастущих услуг, включая телекоммуникационные, и туризм.</w:t>
      </w:r>
    </w:p>
    <w:p>
      <w:pPr>
        <w:spacing w:after="120"/>
        <w:jc w:val="both"/>
      </w:pPr>
      <w:r>
        <w:rPr>
          <w:rFonts w:ascii="Arial" w:cs="Arial" w:eastAsia="Arial" w:hAnsi="Arial"/>
          <w:sz w:val="24"/>
          <w:szCs w:val="24"/>
        </w:rPr>
        <w:t xml:space="preserve">Рост валового выпуска в сфере услуг будет достигнут, в основном, за счет роста рыночных услуг: торговли, транспорта и связи, услуг гостиниц и ресторанов. Спрос на услуги будет поддерживаться ростом денежных доходов населения.</w:t>
      </w:r>
    </w:p>
    <w:p>
      <w:pPr>
        <w:spacing w:after="120"/>
        <w:jc w:val="both"/>
      </w:pPr>
      <w:r>
        <w:rPr>
          <w:rFonts w:ascii="Arial" w:cs="Arial" w:eastAsia="Arial" w:hAnsi="Arial"/>
          <w:sz w:val="24"/>
          <w:szCs w:val="24"/>
        </w:rPr>
        <w:t xml:space="preserve">Политика в области внутренней торговли будет направлена на обеспечение доступности потребительского рынка для населения, восстановление финансового контроля за товарооборотом, развитие сети крупных розничных торговых предприятий и преобразование отрасли в современную индустрию сервиса.</w:t>
      </w:r>
    </w:p>
    <w:p>
      <w:pPr>
        <w:spacing w:after="120"/>
        <w:jc w:val="both"/>
      </w:pPr>
      <w:r>
        <w:rPr>
          <w:rFonts w:ascii="Arial" w:cs="Arial" w:eastAsia="Arial" w:hAnsi="Arial"/>
          <w:sz w:val="24"/>
          <w:szCs w:val="24"/>
        </w:rPr>
        <w:t xml:space="preserve">Для достижения ускоренного экономического развития намечается совершенствование транспортной инфраструктуры и интеграция ее в международную транспортную сеть.</w:t>
      </w:r>
    </w:p>
    <w:p>
      <w:pPr>
        <w:spacing w:after="120"/>
        <w:jc w:val="both"/>
      </w:pPr>
      <w:r>
        <w:rPr>
          <w:rFonts w:ascii="Arial" w:cs="Arial" w:eastAsia="Arial" w:hAnsi="Arial"/>
          <w:sz w:val="24"/>
          <w:szCs w:val="24"/>
        </w:rPr>
        <w:t xml:space="preserve">Продолжится динамичное развитие услуг почтовой и электрической связи на базе создания высокотехнологической телекоммуникационной системы, обеспечивающей широкий спектр услуг, способствующей интеграции республики в мировое информационное пространство.</w:t>
      </w:r>
    </w:p>
    <w:p>
      <w:pPr>
        <w:spacing w:after="120"/>
        <w:jc w:val="both"/>
      </w:pPr>
      <w:r>
        <w:rPr>
          <w:rFonts w:ascii="Arial" w:cs="Arial" w:eastAsia="Arial" w:hAnsi="Arial"/>
          <w:sz w:val="24"/>
          <w:szCs w:val="24"/>
        </w:rPr>
        <w:t xml:space="preserve">Дальнейшему росту сферы услуг будет способствовать развитие туризма, который имеет большой потенциал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бизнес-среды и инвестиционного климата ставятся цели создания благоприятных условий для ведения предпринимательской деятельности, повышения инвестиционной привлекательности страны и обеспечения роста прямых иностранных инвестиций в ближайшие три года более чем в 1,5 раза.</w:t>
      </w:r>
    </w:p>
    <w:p>
      <w:pPr>
        <w:spacing w:after="120"/>
        <w:jc w:val="both"/>
      </w:pPr>
      <w:r>
        <w:rPr>
          <w:rFonts w:ascii="Arial" w:cs="Arial" w:eastAsia="Arial" w:hAnsi="Arial"/>
          <w:sz w:val="24"/>
          <w:szCs w:val="24"/>
        </w:rPr>
        <w:t xml:space="preserve">В этой связи проводятся мероприятия по дерегулированию экономики, исключению необоснованных вмешательств государственных органов в деятельность субъектов предпринимательства, устраняются административные препятствия и ограничения в сфере инвестиционной и иной предпринимательской деятельности, внедряются новые подходы к регулированию рыночных отношений.</w:t>
      </w:r>
    </w:p>
    <w:p>
      <w:pPr>
        <w:spacing w:after="120"/>
        <w:jc w:val="both"/>
      </w:pPr>
      <w:r>
        <w:rPr>
          <w:rFonts w:ascii="Arial" w:cs="Arial" w:eastAsia="Arial" w:hAnsi="Arial"/>
          <w:sz w:val="24"/>
          <w:szCs w:val="24"/>
        </w:rPr>
        <w:t xml:space="preserve">В целях улучшения инвестиционного климата страны разработан пакет нормативных правовых актов, направленных на упрощение разрешительной системы в сфере строительства.</w:t>
      </w:r>
    </w:p>
    <w:p>
      <w:pPr>
        <w:spacing w:after="120"/>
        <w:jc w:val="both"/>
      </w:pPr>
      <w:r>
        <w:rPr>
          <w:rFonts w:ascii="Arial" w:cs="Arial" w:eastAsia="Arial" w:hAnsi="Arial"/>
          <w:sz w:val="24"/>
          <w:szCs w:val="24"/>
        </w:rPr>
        <w:t xml:space="preserve">Еще одним эффективным средством привлечения инвестиций и реализации социально значимых проектов призвано стать государственно-частное партнерство. Механизмы государственно-частного партнерства направлены на создание качественно новой системы отношений между бизнесом и государством, в которой существуют возможности для более эффективного использования потенциала бизнеса и государства при решении социальных и инфраструктурных задач.</w:t>
      </w:r>
    </w:p>
    <w:p>
      <w:pPr>
        <w:spacing w:after="120"/>
        <w:jc w:val="both"/>
      </w:pPr>
      <w:r>
        <w:rPr>
          <w:rFonts w:ascii="Arial" w:cs="Arial" w:eastAsia="Arial" w:hAnsi="Arial"/>
          <w:sz w:val="24"/>
          <w:szCs w:val="24"/>
        </w:rPr>
        <w:t xml:space="preserve">Инвестиционная политика Кыргызской Республики, как и в предыдущие годы, будет направлена на сокращение иностранных заимствований, привлекаемых под гарантию Правительства (ПГИ), а также стимулирование притока внешних инвестиций в экономику страны на грантовой основе и частных инвестиций, за счет мер, направленных на улучшение инвестиционной привлекательности страны.</w:t>
      </w:r>
    </w:p>
    <w:p>
      <w:pPr>
        <w:spacing w:after="120"/>
        <w:jc w:val="both"/>
      </w:pPr>
      <w:r>
        <w:rPr>
          <w:rFonts w:ascii="Arial" w:cs="Arial" w:eastAsia="Arial" w:hAnsi="Arial"/>
          <w:sz w:val="24"/>
          <w:szCs w:val="24"/>
        </w:rPr>
        <w:t xml:space="preserve">Предстоит дальнейшая либерализация экономики страны для инвесторов, в связи с чем Кыргызская Республика будет проводить политику "открытых дверей" в области привлечения прямых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создание базовых условий для устойчивого социально-экономического развития страны в среднесрочной перспективе.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w:t>
      </w:r>
    </w:p>
    <w:p>
      <w:pPr>
        <w:spacing w:after="120"/>
        <w:jc w:val="both"/>
      </w:pPr>
      <w:r>
        <w:rPr>
          <w:rFonts w:ascii="Arial" w:cs="Arial" w:eastAsia="Arial" w:hAnsi="Arial"/>
          <w:sz w:val="24"/>
          <w:szCs w:val="24"/>
        </w:rPr>
        <w:t xml:space="preserve">Политика социального развития в 2012 году, помимо сохранения социальных гарантий в полном объеме, поддержки уязвимых категорий населения, нуждающихся в государственной поддержке, будет направлена:</w:t>
      </w:r>
    </w:p>
    <w:p>
      <w:pPr>
        <w:spacing w:after="120"/>
        <w:jc w:val="both"/>
      </w:pPr>
      <w:r>
        <w:rPr>
          <w:rFonts w:ascii="Arial" w:cs="Arial" w:eastAsia="Arial" w:hAnsi="Arial"/>
          <w:sz w:val="24"/>
          <w:szCs w:val="24"/>
        </w:rPr>
        <w:t xml:space="preserve">- на повышение эффективности предоставления социальных услуг. В этом направлении предусматриваются совершенствование нормативной правовой базы, обеспечивающей предоставление качественных социальных услуг, а также развитие спектра социальных услуг, в том числе на местном уровне. Для обеспечения качества социальных услуг и их развития будет создан институт социального работника, который поможет повысить статус и потенциал социальных работников, предоставляющих данные услуги на местах. Также, в целях повышения потенциала неправительственного сектора и обеспечения его взаимодействия с государственными органами и органами местного самоуправления будут развиваться механизмы закупки социальных услуг через государственный социальный заказ;</w:t>
      </w:r>
    </w:p>
    <w:p>
      <w:pPr>
        <w:spacing w:after="120"/>
        <w:jc w:val="both"/>
      </w:pPr>
      <w:r>
        <w:rPr>
          <w:rFonts w:ascii="Arial" w:cs="Arial" w:eastAsia="Arial" w:hAnsi="Arial"/>
          <w:sz w:val="24"/>
          <w:szCs w:val="24"/>
        </w:rPr>
        <w:t xml:space="preserve">- на укрепление финансовой устойчивости пенсионной системы, сокращение безработицы и миграционного оттока населения через усиление активных мер на рынке труда.</w:t>
      </w:r>
    </w:p>
    <w:p>
      <w:pPr>
        <w:spacing w:after="120"/>
        <w:jc w:val="both"/>
      </w:pPr>
      <w:r>
        <w:rPr>
          <w:rFonts w:ascii="Arial" w:cs="Arial" w:eastAsia="Arial" w:hAnsi="Arial"/>
          <w:sz w:val="24"/>
          <w:szCs w:val="24"/>
        </w:rPr>
        <w:t xml:space="preserve">Основные шаги в социальной сфере в 2012 году будут направлены на повышение уровня жизни населения и улучшение положения социально уязвимых граждан; упорядочение выплаты и увеличение размеров пособий на детей; исключение из числа получателей пособий обеспеченных семей и увеличение размеров пособий в результате ежегодного повышения размера гарантированного минимального дохода.</w:t>
      </w:r>
    </w:p>
    <w:p>
      <w:pPr>
        <w:spacing w:after="120"/>
        <w:jc w:val="both"/>
      </w:pPr>
      <w:r>
        <w:rPr>
          <w:rFonts w:ascii="Arial" w:cs="Arial" w:eastAsia="Arial" w:hAnsi="Arial"/>
          <w:sz w:val="24"/>
          <w:szCs w:val="24"/>
        </w:rPr>
        <w:t xml:space="preserve">Наряду с повышением размеров пенсий, основными задачами в области социального страхования останется вопрос своевременного финансирования пенсий и иных социальных выплат, выполнение плана страховых сборов по государственному социальному страхованию.</w:t>
      </w:r>
    </w:p>
    <w:p>
      <w:pPr>
        <w:spacing w:after="120"/>
        <w:jc w:val="both"/>
      </w:pPr>
      <w:r>
        <w:rPr>
          <w:rFonts w:ascii="Arial" w:cs="Arial" w:eastAsia="Arial" w:hAnsi="Arial"/>
          <w:sz w:val="24"/>
          <w:szCs w:val="24"/>
        </w:rPr>
        <w:t xml:space="preserve">В целях снижения напряженности на рынке труда будут проведены активные меры по снижению уровня безработицы, в числе которых: профессиональное обучение, повышение квалификации и переобучение безработных граждан; организация оплачиваемых общественных работ; помощь предпринимательской инициативе и поддержка самостоятельной занятости безработных путем предоставления микрокредитов.</w:t>
      </w:r>
    </w:p>
    <w:p>
      <w:pPr>
        <w:spacing w:after="120"/>
        <w:jc w:val="both"/>
      </w:pPr>
      <w:r>
        <w:rPr>
          <w:rFonts w:ascii="Arial" w:cs="Arial" w:eastAsia="Arial" w:hAnsi="Arial"/>
          <w:sz w:val="24"/>
          <w:szCs w:val="24"/>
        </w:rPr>
        <w:t xml:space="preserve">В здравоохранении будут решены проблемы реальной доступности медицинских услуг. В целях качественного и эффективного предоставления медицинских услуг предлагается внедрить частное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Изменения в сфере образования будут нацелены на реформу школьного образования, изменение системы финансирования и управления образованием, модернизацию системы оценивания достижений учащихся, создание системы мотивации учителей и школ. Государственная поддержка будет также направлена на обеспечение доступа к образованию способной молодежи из отдаленных районов.</w:t>
      </w:r>
    </w:p>
    <w:p>
      <w:pPr>
        <w:spacing w:after="120"/>
        <w:jc w:val="both"/>
      </w:pPr>
      <w:r>
        <w:rPr>
          <w:rFonts w:ascii="Arial" w:cs="Arial" w:eastAsia="Arial" w:hAnsi="Arial"/>
          <w:sz w:val="24"/>
          <w:szCs w:val="24"/>
        </w:rPr>
        <w:t xml:space="preserve">Основополагающим принципом будет дальнейшее распространение механизма подушевого финансирования в школах Ошской и Таласской областей.</w:t>
      </w:r>
    </w:p>
    <w:p>
      <w:pPr>
        <w:spacing w:after="120"/>
        <w:jc w:val="both"/>
      </w:pPr>
      <w:r>
        <w:rPr>
          <w:rFonts w:ascii="Arial" w:cs="Arial" w:eastAsia="Arial" w:hAnsi="Arial"/>
          <w:sz w:val="24"/>
          <w:szCs w:val="24"/>
        </w:rPr>
        <w:t xml:space="preserve">Для эффективного регулирования миграционных процессов и обеспечения социальной защищенности трудовых мигрантов будет внедрена система временной контрактной занятости мигрирующих работников за границей, как средство расширения, создания, или приобретения навыков, которые затем будут востребованы на национальном рынке труда.</w:t>
      </w:r>
    </w:p>
    <w:p>
      <w:pPr>
        <w:spacing w:after="120"/>
        <w:jc w:val="both"/>
      </w:pPr>
      <w:r>
        <w:rPr>
          <w:rFonts w:ascii="Arial" w:cs="Arial" w:eastAsia="Arial" w:hAnsi="Arial"/>
          <w:sz w:val="24"/>
          <w:szCs w:val="24"/>
        </w:rPr>
        <w:t xml:space="preserve">Для улучшения положения социально незащищенных групп населения республики будут проведены следующие мероприятия:</w:t>
      </w:r>
    </w:p>
    <w:p>
      <w:pPr>
        <w:spacing w:after="120"/>
        <w:jc w:val="both"/>
      </w:pPr>
      <w:r>
        <w:rPr>
          <w:rFonts w:ascii="Arial" w:cs="Arial" w:eastAsia="Arial" w:hAnsi="Arial"/>
          <w:sz w:val="24"/>
          <w:szCs w:val="24"/>
        </w:rPr>
        <w:t xml:space="preserve">- своевременное и полное финансирование социальных гарантий государства;</w:t>
      </w:r>
    </w:p>
    <w:p>
      <w:pPr>
        <w:spacing w:after="120"/>
        <w:jc w:val="both"/>
      </w:pPr>
      <w:r>
        <w:rPr>
          <w:rFonts w:ascii="Arial" w:cs="Arial" w:eastAsia="Arial" w:hAnsi="Arial"/>
          <w:sz w:val="24"/>
          <w:szCs w:val="24"/>
        </w:rPr>
        <w:t xml:space="preserve">- совершенствование методологии определения нуждаемости населения в государственной поддержке;</w:t>
      </w:r>
    </w:p>
    <w:p>
      <w:pPr>
        <w:spacing w:after="120"/>
        <w:jc w:val="both"/>
      </w:pPr>
      <w:r>
        <w:rPr>
          <w:rFonts w:ascii="Arial" w:cs="Arial" w:eastAsia="Arial" w:hAnsi="Arial"/>
          <w:sz w:val="24"/>
          <w:szCs w:val="24"/>
        </w:rPr>
        <w:t xml:space="preserve">- обеспечение финансовой устойчивости пенсионной системы, повышение среднего размера пенсий.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целей обеспечения устойчивого экономического роста в среднем на 7,5% предполагает, что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Реальные вклады промышленного производства и сельского хозяйства будут умеренными.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Правительством и Национальным банком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Правительство и Национальный банк будут проводить согласованную денежно-кредитную и бюджетно-налоговую политику, направленную на удержание уровня инфляции в 2012 году не выше 9%. Достижение равновесия между потребностями экономики в ликвидности и необходимостью сдерживания инфляции станет одним из ключевых направлений денежно-кредитной политики.</w:t>
      </w:r>
    </w:p>
    <w:p>
      <w:pPr>
        <w:spacing w:after="120"/>
        <w:jc w:val="both"/>
      </w:pPr>
      <w:r>
        <w:rPr>
          <w:rFonts w:ascii="Arial" w:cs="Arial" w:eastAsia="Arial" w:hAnsi="Arial"/>
          <w:sz w:val="24"/>
          <w:szCs w:val="24"/>
        </w:rPr>
        <w:t xml:space="preserve">Для достижения вышеуказанных макроэкономических показателей будут реализованы меры, основные принципы которых изложены в программе Правительства "Стабильность и достойная жизнь". Главным фактором для роста доходов страны, сокращения внешнего долга и преодоления дефицита государственного бюджета является экономическая база Кыргызской Республики, для чего предусматривается:</w:t>
      </w:r>
    </w:p>
    <w:p>
      <w:pPr>
        <w:spacing w:after="120"/>
        <w:jc w:val="both"/>
      </w:pPr>
      <w:r>
        <w:rPr>
          <w:rFonts w:ascii="Arial" w:cs="Arial" w:eastAsia="Arial" w:hAnsi="Arial"/>
          <w:sz w:val="24"/>
          <w:szCs w:val="24"/>
        </w:rPr>
        <w:t xml:space="preserve">- развитие экономики через реализацию крупных национальных проектов;</w:t>
      </w:r>
    </w:p>
    <w:p>
      <w:pPr>
        <w:spacing w:after="120"/>
        <w:jc w:val="both"/>
      </w:pPr>
      <w:r>
        <w:rPr>
          <w:rFonts w:ascii="Arial" w:cs="Arial" w:eastAsia="Arial" w:hAnsi="Arial"/>
          <w:sz w:val="24"/>
          <w:szCs w:val="24"/>
        </w:rPr>
        <w:t xml:space="preserve">- эффективное управление государственными активами страны;</w:t>
      </w:r>
    </w:p>
    <w:p>
      <w:pPr>
        <w:spacing w:after="120"/>
        <w:jc w:val="both"/>
      </w:pPr>
      <w:r>
        <w:rPr>
          <w:rFonts w:ascii="Arial" w:cs="Arial" w:eastAsia="Arial" w:hAnsi="Arial"/>
          <w:sz w:val="24"/>
          <w:szCs w:val="24"/>
        </w:rPr>
        <w:t xml:space="preserve">-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30i-w1atiz5slgq-nwf">
      <w:r>
        <w:rPr>
          <w:rFonts w:ascii="Arial" w:cs="Arial" w:eastAsia="Arial" w:hAnsi="Arial"/>
          <w:color w:val="132D3F"/>
          <w:sz w:val="16"/>
          <w:szCs w:val="16"/>
          <w:u w:val="single"/>
        </w:rPr>
        <w:t xml:space="preserve">dalil.kg/document/93623</w:t>
      </w:r>
    </w:hyperlink>
  </w:p>
  <w:p>
    <w:pPr>
      <w:spacing w:after="0" w:before="40"/>
      <w:jc w:val="center"/>
    </w:pPr>
    <w:hyperlink w:history="1" r:id="rIdq6awocwvj6drr2vuek-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9fa1z1wzzoqvc4vmtlp_" Type="http://schemas.openxmlformats.org/officeDocument/2006/relationships/hyperlink" Target="https://dalil.kg/document/160675" TargetMode="External"/><Relationship Id="rIdgyz3t6nqcl3gcib28qvxl" Type="http://schemas.openxmlformats.org/officeDocument/2006/relationships/hyperlink" Target="https://dalil.kg/document/93425" TargetMode="External"/><Relationship Id="rIdieyapg3nvew913w_gsejm" Type="http://schemas.openxmlformats.org/officeDocument/2006/relationships/hyperlink" Target="https://dalil.kg/document/92454" TargetMode="External"/><Relationship Id="rId96hneqptavn21qdsak2w4" Type="http://schemas.openxmlformats.org/officeDocument/2006/relationships/hyperlink" Target="https://dalil.kg/document/95246" TargetMode="External"/><Relationship Id="rIdomtz5oeggwofbaptivp4e" Type="http://schemas.openxmlformats.org/officeDocument/2006/relationships/hyperlink" Target="https://dalil.kg/document/9524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30i-w1atiz5slgq-nwf" Type="http://schemas.openxmlformats.org/officeDocument/2006/relationships/hyperlink" Target="https://dalil.kg/document/93623" TargetMode="External"/><Relationship Id="rIdq6awocwvj6drr2vuek-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2026-09-24T10:28:17.603Z</dcterms:created>
  <dcterms:modified xsi:type="dcterms:W3CDTF">2026-09-24T10:28:17.603Z</dcterms:modified>
</cp:coreProperties>
</file>

<file path=docProps/custom.xml><?xml version="1.0" encoding="utf-8"?>
<Properties xmlns="http://schemas.openxmlformats.org/officeDocument/2006/custom-properties" xmlns:vt="http://schemas.openxmlformats.org/officeDocument/2006/docPropsVTypes"/>
</file>