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p9zr9omwll2obsuvih-z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 августа 2012 года № 534</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дополнительных мерах государственной поддержки семей, имеющих детей"</w:t>
      </w:r>
    </w:p>
    <w:p>
      <w:pPr>
        <w:spacing w:after="120"/>
        <w:jc w:val="both"/>
      </w:pPr>
      <w:r>
        <w:rPr>
          <w:rFonts w:ascii="Arial" w:cs="Arial" w:eastAsia="Arial" w:hAnsi="Arial"/>
          <w:sz w:val="24"/>
          <w:szCs w:val="24"/>
        </w:rPr>
        <w:t xml:space="preserve">В соответствии со статьей 80 </w:t>
      </w:r>
      <w:hyperlink w:history="1" r:id="rIdbsaa0ktozat7lviqhlck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31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Одобрить прилагаемое заключение Правительства Кыргызской Республики на проект Закона Кыргызской Республики "О дополнительных мерах государственной поддержки семей, имеющих детей", инициированный депутатом Жогорку Кенеша Кыргызской Республики Алтыбаевой А.Т.</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дополнительных мерах</w:t>
      </w:r>
    </w:p>
    <w:p>
      <w:pPr>
        <w:spacing w:after="120"/>
        <w:jc w:val="both"/>
      </w:pPr>
      <w:r>
        <w:rPr>
          <w:rFonts w:ascii="Arial" w:cs="Arial" w:eastAsia="Arial" w:hAnsi="Arial"/>
          <w:sz w:val="24"/>
          <w:szCs w:val="24"/>
        </w:rPr>
        <w:t xml:space="preserve">государственной поддержки семей, имеющих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80 Конституции Кыргызской Республики, статьей 31 конституционного Закона Кыргызской Республики "О Правительстве Кыргызской Республики" Правительство Кыргызской Республики, рассмотрев проект Закона Кыргызской Республики "О дополнительных мерах государственной поддержки семей, имеющих детей", инициированный депутатом Жогорку Кенеша Кыргызской Республики Алтыбаевой А.Т., приходит к следующему заключению.</w:t>
      </w:r>
    </w:p>
    <w:p>
      <w:pPr>
        <w:spacing w:after="120"/>
        <w:jc w:val="both"/>
      </w:pPr>
      <w:r>
        <w:rPr>
          <w:rFonts w:ascii="Arial" w:cs="Arial" w:eastAsia="Arial" w:hAnsi="Arial"/>
          <w:sz w:val="24"/>
          <w:szCs w:val="24"/>
        </w:rPr>
        <w:t xml:space="preserve">Законопроект направлен на предоставление дополнительных мер государственной поддержки гражданам, родившим, усыновившим третьего, четвертого и последующих детей, с предоставлением государственного сертификата на материнский капитал. Размер материнского капитала установлен в размере 300000 сомов, которым предполагается распорядиться в целях улучшения жилищных условий, получения образования ребенком, формирования накопительной части трудовой пенсии для женщин.</w:t>
      </w:r>
    </w:p>
    <w:p>
      <w:pPr>
        <w:spacing w:after="120"/>
        <w:jc w:val="both"/>
      </w:pPr>
      <w:r>
        <w:rPr>
          <w:rFonts w:ascii="Arial" w:cs="Arial" w:eastAsia="Arial" w:hAnsi="Arial"/>
          <w:sz w:val="24"/>
          <w:szCs w:val="24"/>
        </w:rPr>
        <w:t xml:space="preserve">В соответствии с положениями статьи 6 Конституции Кыргызской Республики, в части 1 статьи 1 проекта Закона слова "международных договорах Кыргызской Республики" следует заменить словами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В части 4 статьи 3 и части 3 статьи 11 проекта установлен разный возрастной порог на получение образования из средств материнского (семейного) капитала.</w:t>
      </w:r>
    </w:p>
    <w:p>
      <w:pPr>
        <w:spacing w:after="120"/>
        <w:jc w:val="both"/>
      </w:pPr>
      <w:r>
        <w:rPr>
          <w:rFonts w:ascii="Arial" w:cs="Arial" w:eastAsia="Arial" w:hAnsi="Arial"/>
          <w:sz w:val="24"/>
          <w:szCs w:val="24"/>
        </w:rPr>
        <w:t xml:space="preserve">В части 7 статьи 3 проекта Закона цифры "6.1" следует заменить цифрой "6".</w:t>
      </w:r>
    </w:p>
    <w:p>
      <w:pPr>
        <w:spacing w:after="120"/>
        <w:jc w:val="both"/>
      </w:pPr>
      <w:r>
        <w:rPr>
          <w:rFonts w:ascii="Arial" w:cs="Arial" w:eastAsia="Arial" w:hAnsi="Arial"/>
          <w:sz w:val="24"/>
          <w:szCs w:val="24"/>
        </w:rPr>
        <w:t xml:space="preserve">В соответствии со статьей 5 </w:t>
      </w:r>
      <w:hyperlink w:history="1" r:id="rIdo7zkltbmppmbajqwkpga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правом принимать (издавать) нормативные правовые акты наделены Президент, Жогорку Кенеш, Правительство, Национальный банк, Центральная избирательная комиссия по выборам и проведению референдумов, представительные органы местного самоуправления.</w:t>
      </w:r>
    </w:p>
    <w:p>
      <w:pPr>
        <w:spacing w:after="120"/>
        <w:jc w:val="both"/>
      </w:pPr>
      <w:r>
        <w:rPr>
          <w:rFonts w:ascii="Arial" w:cs="Arial" w:eastAsia="Arial" w:hAnsi="Arial"/>
          <w:sz w:val="24"/>
          <w:szCs w:val="24"/>
        </w:rPr>
        <w:t xml:space="preserve">В связи с изложенным в части 4 статьи 4 и части 4 статьи 12 проекта Закона положения, устанавливающие полномочия государственных органов в сфере здравоохранения, социального развития принимать нормативные правовые акты, предлагаем пересмотреть. Согласно вышеуказанному Закону, обозначенные полномочия отнесены к ведению Правительства.</w:t>
      </w:r>
    </w:p>
    <w:p>
      <w:pPr>
        <w:spacing w:after="120"/>
        <w:jc w:val="both"/>
      </w:pPr>
      <w:r>
        <w:rPr>
          <w:rFonts w:ascii="Arial" w:cs="Arial" w:eastAsia="Arial" w:hAnsi="Arial"/>
          <w:sz w:val="24"/>
          <w:szCs w:val="24"/>
        </w:rPr>
        <w:t xml:space="preserve">В части 1 статьи 5 проекта Закона необходимо конкретизировать, какие именно документы должны быть представлены вместе с заявлением для получения государственного сертификата на материнский капитал.</w:t>
      </w:r>
    </w:p>
    <w:p>
      <w:pPr>
        <w:spacing w:after="120"/>
        <w:jc w:val="both"/>
      </w:pPr>
      <w:r>
        <w:rPr>
          <w:rFonts w:ascii="Arial" w:cs="Arial" w:eastAsia="Arial" w:hAnsi="Arial"/>
          <w:sz w:val="24"/>
          <w:szCs w:val="24"/>
        </w:rPr>
        <w:t xml:space="preserve">Пунктом 4 части 6 статьи 5 проекта Закона предусматривается, что основанием для отказа в удовлетворении заявления о выдаче сертификата является, в том числе, прекращение права на дополнительные меры государственной поддержки в связи с использованием средств материнского капитала в полном объеме.</w:t>
      </w:r>
    </w:p>
    <w:p>
      <w:pPr>
        <w:spacing w:after="120"/>
        <w:jc w:val="both"/>
      </w:pPr>
      <w:r>
        <w:rPr>
          <w:rFonts w:ascii="Arial" w:cs="Arial" w:eastAsia="Arial" w:hAnsi="Arial"/>
          <w:sz w:val="24"/>
          <w:szCs w:val="24"/>
        </w:rPr>
        <w:t xml:space="preserve">Однако остается непонятным, как может лицо, обращающееся за получением сертификата на материнский капитал использовать средства этого капитала, еще не получив его.</w:t>
      </w:r>
    </w:p>
    <w:p>
      <w:pPr>
        <w:spacing w:after="120"/>
        <w:jc w:val="both"/>
      </w:pPr>
      <w:r>
        <w:rPr>
          <w:rFonts w:ascii="Arial" w:cs="Arial" w:eastAsia="Arial" w:hAnsi="Arial"/>
          <w:sz w:val="24"/>
          <w:szCs w:val="24"/>
        </w:rPr>
        <w:t xml:space="preserve">Часть 1 статьи 6 проекта Закона, в части установления размера материнского капитала, противоречит части 2 статьи 6 проекта Закона.</w:t>
      </w:r>
    </w:p>
    <w:p>
      <w:pPr>
        <w:spacing w:after="120"/>
        <w:jc w:val="both"/>
      </w:pPr>
      <w:r>
        <w:rPr>
          <w:rFonts w:ascii="Arial" w:cs="Arial" w:eastAsia="Arial" w:hAnsi="Arial"/>
          <w:sz w:val="24"/>
          <w:szCs w:val="24"/>
        </w:rPr>
        <w:t xml:space="preserve">Так, в части 1 статьи 6 проекта Закона устанавливается размер материнского капитала в сумме 300000 сомов.</w:t>
      </w:r>
    </w:p>
    <w:p>
      <w:pPr>
        <w:spacing w:after="120"/>
        <w:jc w:val="both"/>
      </w:pPr>
      <w:r>
        <w:rPr>
          <w:rFonts w:ascii="Arial" w:cs="Arial" w:eastAsia="Arial" w:hAnsi="Arial"/>
          <w:sz w:val="24"/>
          <w:szCs w:val="24"/>
        </w:rPr>
        <w:t xml:space="preserve">Однако в части 2 указанной статьи проекта Закона отмечается, что размер материнского капитала ежегодно пересматривается с учетом темпов инфляции и устанавливается законом о республиканском бюджете на соответствующий год.</w:t>
      </w:r>
    </w:p>
    <w:p>
      <w:pPr>
        <w:spacing w:after="120"/>
        <w:jc w:val="both"/>
      </w:pPr>
      <w:r>
        <w:rPr>
          <w:rFonts w:ascii="Arial" w:cs="Arial" w:eastAsia="Arial" w:hAnsi="Arial"/>
          <w:sz w:val="24"/>
          <w:szCs w:val="24"/>
        </w:rPr>
        <w:t xml:space="preserve">В части 1 статьи 6 проекта указано, что размер материнского капитала должен быть привязан к расчетному показателю, так как материнский капитал выплачивается из средств бюджета, не связанных с оплатой труда. Согласно части 1 </w:t>
      </w:r>
      <w:hyperlink w:history="1" r:id="rIdsoimdu9bt5hwg6ekcpou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расчетном показателе", расчетный показатель применяется для определения размера социальных выплат, компенсаций, экономических санкций, административных взысканий и штрафов, других экономических показателей, не связанных с оплатой труда.</w:t>
      </w:r>
    </w:p>
    <w:p>
      <w:pPr>
        <w:spacing w:after="120"/>
        <w:jc w:val="both"/>
      </w:pPr>
      <w:r>
        <w:rPr>
          <w:rFonts w:ascii="Arial" w:cs="Arial" w:eastAsia="Arial" w:hAnsi="Arial"/>
          <w:sz w:val="24"/>
          <w:szCs w:val="24"/>
        </w:rPr>
        <w:t xml:space="preserve">В пункте 4 части 1.1 статьи 10 слова "кадастрового паспорта" необходимо исключить, так как в действующем законодательстве Кыргызской Республики данное понятие не применяется.</w:t>
      </w:r>
    </w:p>
    <w:p>
      <w:pPr>
        <w:spacing w:after="120"/>
        <w:jc w:val="both"/>
      </w:pPr>
      <w:r>
        <w:rPr>
          <w:rFonts w:ascii="Arial" w:cs="Arial" w:eastAsia="Arial" w:hAnsi="Arial"/>
          <w:sz w:val="24"/>
          <w:szCs w:val="24"/>
        </w:rPr>
        <w:t xml:space="preserve">В части 3 статьи 12 проекта Закона следует конкретизировать сроки подачи заявления об отказе, поскольку в части 6 статьи 7 проекта Закона, на которую дана отсылка, они не определены.</w:t>
      </w:r>
    </w:p>
    <w:p>
      <w:pPr>
        <w:spacing w:after="120"/>
        <w:jc w:val="both"/>
      </w:pPr>
      <w:r>
        <w:rPr>
          <w:rFonts w:ascii="Arial" w:cs="Arial" w:eastAsia="Arial" w:hAnsi="Arial"/>
          <w:sz w:val="24"/>
          <w:szCs w:val="24"/>
        </w:rPr>
        <w:t xml:space="preserve">Проектом Закона в качестве исполнительного органа по выдаче сертификата на материнский (семейный) капитал, ведению регистра, рассмотрению заявлений о распоряжении определен "Пенсионный фонд Кыргызской Республики".</w:t>
      </w:r>
    </w:p>
    <w:p>
      <w:pPr>
        <w:spacing w:after="120"/>
        <w:jc w:val="both"/>
      </w:pPr>
      <w:r>
        <w:rPr>
          <w:rFonts w:ascii="Arial" w:cs="Arial" w:eastAsia="Arial" w:hAnsi="Arial"/>
          <w:sz w:val="24"/>
          <w:szCs w:val="24"/>
        </w:rPr>
        <w:t xml:space="preserve">Однако, в соответствии с законодательством Кыргызской Республики исполнительным органом системы пенсионного обеспечения, проводящим государственную политику и осуществляющим управление в сфере пенсионного обеспечения, является Социальный фонд Кыргызской Республики.</w:t>
      </w:r>
    </w:p>
    <w:p>
      <w:pPr>
        <w:spacing w:after="120"/>
        <w:jc w:val="both"/>
      </w:pPr>
      <w:r>
        <w:rPr>
          <w:rFonts w:ascii="Arial" w:cs="Arial" w:eastAsia="Arial" w:hAnsi="Arial"/>
          <w:sz w:val="24"/>
          <w:szCs w:val="24"/>
        </w:rPr>
        <w:t xml:space="preserve">В соответствии со статьей 22 Закона Кыргызской Республики "О нормативных правовых актах Кыргызской Республики" проекты нормативных правовых актов, непосредственно затрагивающих интересы граждан и юридических лиц, а также регулирующих предпринимательскую деятельность, подлежат общественному обсуждению посредством размещения на официальном сайте нормотворческого органа.</w:t>
      </w:r>
    </w:p>
    <w:p>
      <w:pPr>
        <w:spacing w:after="120"/>
        <w:jc w:val="both"/>
      </w:pPr>
      <w:r>
        <w:rPr>
          <w:rFonts w:ascii="Arial" w:cs="Arial" w:eastAsia="Arial" w:hAnsi="Arial"/>
          <w:sz w:val="24"/>
          <w:szCs w:val="24"/>
        </w:rPr>
        <w:t xml:space="preserve">Представленный законопроект предусматривает увеличение расходов, покрываемых за счет государственного бюджета. К законопроекту не представлены экономические расчеты и финансовое обоснование. При этом отмечаем, что в соответствии со статьей 80 Конституции Кыргызской Республики принятие данного законопроекта Жогорку Кенешем Кыргызской Республики возможно только после определения Правительством источника финансирования.</w:t>
      </w:r>
    </w:p>
    <w:p>
      <w:pPr>
        <w:spacing w:after="120"/>
        <w:jc w:val="both"/>
      </w:pPr>
      <w:r>
        <w:rPr>
          <w:rFonts w:ascii="Arial" w:cs="Arial" w:eastAsia="Arial" w:hAnsi="Arial"/>
          <w:sz w:val="24"/>
          <w:szCs w:val="24"/>
        </w:rPr>
        <w:t xml:space="preserve">Основная цель данного законопроекта - стимулирование рождаемости и увеличение роста населения. Так как в Кыргызской Республике сохранена стабильная демографическая ситуация и естественный прирост населения только увеличивается и на введение мер государственной поддержки семей, имеющих трех, и более детей, потребуется дополнительное финансирование, в целом считаем проект Закона Кыргызской Республики "О дополнительных мерах государственной поддержки семей, имеющих детей" преждевременным.</w:t>
      </w:r>
    </w:p>
    <w:p>
      <w:pPr>
        <w:spacing w:after="120"/>
        <w:jc w:val="both"/>
      </w:pPr>
      <w:r>
        <w:rPr>
          <w:rFonts w:ascii="Arial" w:cs="Arial" w:eastAsia="Arial" w:hAnsi="Arial"/>
          <w:sz w:val="24"/>
          <w:szCs w:val="24"/>
        </w:rPr>
        <w:t xml:space="preserve">С учетом вышеизложенного Правительство Кыргызской Республики считает нецелесообразным принятие проекта Закона Кыргызской Республики "О дополнительных мерах государственной поддержки семей, имеющих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ri6qvnccsm8uz6vyfkap">
      <w:r>
        <w:rPr>
          <w:rFonts w:ascii="Arial" w:cs="Arial" w:eastAsia="Arial" w:hAnsi="Arial"/>
          <w:color w:val="132D3F"/>
          <w:sz w:val="16"/>
          <w:szCs w:val="16"/>
          <w:u w:val="single"/>
        </w:rPr>
        <w:t xml:space="preserve">dalil.kg/document/93636</w:t>
      </w:r>
    </w:hyperlink>
  </w:p>
  <w:p>
    <w:pPr>
      <w:spacing w:after="0" w:before="40"/>
      <w:jc w:val="center"/>
    </w:pPr>
    <w:hyperlink w:history="1" r:id="rIdsgxgap90hrn7gmq8xpnm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9zr9omwll2obsuvih-zo" Type="http://schemas.openxmlformats.org/officeDocument/2006/relationships/hyperlink" Target="https://dalil.kg/document/159126" TargetMode="External"/><Relationship Id="rIdbsaa0ktozat7lviqhlck0" Type="http://schemas.openxmlformats.org/officeDocument/2006/relationships/hyperlink" Target="https://dalil.kg/document/202913" TargetMode="External"/><Relationship Id="rIdo7zkltbmppmbajqwkpgaf" Type="http://schemas.openxmlformats.org/officeDocument/2006/relationships/hyperlink" Target="https://dalil.kg/document/202591" TargetMode="External"/><Relationship Id="rIdsoimdu9bt5hwg6ekcpout" Type="http://schemas.openxmlformats.org/officeDocument/2006/relationships/hyperlink" Target="https://dalil.kg/document/180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ri6qvnccsm8uz6vyfkap" Type="http://schemas.openxmlformats.org/officeDocument/2006/relationships/hyperlink" Target="https://dalil.kg/document/93636" TargetMode="External"/><Relationship Id="rIdsgxgap90hrn7gmq8xpnm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2026-09-24T01:16:00.136Z</dcterms:created>
  <dcterms:modified xsi:type="dcterms:W3CDTF">2026-09-24T01:16:00.136Z</dcterms:modified>
</cp:coreProperties>
</file>

<file path=docProps/custom.xml><?xml version="1.0" encoding="utf-8"?>
<Properties xmlns="http://schemas.openxmlformats.org/officeDocument/2006/custom-properties" xmlns:vt="http://schemas.openxmlformats.org/officeDocument/2006/docPropsVTypes"/>
</file>