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 </w:t>
      </w:r>
      <w:hyperlink w:history="1" r:id="rIdukba6-sp0yprogxbwm1iz">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8 августа 2012 года № 555</w:t>
      </w:r>
    </w:p>
    <w:p>
      <w:pPr>
        <w:spacing w:after="120"/>
        <w:jc w:val="both"/>
      </w:pPr>
      <w:r>
        <w:rPr>
          <w:rFonts w:ascii="Arial" w:cs="Arial" w:eastAsia="Arial" w:hAnsi="Arial"/>
          <w:sz w:val="24"/>
          <w:szCs w:val="24"/>
        </w:rPr>
        <w:t xml:space="preserve">Об итогах социально-экономического развития Кыргызской Республики за январь-июнь 2012 года</w:t>
      </w:r>
    </w:p>
    <w:p>
      <w:pPr>
        <w:spacing w:after="120"/>
        <w:jc w:val="both"/>
      </w:pPr>
      <w:r>
        <w:rPr>
          <w:rFonts w:ascii="Arial" w:cs="Arial" w:eastAsia="Arial" w:hAnsi="Arial"/>
          <w:sz w:val="24"/>
          <w:szCs w:val="24"/>
        </w:rPr>
        <w:t xml:space="preserve">В целях оценки социально-экономического положения, сложившегося по итогам за январь-июнь 2012 года, своевременного выявления угроз, предупреждения рисков и определения перспективных направлений деятельности органов государственной власти по достижению задач, поставленных на 2012 год, Правительство Кыргызской Республики </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Принять к сведению информацию об итогах социально-экономического развития Кыргызской Республики за январь-июнь 2012 года согласно приложению.</w:t>
      </w:r>
    </w:p>
    <w:p>
      <w:pPr>
        <w:spacing w:after="120"/>
        <w:jc w:val="both"/>
      </w:pPr>
      <w:r>
        <w:rPr>
          <w:rFonts w:ascii="Arial" w:cs="Arial" w:eastAsia="Arial" w:hAnsi="Arial"/>
          <w:sz w:val="24"/>
          <w:szCs w:val="24"/>
        </w:rPr>
        <w:t xml:space="preserve">2. Министерству энергетики и промышленности Кыргызской Республики принять исчерпывающие меры по подготовке к осенне-зимнему периоду 2012/2013 годов.</w:t>
      </w:r>
    </w:p>
    <w:p>
      <w:pPr>
        <w:spacing w:after="120"/>
        <w:jc w:val="both"/>
      </w:pPr>
      <w:r>
        <w:rPr>
          <w:rFonts w:ascii="Arial" w:cs="Arial" w:eastAsia="Arial" w:hAnsi="Arial"/>
          <w:sz w:val="24"/>
          <w:szCs w:val="24"/>
        </w:rPr>
        <w:t xml:space="preserve">3. Министерству сельского хозяйства и мелиорации Кыргызской Республики взять под особый контроль заготовку кормов для животноводства на предстоящую зиму.</w:t>
      </w:r>
    </w:p>
    <w:p>
      <w:pPr>
        <w:spacing w:after="120"/>
        <w:jc w:val="both"/>
      </w:pPr>
      <w:r>
        <w:rPr>
          <w:rFonts w:ascii="Arial" w:cs="Arial" w:eastAsia="Arial" w:hAnsi="Arial"/>
          <w:sz w:val="24"/>
          <w:szCs w:val="24"/>
        </w:rPr>
        <w:t xml:space="preserve">4. Министерству финансов Кыргызской Республики, Государственной налоговой службе при Правительстве Кыргызской Республики и Государственной таможенной службе при Правительстве Кыргызской Республики, Социальному фонду Кыргызской Республики принять меры по обеспечению поступлений доходов в соответствии с установленными параметрами на 2012 год для полного и своевременного финансирования социальных гарантий государства.</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отдел экономики и инвестиций Аппарата Правительства Кыргызской Республики.</w:t>
      </w:r>
    </w:p>
    <w:p>
      <w:pPr>
        <w:spacing w:after="120"/>
        <w:jc w:val="both"/>
      </w:pPr>
      <w:r>
        <w:rPr>
          <w:rFonts w:ascii="Arial" w:cs="Arial" w:eastAsia="Arial" w:hAnsi="Arial"/>
          <w:sz w:val="24"/>
          <w:szCs w:val="24"/>
        </w:rPr>
        <w:t xml:space="preserve">6.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w:t>
      </w:r>
    </w:p>
    <w:p>
      <w:pPr>
        <w:spacing w:after="120"/>
        <w:jc w:val="both"/>
      </w:pPr>
      <w:r>
        <w:rPr>
          <w:rFonts w:ascii="Arial" w:cs="Arial" w:eastAsia="Arial" w:hAnsi="Arial"/>
          <w:sz w:val="24"/>
          <w:szCs w:val="24"/>
        </w:rPr>
        <w:t xml:space="preserve">об итогах социально-экономического развития
 Кыргызской Республики за январь-июнь 2012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Основные макроэкономические параметры</w:t>
      </w:r>
    </w:p>
    <w:p>
      <w:pPr>
        <w:spacing w:after="120"/>
        <w:jc w:val="both"/>
      </w:pPr>
      <w:r>
        <w:rPr>
          <w:rFonts w:ascii="Arial" w:cs="Arial" w:eastAsia="Arial" w:hAnsi="Arial"/>
          <w:sz w:val="24"/>
          <w:szCs w:val="24"/>
        </w:rPr>
        <w:t xml:space="preserve">2. Развитие реального сектора</w:t>
      </w:r>
    </w:p>
    <w:p>
      <w:pPr>
        <w:spacing w:after="120"/>
        <w:jc w:val="both"/>
      </w:pPr>
      <w:r>
        <w:rPr>
          <w:rFonts w:ascii="Arial" w:cs="Arial" w:eastAsia="Arial" w:hAnsi="Arial"/>
          <w:sz w:val="24"/>
          <w:szCs w:val="24"/>
        </w:rPr>
        <w:t xml:space="preserve">3. Внешняя торговля Кыргызской Республики за январь-май 2012</w:t>
      </w:r>
    </w:p>
    <w:p>
      <w:pPr>
        <w:spacing w:after="120"/>
        <w:jc w:val="both"/>
      </w:pPr>
      <w:r>
        <w:rPr>
          <w:rFonts w:ascii="Arial" w:cs="Arial" w:eastAsia="Arial" w:hAnsi="Arial"/>
          <w:sz w:val="24"/>
          <w:szCs w:val="24"/>
        </w:rPr>
        <w:t xml:space="preserve">года</w:t>
      </w:r>
    </w:p>
    <w:p>
      <w:pPr>
        <w:spacing w:after="120"/>
        <w:jc w:val="both"/>
      </w:pPr>
      <w:r>
        <w:rPr>
          <w:rFonts w:ascii="Arial" w:cs="Arial" w:eastAsia="Arial" w:hAnsi="Arial"/>
          <w:sz w:val="24"/>
          <w:szCs w:val="24"/>
        </w:rPr>
        <w:t xml:space="preserve">4. Исполнение государственного бюджета</w:t>
      </w:r>
    </w:p>
    <w:p>
      <w:pPr>
        <w:spacing w:after="120"/>
        <w:jc w:val="both"/>
      </w:pPr>
      <w:r>
        <w:rPr>
          <w:rFonts w:ascii="Arial" w:cs="Arial" w:eastAsia="Arial" w:hAnsi="Arial"/>
          <w:sz w:val="24"/>
          <w:szCs w:val="24"/>
        </w:rPr>
        <w:t xml:space="preserve">5. Улучшение деловой среды</w:t>
      </w:r>
    </w:p>
    <w:p>
      <w:pPr>
        <w:spacing w:after="120"/>
        <w:jc w:val="both"/>
      </w:pPr>
      <w:r>
        <w:rPr>
          <w:rFonts w:ascii="Arial" w:cs="Arial" w:eastAsia="Arial" w:hAnsi="Arial"/>
          <w:sz w:val="24"/>
          <w:szCs w:val="24"/>
        </w:rPr>
        <w:t xml:space="preserve">6. Социальная сфера</w:t>
      </w:r>
    </w:p>
    <w:p>
      <w:pPr>
        <w:spacing w:after="120"/>
        <w:jc w:val="both"/>
      </w:pPr>
      <w:r>
        <w:rPr>
          <w:rFonts w:ascii="Arial" w:cs="Arial" w:eastAsia="Arial" w:hAnsi="Arial"/>
          <w:sz w:val="24"/>
          <w:szCs w:val="24"/>
        </w:rPr>
        <w:t xml:space="preserve">7. Разработка и реализация стратегических документов</w:t>
      </w:r>
    </w:p>
    <w:p>
      <w:pPr>
        <w:spacing w:after="120"/>
        <w:jc w:val="both"/>
      </w:pPr>
      <w:r>
        <w:rPr>
          <w:rFonts w:ascii="Arial" w:cs="Arial" w:eastAsia="Arial" w:hAnsi="Arial"/>
          <w:sz w:val="24"/>
          <w:szCs w:val="24"/>
        </w:rPr>
        <w:t xml:space="preserve">8. Основные задачи на II полугодие 2012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Основные макроэкономические параметры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Объем валового внутреннего продукта (ВВП)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I полугодии 2012 года сохранялось снижение темпов экономического роста. По итогам за январь-июнь 2012 года объем валового внутреннего продукта (ВВП), по предварительной оценке, сложился в сумме 114,9 млрд. сомов и его реальное сокращение составило 5,6%, против реального роста на 4,9% в январе-июне 2011 года. Без учета предприятий по разработке месторождения "Кумтор", рост реального ВВП составил 103,9%, за соответствующий период 2011 года аналогичный показатель составлял 103,7%. Дефлятор ВВП сложился на уровне 113,7%.</w:t>
      </w:r>
    </w:p>
    <w:p>
      <w:pPr>
        <w:spacing w:after="120"/>
        <w:jc w:val="both"/>
      </w:pPr>
      <w:r>
        <w:rPr>
          <w:rFonts w:ascii="Arial" w:cs="Arial" w:eastAsia="Arial" w:hAnsi="Arial"/>
          <w:sz w:val="24"/>
          <w:szCs w:val="24"/>
        </w:rPr>
        <w:t xml:space="preserve">Тенденция ухудшения состояния дел в экономике обозначилась практически с начала года. Так, в январе реальное снижение ВВП составило 12,5%, в феврале - 10,5%, в марте и апреле - 6,8%, в мае - 6,4% (с нарастающим итогом).</w:t>
      </w:r>
    </w:p>
    <w:p>
      <w:pPr>
        <w:spacing w:after="120"/>
        <w:jc w:val="both"/>
      </w:pPr>
      <w:r>
        <w:rPr>
          <w:rFonts w:ascii="Arial" w:cs="Arial" w:eastAsia="Arial" w:hAnsi="Arial"/>
          <w:sz w:val="24"/>
          <w:szCs w:val="24"/>
        </w:rPr>
        <w:t xml:space="preserve">Основная, но не единственная причина ухудшения экономической ситуации в этом году - это фактическое снижение производства золота на предприятиях по разработке месторождения "Кумтор" почти на 60% из-за технических осложнений - усиления движения льда и пустой породы в юговосточной части карьера на месторождении "Кумтор". Этот фактор нельзя было предсказать, тем более спрогнозировать. Кроме того, значительно снизились объемы производства текстильных и швейных изделий из-за ужесточения правил на таможенной территории участников Таможенного союза. Вклад промышленности в ВВП сложился отрицательным и составил (-) 8,11 процентных пункта.</w:t>
      </w:r>
    </w:p>
    <w:p>
      <w:pPr>
        <w:spacing w:after="120"/>
        <w:jc w:val="both"/>
      </w:pPr>
      <w:r>
        <w:rPr>
          <w:rFonts w:ascii="Arial" w:cs="Arial" w:eastAsia="Arial" w:hAnsi="Arial"/>
          <w:sz w:val="24"/>
          <w:szCs w:val="24"/>
        </w:rPr>
        <w:t xml:space="preserve">Правительство держит на особом контроле этот вопрос, вырабатывает меры, направленные на предотвращение дальнейшего спада экономического роста и восполнение объемов снижения производства.</w:t>
      </w:r>
    </w:p>
    <w:p>
      <w:pPr>
        <w:spacing w:after="120"/>
        <w:jc w:val="both"/>
      </w:pPr>
      <w:r>
        <w:rPr>
          <w:rFonts w:ascii="Arial" w:cs="Arial" w:eastAsia="Arial" w:hAnsi="Arial"/>
          <w:sz w:val="24"/>
          <w:szCs w:val="24"/>
        </w:rPr>
        <w:t xml:space="preserve">Основным сектором, сдерживающим значительный спад экономики, стала сфера услуг, вклад которой оценивается в 2,27 процентных пункта, а вклад сельского хозяйства и строительства оценивается как нейтральный и составляет 0,87 процентных пункта.</w:t>
      </w:r>
    </w:p>
    <w:p>
      <w:pPr>
        <w:spacing w:after="120"/>
        <w:jc w:val="both"/>
      </w:pPr>
      <w:r>
        <w:rPr>
          <w:rFonts w:ascii="Arial" w:cs="Arial" w:eastAsia="Arial" w:hAnsi="Arial"/>
          <w:sz w:val="24"/>
          <w:szCs w:val="24"/>
        </w:rPr>
        <w:t xml:space="preserve">Объем ВВП в расчете на душу населения составил 21,6 тыс. сомов и по сравнению с соответствующим периодом 2011 года сократился на 7,1%.</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Темпы роста и вклады по секторам, формирующим ВВП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│Январь-июнь 2011 года│   Январь-июнь 2012 года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факт., │ темп │ в % │ факт., │ темп │ в % │ доля │</w:t>
      </w:r>
    </w:p>
    <w:p>
      <w:pPr>
        <w:spacing w:after="120"/>
        <w:jc w:val="both"/>
      </w:pPr>
      <w:r>
        <w:rPr>
          <w:rFonts w:ascii="Arial" w:cs="Arial" w:eastAsia="Arial" w:hAnsi="Arial"/>
          <w:sz w:val="24"/>
          <w:szCs w:val="24"/>
        </w:rPr>
        <w:t xml:space="preserve">│                  │ (млн.  │роста,│к ВВП│  млн.  │роста,│к ВВП│вклада│</w:t>
      </w:r>
    </w:p>
    <w:p>
      <w:pPr>
        <w:spacing w:after="120"/>
        <w:jc w:val="both"/>
      </w:pPr>
      <w:r>
        <w:rPr>
          <w:rFonts w:ascii="Arial" w:cs="Arial" w:eastAsia="Arial" w:hAnsi="Arial"/>
          <w:sz w:val="24"/>
          <w:szCs w:val="24"/>
        </w:rPr>
        <w:t xml:space="preserve">│                  │ сомов) │  %   │     │ сомов  │ (%)  │     │в рост│</w:t>
      </w:r>
    </w:p>
    <w:p>
      <w:pPr>
        <w:spacing w:after="120"/>
        <w:jc w:val="both"/>
      </w:pPr>
      <w:r>
        <w:rPr>
          <w:rFonts w:ascii="Arial" w:cs="Arial" w:eastAsia="Arial" w:hAnsi="Arial"/>
          <w:sz w:val="24"/>
          <w:szCs w:val="24"/>
        </w:rPr>
        <w:t xml:space="preserve">│                  │        │      │     │        │      │     │ ВВП, │</w:t>
      </w:r>
    </w:p>
    <w:p>
      <w:pPr>
        <w:spacing w:after="120"/>
        <w:jc w:val="both"/>
      </w:pPr>
      <w:r>
        <w:rPr>
          <w:rFonts w:ascii="Arial" w:cs="Arial" w:eastAsia="Arial" w:hAnsi="Arial"/>
          <w:sz w:val="24"/>
          <w:szCs w:val="24"/>
        </w:rPr>
        <w:t xml:space="preserve">│                  │        │      │     │        │      │     │ п.п. │</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│107104,1│ 104,9│100  │114919,1│  94,4│100  │-5,6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хозяйство│ 11545,3│ 101,3│ 10,8│ 14863,0│ 101,2│ 12,9│ 0,13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│Промышленность    │ 26833,8│ 115,1│ 25,0│ 19055,2│  67,6│ 16,6│-8,11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│Строительство     │  3947,4│  71,6│  3,7│  4975,2│ 120,0│  4,3│ 0,74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 51682,9│ 104,2│ 48,3│ 59009,0│ 104,7│ 51,4│ 2,27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│Чистые налоги на  │ 13094,7│ 104,9│ 12,2│ 17016,7│  94,4│ 14,8│-0,68 │</w:t>
      </w:r>
    </w:p>
    <w:p>
      <w:pPr>
        <w:spacing w:after="120"/>
        <w:jc w:val="both"/>
      </w:pPr>
      <w:r>
        <w:rPr>
          <w:rFonts w:ascii="Arial" w:cs="Arial" w:eastAsia="Arial" w:hAnsi="Arial"/>
          <w:sz w:val="24"/>
          <w:szCs w:val="24"/>
        </w:rPr>
        <w:t xml:space="preserve">│продукты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структуре номинального ВВП доля отраслей, производящих товары, снизилась на 5,7% и составила 33,8%. При этом, доля промышленности уменьшилась на 8,4% и составила 16,6%. Доля отраслей, оказывающих услуги, возросла на 3,1% и составила 51,4%.</w:t>
      </w:r>
    </w:p>
    <w:p>
      <w:pPr>
        <w:spacing w:after="120"/>
        <w:jc w:val="both"/>
      </w:pPr>
      <w:r>
        <w:rPr>
          <w:rFonts w:ascii="Arial" w:cs="Arial" w:eastAsia="Arial" w:hAnsi="Arial"/>
          <w:sz w:val="24"/>
          <w:szCs w:val="24"/>
        </w:rPr>
        <w:t xml:space="preserve">Отмечавшееся в I полугодии т.г. снижение ВВП не обеспечило прогнозируемого уровня на этот период на 1,1 п.п. (прогноз 95,5%).</w:t>
      </w:r>
    </w:p>
    <w:p>
      <w:pPr>
        <w:spacing w:after="120"/>
        <w:jc w:val="both"/>
      </w:pPr>
      <w:r>
        <w:rPr>
          <w:rFonts w:ascii="Arial" w:cs="Arial" w:eastAsia="Arial" w:hAnsi="Arial"/>
          <w:sz w:val="24"/>
          <w:szCs w:val="24"/>
        </w:rPr>
        <w:t xml:space="preserve">Основные факторы, на фоне которых складывались основные макроэкономические показатели в отчетном периоде:</w:t>
      </w:r>
    </w:p>
    <w:p>
      <w:pPr>
        <w:spacing w:after="120"/>
        <w:jc w:val="both"/>
      </w:pPr>
      <w:r>
        <w:rPr>
          <w:rFonts w:ascii="Arial" w:cs="Arial" w:eastAsia="Arial" w:hAnsi="Arial"/>
          <w:sz w:val="24"/>
          <w:szCs w:val="24"/>
        </w:rPr>
        <w:t xml:space="preserve">Внешние благоприятные факторы:</w:t>
      </w:r>
    </w:p>
    <w:p>
      <w:pPr>
        <w:spacing w:after="120"/>
        <w:jc w:val="both"/>
      </w:pPr>
      <w:r>
        <w:rPr>
          <w:rFonts w:ascii="Arial" w:cs="Arial" w:eastAsia="Arial" w:hAnsi="Arial"/>
          <w:sz w:val="24"/>
          <w:szCs w:val="24"/>
        </w:rPr>
        <w:t xml:space="preserve">- устойчивый экономический рост в странах - основных торговых партнерах Кыргызской Республики (Россия - 4,4%; Казахстан - 3,8%; Китай - 7,8%) (для справки: при этом нельзя не учитывать, что социально-экономическое развитие Кыргызской Республики в целом сегодня происходит на фоне мировых финансовых потрясений, долговых проблем и признаков рецессии ряда стран Евросоюза, замедления экономического роста в США, что в совокупности может стать реальной угрозой второй волны мирового финансового кризиса.);</w:t>
      </w:r>
    </w:p>
    <w:p>
      <w:pPr>
        <w:spacing w:after="120"/>
        <w:jc w:val="both"/>
      </w:pPr>
      <w:r>
        <w:rPr>
          <w:rFonts w:ascii="Arial" w:cs="Arial" w:eastAsia="Arial" w:hAnsi="Arial"/>
          <w:sz w:val="24"/>
          <w:szCs w:val="24"/>
        </w:rPr>
        <w:t xml:space="preserve">- рост цен на золото на уровне с 1444,0 до 1651,5 долл. США за тройскую унцию (январь-июнь 2012 г.), рост по сравнению с аналогичным периодом 2011 года на 14,4%;</w:t>
      </w:r>
    </w:p>
    <w:p>
      <w:pPr>
        <w:spacing w:after="120"/>
        <w:jc w:val="both"/>
      </w:pPr>
      <w:r>
        <w:rPr>
          <w:rFonts w:ascii="Arial" w:cs="Arial" w:eastAsia="Arial" w:hAnsi="Arial"/>
          <w:sz w:val="24"/>
          <w:szCs w:val="24"/>
        </w:rPr>
        <w:t xml:space="preserve">- отмена таможенных пошлин на импортируемые сахар, растительное масло, рис и муку и высокое производство масличных культур в странах-торговых партнерах;</w:t>
      </w:r>
    </w:p>
    <w:p>
      <w:pPr>
        <w:spacing w:after="120"/>
        <w:jc w:val="both"/>
      </w:pPr>
      <w:r>
        <w:rPr>
          <w:rFonts w:ascii="Arial" w:cs="Arial" w:eastAsia="Arial" w:hAnsi="Arial"/>
          <w:sz w:val="24"/>
          <w:szCs w:val="24"/>
        </w:rPr>
        <w:t xml:space="preserve">- низкие показатели инфляции в странах - основных торговых партнерах (Казахстан - 2,7%, Россия - 3,2%, Китай - 3,3%, Еврозона - 2,4%).</w:t>
      </w:r>
    </w:p>
    <w:p>
      <w:pPr>
        <w:spacing w:after="120"/>
        <w:jc w:val="both"/>
      </w:pPr>
      <w:r>
        <w:rPr>
          <w:rFonts w:ascii="Arial" w:cs="Arial" w:eastAsia="Arial" w:hAnsi="Arial"/>
          <w:sz w:val="24"/>
          <w:szCs w:val="24"/>
        </w:rPr>
        <w:t xml:space="preserve">Внешние неблагоприятные факторы:</w:t>
      </w:r>
    </w:p>
    <w:p>
      <w:pPr>
        <w:spacing w:after="120"/>
        <w:jc w:val="both"/>
      </w:pPr>
      <w:r>
        <w:rPr>
          <w:rFonts w:ascii="Arial" w:cs="Arial" w:eastAsia="Arial" w:hAnsi="Arial"/>
          <w:sz w:val="24"/>
          <w:szCs w:val="24"/>
        </w:rPr>
        <w:t xml:space="preserve">- зависимость внутреннего рынка от импорта продовольственной группы товаров (мука, растительное масло, сахар, крупы и т.д.);</w:t>
      </w:r>
    </w:p>
    <w:p>
      <w:pPr>
        <w:spacing w:after="120"/>
        <w:jc w:val="both"/>
      </w:pPr>
      <w:r>
        <w:rPr>
          <w:rFonts w:ascii="Arial" w:cs="Arial" w:eastAsia="Arial" w:hAnsi="Arial"/>
          <w:sz w:val="24"/>
          <w:szCs w:val="24"/>
        </w:rPr>
        <w:t xml:space="preserve">- рост цен на нефть в среднем на 2,4% (по сравнению с аналогичным периодом 2011 года).</w:t>
      </w:r>
    </w:p>
    <w:p>
      <w:pPr>
        <w:spacing w:after="120"/>
        <w:jc w:val="both"/>
      </w:pPr>
      <w:r>
        <w:rPr>
          <w:rFonts w:ascii="Arial" w:cs="Arial" w:eastAsia="Arial" w:hAnsi="Arial"/>
          <w:sz w:val="24"/>
          <w:szCs w:val="24"/>
        </w:rPr>
        <w:t xml:space="preserve">Внутренние благоприятные факторы:</w:t>
      </w:r>
    </w:p>
    <w:p>
      <w:pPr>
        <w:spacing w:after="120"/>
        <w:jc w:val="both"/>
      </w:pPr>
      <w:r>
        <w:rPr>
          <w:rFonts w:ascii="Arial" w:cs="Arial" w:eastAsia="Arial" w:hAnsi="Arial"/>
          <w:sz w:val="24"/>
          <w:szCs w:val="24"/>
        </w:rPr>
        <w:t xml:space="preserve">- низкий уровень инфляции, что обусловило реальный рост доходов населения (ИПЦ - 100,9% к декабрю 2011 года);</w:t>
      </w:r>
    </w:p>
    <w:p>
      <w:pPr>
        <w:spacing w:after="120"/>
        <w:jc w:val="both"/>
      </w:pPr>
      <w:r>
        <w:rPr>
          <w:rFonts w:ascii="Arial" w:cs="Arial" w:eastAsia="Arial" w:hAnsi="Arial"/>
          <w:sz w:val="24"/>
          <w:szCs w:val="24"/>
        </w:rPr>
        <w:t xml:space="preserve">- рост потребительского спроса на товары и услуги (реальный рост среднемесячной заработной платы на 29,9%; рост потребительских кредитов на 44%, с 2216,3 млн. сомов в 2011 г. до 3191,7 млн. сомов в 2012 г.);</w:t>
      </w:r>
    </w:p>
    <w:p>
      <w:pPr>
        <w:spacing w:after="120"/>
        <w:jc w:val="both"/>
      </w:pPr>
      <w:r>
        <w:rPr>
          <w:rFonts w:ascii="Arial" w:cs="Arial" w:eastAsia="Arial" w:hAnsi="Arial"/>
          <w:sz w:val="24"/>
          <w:szCs w:val="24"/>
        </w:rPr>
        <w:t xml:space="preserve">- рост кредитов в экономику на 11,6%, реализация программы "Доступные кредиты фермерам-2";</w:t>
      </w:r>
    </w:p>
    <w:p>
      <w:pPr>
        <w:spacing w:after="120"/>
        <w:jc w:val="both"/>
      </w:pPr>
      <w:r>
        <w:rPr>
          <w:rFonts w:ascii="Arial" w:cs="Arial" w:eastAsia="Arial" w:hAnsi="Arial"/>
          <w:sz w:val="24"/>
          <w:szCs w:val="24"/>
        </w:rPr>
        <w:t xml:space="preserve">- стабильный уровень цен на энергоносители, кроме цен на газ;</w:t>
      </w:r>
    </w:p>
    <w:p>
      <w:pPr>
        <w:spacing w:after="120"/>
        <w:jc w:val="both"/>
      </w:pPr>
      <w:r>
        <w:rPr>
          <w:rFonts w:ascii="Arial" w:cs="Arial" w:eastAsia="Arial" w:hAnsi="Arial"/>
          <w:sz w:val="24"/>
          <w:szCs w:val="24"/>
        </w:rPr>
        <w:t xml:space="preserve">- упрощение условий ведения бизнеса через сокращение проверок, количества лицензий и других мер государственного регулирования;</w:t>
      </w:r>
    </w:p>
    <w:p>
      <w:pPr>
        <w:spacing w:after="120"/>
        <w:jc w:val="both"/>
      </w:pPr>
      <w:r>
        <w:rPr>
          <w:rFonts w:ascii="Arial" w:cs="Arial" w:eastAsia="Arial" w:hAnsi="Arial"/>
          <w:sz w:val="24"/>
          <w:szCs w:val="24"/>
        </w:rPr>
        <w:t xml:space="preserve">- предоставление в лизинг сельхозтехники и выделение ГСМ за счет матрезерва.</w:t>
      </w:r>
    </w:p>
    <w:p>
      <w:pPr>
        <w:spacing w:after="120"/>
        <w:jc w:val="both"/>
      </w:pPr>
      <w:r>
        <w:rPr>
          <w:rFonts w:ascii="Arial" w:cs="Arial" w:eastAsia="Arial" w:hAnsi="Arial"/>
          <w:sz w:val="24"/>
          <w:szCs w:val="24"/>
        </w:rPr>
        <w:t xml:space="preserve">Внутренние неблагоприятные факторы:</w:t>
      </w:r>
    </w:p>
    <w:p>
      <w:pPr>
        <w:spacing w:after="120"/>
        <w:jc w:val="both"/>
      </w:pPr>
      <w:r>
        <w:rPr>
          <w:rFonts w:ascii="Arial" w:cs="Arial" w:eastAsia="Arial" w:hAnsi="Arial"/>
          <w:sz w:val="24"/>
          <w:szCs w:val="24"/>
        </w:rPr>
        <w:t xml:space="preserve">- природно-климатические условия, которые оказали негативное воздействие на развитие агропромышленного комплекса (отставание весенне-полевых работ на 15-20 дней, падеж скота, сопровождавшийся нехваткой корма), промышленного производства (в металлургической промышленности снижен почти в 2,8 раза);</w:t>
      </w:r>
    </w:p>
    <w:p>
      <w:pPr>
        <w:spacing w:after="120"/>
        <w:jc w:val="both"/>
      </w:pPr>
      <w:r>
        <w:rPr>
          <w:rFonts w:ascii="Arial" w:cs="Arial" w:eastAsia="Arial" w:hAnsi="Arial"/>
          <w:sz w:val="24"/>
          <w:szCs w:val="24"/>
        </w:rPr>
        <w:t xml:space="preserve">- высокие процентные ставки по кредитам для развития бизнеса (19,55% - средневзвешенная процентная ставка).</w:t>
      </w:r>
    </w:p>
    <w:p>
      <w:pPr>
        <w:spacing w:after="120"/>
        <w:jc w:val="both"/>
      </w:pPr>
      <w:r>
        <w:rPr>
          <w:rFonts w:ascii="Arial" w:cs="Arial" w:eastAsia="Arial" w:hAnsi="Arial"/>
          <w:sz w:val="24"/>
          <w:szCs w:val="24"/>
        </w:rPr>
        <w:t xml:space="preserve">Таким образом, как показали итоги I полугодия 2012 года, критическая зависимость экономики от предприятий по разработке месторождений "Кумтор" становится реальной угрозой экономической безопасности страны в целом. В такой ситуации необходимо безотлагательное решение вопроса диверсификации национальной экономики. Необходим запуск в разработку других потенциальных золотодобывающих предприятий, простаивающих предприятий и новых проектов на местах.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Индекс потребительских цен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Индекс потребительских цен, характеризующий уровень инфляции в июне 2012 года (июнь 2012 года в % к декабрю 2011 года) составил 100,9%, тогда как за аналогичный период 2011 года составлял 107,2%. Среднегодовое значение инфляции составило 100,9% (январь-июнь 2012 г. к январю-июню 2011 г.), в 2011 году за соответствующий период составило 121,4%.</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Индекс цен на потребительские товары и услуги по</w:t>
      </w:r>
    </w:p>
    <w:p>
      <w:pPr>
        <w:spacing w:after="120"/>
        <w:jc w:val="both"/>
      </w:pPr>
      <w:r>
        <w:rPr>
          <w:rFonts w:ascii="Arial" w:cs="Arial" w:eastAsia="Arial" w:hAnsi="Arial"/>
          <w:sz w:val="24"/>
          <w:szCs w:val="24"/>
        </w:rPr>
        <w:t xml:space="preserve">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Уд. вес │Январь-июнь│  Июнь  │  Июнь  │ Факт. │</w:t>
      </w:r>
    </w:p>
    <w:p>
      <w:pPr>
        <w:spacing w:after="120"/>
        <w:jc w:val="both"/>
      </w:pPr>
      <w:r>
        <w:rPr>
          <w:rFonts w:ascii="Arial" w:cs="Arial" w:eastAsia="Arial" w:hAnsi="Arial"/>
          <w:sz w:val="24"/>
          <w:szCs w:val="24"/>
        </w:rPr>
        <w:t xml:space="preserve">│                     │в потреб,│  2012 г.  │2012 г. │2011 г. │2012 г.│</w:t>
      </w:r>
    </w:p>
    <w:p>
      <w:pPr>
        <w:spacing w:after="120"/>
        <w:jc w:val="both"/>
      </w:pPr>
      <w:r>
        <w:rPr>
          <w:rFonts w:ascii="Arial" w:cs="Arial" w:eastAsia="Arial" w:hAnsi="Arial"/>
          <w:sz w:val="24"/>
          <w:szCs w:val="24"/>
        </w:rPr>
        <w:t xml:space="preserve">│                     │ корзине │   в % к   │   к    │    к   │   к   │</w:t>
      </w:r>
    </w:p>
    <w:p>
      <w:pPr>
        <w:spacing w:after="120"/>
        <w:jc w:val="both"/>
      </w:pPr>
      <w:r>
        <w:rPr>
          <w:rFonts w:ascii="Arial" w:cs="Arial" w:eastAsia="Arial" w:hAnsi="Arial"/>
          <w:sz w:val="24"/>
          <w:szCs w:val="24"/>
        </w:rPr>
        <w:t xml:space="preserve">│                     │   (%)   │январю-июню│декабрю │декабрю │2011 г.│</w:t>
      </w:r>
    </w:p>
    <w:p>
      <w:pPr>
        <w:spacing w:after="120"/>
        <w:jc w:val="both"/>
      </w:pPr>
      <w:r>
        <w:rPr>
          <w:rFonts w:ascii="Arial" w:cs="Arial" w:eastAsia="Arial" w:hAnsi="Arial"/>
          <w:sz w:val="24"/>
          <w:szCs w:val="24"/>
        </w:rPr>
        <w:t xml:space="preserve">│                     │         │  2011 г., │2011 г.,│2010 г.,│(+;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  100,0  │   100,9   │  100,9 │  107,2 │  -6,3 │</w:t>
      </w:r>
    </w:p>
    <w:p>
      <w:pPr>
        <w:spacing w:after="120"/>
        <w:jc w:val="both"/>
      </w:pPr>
      <w:r>
        <w:rPr>
          <w:rFonts w:ascii="Arial" w:cs="Arial" w:eastAsia="Arial" w:hAnsi="Arial"/>
          <w:sz w:val="24"/>
          <w:szCs w:val="24"/>
        </w:rPr>
        <w:t xml:space="preserve">│потребительских цен  │         │           │        │        │       │</w:t>
      </w:r>
    </w:p>
    <w:p>
      <w:pPr>
        <w:spacing w:after="120"/>
        <w:jc w:val="both"/>
      </w:pPr>
      <w:r>
        <w:rPr>
          <w:rFonts w:ascii="Arial" w:cs="Arial" w:eastAsia="Arial" w:hAnsi="Arial"/>
          <w:sz w:val="24"/>
          <w:szCs w:val="24"/>
        </w:rPr>
        <w:t xml:space="preserve">│на товары и услуги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│Товары               │   85,5  │    99,4   │  100,2 │  107,6 │  -7,4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│пищевые продукты и   │   46,2  │    92,9   │   96,9 │  111,9 │ -15,0 │</w:t>
      </w:r>
    </w:p>
    <w:p>
      <w:pPr>
        <w:spacing w:after="120"/>
        <w:jc w:val="both"/>
      </w:pPr>
      <w:r>
        <w:rPr>
          <w:rFonts w:ascii="Arial" w:cs="Arial" w:eastAsia="Arial" w:hAnsi="Arial"/>
          <w:sz w:val="24"/>
          <w:szCs w:val="24"/>
        </w:rPr>
        <w:t xml:space="preserve">│безалкогольные       │         │           │        │        │       │</w:t>
      </w:r>
    </w:p>
    <w:p>
      <w:pPr>
        <w:spacing w:after="120"/>
        <w:jc w:val="both"/>
      </w:pPr>
      <w:r>
        <w:rPr>
          <w:rFonts w:ascii="Arial" w:cs="Arial" w:eastAsia="Arial" w:hAnsi="Arial"/>
          <w:sz w:val="24"/>
          <w:szCs w:val="24"/>
        </w:rPr>
        <w:t xml:space="preserve">│напитки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│алкогольные напитки, │    9,6  │   110,2   │  103,1 │  102,8 │   0,3 │</w:t>
      </w:r>
    </w:p>
    <w:p>
      <w:pPr>
        <w:spacing w:after="120"/>
        <w:jc w:val="both"/>
      </w:pPr>
      <w:r>
        <w:rPr>
          <w:rFonts w:ascii="Arial" w:cs="Arial" w:eastAsia="Arial" w:hAnsi="Arial"/>
          <w:sz w:val="24"/>
          <w:szCs w:val="24"/>
        </w:rPr>
        <w:t xml:space="preserve">│табачные изделия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│непродовольственные  │   29,7  │   110,2   │  104,0 │  103,4 │   0,6 │</w:t>
      </w:r>
    </w:p>
    <w:p>
      <w:pPr>
        <w:spacing w:after="120"/>
        <w:jc w:val="both"/>
      </w:pPr>
      <w:r>
        <w:rPr>
          <w:rFonts w:ascii="Arial" w:cs="Arial" w:eastAsia="Arial" w:hAnsi="Arial"/>
          <w:sz w:val="24"/>
          <w:szCs w:val="24"/>
        </w:rPr>
        <w:t xml:space="preserve">│товары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   14,5  │   110,6   │  104,9 │  104,4 │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Сложившийся уровень цен за I полугодие формировался под воздействием таких основных факторов, как: а) снижение цен на внутреннем рынке на основные продовольственные товары (хлебобулочные изделия и крупы, масло и жиры, цена на сахар по сравнению с декабрем 2011 г. возросла на 6,3 процента); б) умеренный рост цен на непродовольственные товары и услуги на внутреннем рынке; в) стабильные цены на мировых продовольственных рынках, импортозависимых для Кыргызской Республики (Россия, Казахстан); г) стабильный уровень цен на коммунальные услуги, кроме цен на газ; д) стабильный уровень цен на внутреннем рынке на бензин и увеличение цен на дизельное топливо (причиной повышения оптовых и розничных цен реализации дизтоплива на рынке Кыргызской Республики является повышение отпускных цен заводами-изготовителями в связи с полевыми работами); е) сезонные колебания на продовольственные товары (фрукты, овощи и молочная продукция); ж) умеренный рост инфляции в странах - основных торговых партнерах.</w:t>
      </w:r>
    </w:p>
    <w:p>
      <w:pPr>
        <w:spacing w:after="120"/>
        <w:jc w:val="both"/>
      </w:pPr>
      <w:r>
        <w:rPr>
          <w:rFonts w:ascii="Arial" w:cs="Arial" w:eastAsia="Arial" w:hAnsi="Arial"/>
          <w:sz w:val="24"/>
          <w:szCs w:val="24"/>
        </w:rPr>
        <w:t xml:space="preserve">В целом по республике замедление потребительских цен складывалось, в основном, под влиянием снижения цен на продовольственные товары, доля которых в общей потребительской корзине составляет 46,2%.</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Индекс цен на потребительские товары и услуги</w:t>
      </w:r>
    </w:p>
    <w:p>
      <w:pPr>
        <w:spacing w:after="120"/>
        <w:jc w:val="both"/>
      </w:pPr>
      <w:r>
        <w:rPr>
          <w:rFonts w:ascii="Arial" w:cs="Arial" w:eastAsia="Arial" w:hAnsi="Arial"/>
          <w:sz w:val="24"/>
          <w:szCs w:val="24"/>
        </w:rPr>
        <w:t xml:space="preserve">по областям Кыргызской Республики</w:t>
      </w:r>
    </w:p>
    <w:p>
      <w:pPr>
        <w:spacing w:after="120"/>
        <w:jc w:val="both"/>
      </w:pPr>
      <w:r>
        <w:rPr>
          <w:rFonts w:ascii="Arial" w:cs="Arial" w:eastAsia="Arial" w:hAnsi="Arial"/>
          <w:sz w:val="24"/>
          <w:szCs w:val="24"/>
        </w:rPr>
        <w:t xml:space="preserve">(июнь 2012 года в % к декабрю 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в том числе: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ИПЦ  │ пищевые  │алкоголь-│ непро- │услуги │</w:t>
      </w:r>
    </w:p>
    <w:p>
      <w:pPr>
        <w:spacing w:after="120"/>
        <w:jc w:val="both"/>
      </w:pPr>
      <w:r>
        <w:rPr>
          <w:rFonts w:ascii="Arial" w:cs="Arial" w:eastAsia="Arial" w:hAnsi="Arial"/>
          <w:sz w:val="24"/>
          <w:szCs w:val="24"/>
        </w:rPr>
        <w:t xml:space="preserve">│                       │       │продукты и│  ные    │ доволь-│ насе- │</w:t>
      </w:r>
    </w:p>
    <w:p>
      <w:pPr>
        <w:spacing w:after="120"/>
        <w:jc w:val="both"/>
      </w:pPr>
      <w:r>
        <w:rPr>
          <w:rFonts w:ascii="Arial" w:cs="Arial" w:eastAsia="Arial" w:hAnsi="Arial"/>
          <w:sz w:val="24"/>
          <w:szCs w:val="24"/>
        </w:rPr>
        <w:t xml:space="preserve">│                       │       │ безалко- │напитки, │ственные│ лению │</w:t>
      </w:r>
    </w:p>
    <w:p>
      <w:pPr>
        <w:spacing w:after="120"/>
        <w:jc w:val="both"/>
      </w:pPr>
      <w:r>
        <w:rPr>
          <w:rFonts w:ascii="Arial" w:cs="Arial" w:eastAsia="Arial" w:hAnsi="Arial"/>
          <w:sz w:val="24"/>
          <w:szCs w:val="24"/>
        </w:rPr>
        <w:t xml:space="preserve">│                       │       │ гольные  │табачные │ товары │       │</w:t>
      </w:r>
    </w:p>
    <w:p>
      <w:pPr>
        <w:spacing w:after="120"/>
        <w:jc w:val="both"/>
      </w:pPr>
      <w:r>
        <w:rPr>
          <w:rFonts w:ascii="Arial" w:cs="Arial" w:eastAsia="Arial" w:hAnsi="Arial"/>
          <w:sz w:val="24"/>
          <w:szCs w:val="24"/>
        </w:rPr>
        <w:t xml:space="preserve">│                       │       │ напитки  │ изделия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│Кыргызская Республика  │ 100,9 │    96,9  │  103,1  │  104,0 │ 104,9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        │       │</w:t>
      </w:r>
    </w:p>
    <w:p>
      <w:pPr>
        <w:spacing w:after="120"/>
        <w:jc w:val="both"/>
      </w:pPr>
      <w:r>
        <w:rPr>
          <w:rFonts w:ascii="Arial" w:cs="Arial" w:eastAsia="Arial" w:hAnsi="Arial"/>
          <w:sz w:val="24"/>
          <w:szCs w:val="24"/>
        </w:rPr>
        <w:t xml:space="preserve">│по областям: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102,9 │    99,8  │  106,6  │  105,1 │ 105,2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99,9 │    98,1  │  104,0  │   99,2 │ 103,5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102,0 │    96,7  │  112,8  │  106,0 │ 102,2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103,5 │   101,3  │  104,5  │  105,9 │ 103,8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100,6 │    97,8  │  102,7  │  101,5 │ 105,5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100,7 │    97,6  │  104,2  │  101,9 │ 104,8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100,0 │    96,5  │  101,8  │  103,9 │ 101,3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100,9 │    96,4  │  102,2  │  105,0 │ 105,7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I полугодии 2012 года рост потребительских цен и тарифов наблюдался на всей территории республики, за исключением Джалал-Абадской области. При этом, наиболее высокий их прирост (на 3,5%) отмечен в Нарынской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Денежно-кредитная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данным аналитического баланса Национального банка Кыргызской Республики, денежная база за январь-июнь 2012 года увеличилась на 3,5% и на конец июня 2012 года составила 56,7 млрд. сомов. Объем денег в обращении на конец I полугодия 2012 года составил 51,4 млрд.сомов, увеличившись с начала текущего года на 3,0%.</w:t>
      </w:r>
    </w:p>
    <w:p>
      <w:pPr>
        <w:spacing w:after="120"/>
        <w:jc w:val="both"/>
      </w:pPr>
      <w:r>
        <w:rPr>
          <w:rFonts w:ascii="Arial" w:cs="Arial" w:eastAsia="Arial" w:hAnsi="Arial"/>
          <w:sz w:val="24"/>
          <w:szCs w:val="24"/>
        </w:rPr>
        <w:t xml:space="preserve">По предварительным данным аналитического баланса банковской системы, денежный агрегат М2, включающий в себя наличные деньги вне банков и депозиты в национальной валюте, на конец июня 2012 года составил 67,2 млрд.сомов, увеличившись за рассматриваемый период на 8,2%.</w:t>
      </w:r>
    </w:p>
    <w:p>
      <w:pPr>
        <w:spacing w:after="120"/>
        <w:jc w:val="both"/>
      </w:pPr>
      <w:r>
        <w:rPr>
          <w:rFonts w:ascii="Arial" w:cs="Arial" w:eastAsia="Arial" w:hAnsi="Arial"/>
          <w:sz w:val="24"/>
          <w:szCs w:val="24"/>
        </w:rPr>
        <w:t xml:space="preserve">Объем широкой денежной массы М2Х (М2 + депозиты в иностранной валюте) с начала 2012 года увеличился на 11,1%, составив на конец июня 2012 года 88,4 млрд.сомов. При этом объем депозитов вырос(1) на 23,3%, до 39,8 млрд.сомов, а объем денег вне банков увеличился на 2,8%, до 48,5 млрд.сомов.</w:t>
      </w:r>
    </w:p>
    <w:p>
      <w:pPr>
        <w:spacing w:after="120"/>
        <w:jc w:val="both"/>
      </w:pPr>
      <w:r>
        <w:rPr>
          <w:rFonts w:ascii="Arial" w:cs="Arial" w:eastAsia="Arial" w:hAnsi="Arial"/>
          <w:sz w:val="24"/>
          <w:szCs w:val="24"/>
        </w:rPr>
        <w:t xml:space="preserve">Кредит в экономику на конец I полугодия 2012 года составил 37,2 млрд.сомов, увеличившись за рассматриваемый период на 11,6% (в январе-июне 2011 года кредит в экономику вырос на 9,8%).</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денежно-кредитной политики</w:t>
      </w:r>
    </w:p>
    <w:p>
      <w:pPr>
        <w:spacing w:after="120"/>
        <w:jc w:val="both"/>
      </w:pPr>
      <w:r>
        <w:rPr>
          <w:rFonts w:ascii="Arial" w:cs="Arial" w:eastAsia="Arial" w:hAnsi="Arial"/>
          <w:sz w:val="24"/>
          <w:szCs w:val="24"/>
        </w:rPr>
        <w:t xml:space="preserve">(на конец периода)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Ед. │Фактические│Показатели│ Абсолют-│ Откл.│</w:t>
      </w:r>
    </w:p>
    <w:p>
      <w:pPr>
        <w:spacing w:after="120"/>
        <w:jc w:val="both"/>
      </w:pPr>
      <w:r>
        <w:rPr>
          <w:rFonts w:ascii="Arial" w:cs="Arial" w:eastAsia="Arial" w:hAnsi="Arial"/>
          <w:sz w:val="24"/>
          <w:szCs w:val="24"/>
        </w:rPr>
        <w:t xml:space="preserve">│      показателя       │изме-│показатели,│  предыд. │   ное   │  от  │</w:t>
      </w:r>
    </w:p>
    <w:p>
      <w:pPr>
        <w:spacing w:after="120"/>
        <w:jc w:val="both"/>
      </w:pPr>
      <w:r>
        <w:rPr>
          <w:rFonts w:ascii="Arial" w:cs="Arial" w:eastAsia="Arial" w:hAnsi="Arial"/>
          <w:sz w:val="24"/>
          <w:szCs w:val="24"/>
        </w:rPr>
        <w:t xml:space="preserve">│                       │рения│   июнь    │ периода, │изменение│ факт.│</w:t>
      </w:r>
    </w:p>
    <w:p>
      <w:pPr>
        <w:spacing w:after="120"/>
        <w:jc w:val="both"/>
      </w:pPr>
      <w:r>
        <w:rPr>
          <w:rFonts w:ascii="Arial" w:cs="Arial" w:eastAsia="Arial" w:hAnsi="Arial"/>
          <w:sz w:val="24"/>
          <w:szCs w:val="24"/>
        </w:rPr>
        <w:t xml:space="preserve">│                       │     │  2012 г.  │   дек.   │         │(+, -)│</w:t>
      </w:r>
    </w:p>
    <w:p>
      <w:pPr>
        <w:spacing w:after="120"/>
        <w:jc w:val="both"/>
      </w:pPr>
      <w:r>
        <w:rPr>
          <w:rFonts w:ascii="Arial" w:cs="Arial" w:eastAsia="Arial" w:hAnsi="Arial"/>
          <w:sz w:val="24"/>
          <w:szCs w:val="24"/>
        </w:rPr>
        <w:t xml:space="preserve">│                       │     │           │  2011 г. │         │  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│Денежная база          │млн. │ 56695,9   │54803,2   │1892,7   │  3,5 │</w:t>
      </w:r>
    </w:p>
    <w:p>
      <w:pPr>
        <w:spacing w:after="120"/>
        <w:jc w:val="both"/>
      </w:pPr>
      <w:r>
        <w:rPr>
          <w:rFonts w:ascii="Arial" w:cs="Arial" w:eastAsia="Arial" w:hAnsi="Arial"/>
          <w:sz w:val="24"/>
          <w:szCs w:val="24"/>
        </w:rPr>
        <w:t xml:space="preserve">│                       │сомов│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│Деньги в обращении     │млн. │ 51379,6   │49866,9   │1512,6   │  3,0 │</w:t>
      </w:r>
    </w:p>
    <w:p>
      <w:pPr>
        <w:spacing w:after="120"/>
        <w:jc w:val="both"/>
      </w:pPr>
      <w:r>
        <w:rPr>
          <w:rFonts w:ascii="Arial" w:cs="Arial" w:eastAsia="Arial" w:hAnsi="Arial"/>
          <w:sz w:val="24"/>
          <w:szCs w:val="24"/>
        </w:rPr>
        <w:t xml:space="preserve">│                       │сомов│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│Деньги вне банков (М0) │млн. │ 48544,1   │47219,6   │1324,6   │  2,8 │</w:t>
      </w:r>
    </w:p>
    <w:p>
      <w:pPr>
        <w:spacing w:after="120"/>
        <w:jc w:val="both"/>
      </w:pPr>
      <w:r>
        <w:rPr>
          <w:rFonts w:ascii="Arial" w:cs="Arial" w:eastAsia="Arial" w:hAnsi="Arial"/>
          <w:sz w:val="24"/>
          <w:szCs w:val="24"/>
        </w:rPr>
        <w:t xml:space="preserve">│                       │сомов│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│Денежная масса (М2)    │млн. │ 67248,2   │62125,3   │5122,8   │  8,2 │</w:t>
      </w:r>
    </w:p>
    <w:p>
      <w:pPr>
        <w:spacing w:after="120"/>
        <w:jc w:val="both"/>
      </w:pPr>
      <w:r>
        <w:rPr>
          <w:rFonts w:ascii="Arial" w:cs="Arial" w:eastAsia="Arial" w:hAnsi="Arial"/>
          <w:sz w:val="24"/>
          <w:szCs w:val="24"/>
        </w:rPr>
        <w:t xml:space="preserve">│                       │сомов│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│Денежная масса (М2Х)   │млн. │ 88367,9   │79527,8   │8840,1   │ 11,1 │</w:t>
      </w:r>
    </w:p>
    <w:p>
      <w:pPr>
        <w:spacing w:after="120"/>
        <w:jc w:val="both"/>
      </w:pPr>
      <w:r>
        <w:rPr>
          <w:rFonts w:ascii="Arial" w:cs="Arial" w:eastAsia="Arial" w:hAnsi="Arial"/>
          <w:sz w:val="24"/>
          <w:szCs w:val="24"/>
        </w:rPr>
        <w:t xml:space="preserve">│                       │сомов│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│Депозиты, включаемые   │млн. │ 39823,8   │32308,2   │7515,5   │ 23,3 │</w:t>
      </w:r>
    </w:p>
    <w:p>
      <w:pPr>
        <w:spacing w:after="120"/>
        <w:jc w:val="both"/>
      </w:pPr>
      <w:r>
        <w:rPr>
          <w:rFonts w:ascii="Arial" w:cs="Arial" w:eastAsia="Arial" w:hAnsi="Arial"/>
          <w:sz w:val="24"/>
          <w:szCs w:val="24"/>
        </w:rPr>
        <w:t xml:space="preserve">│в М2Х                  │сомов│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│Кредит в экономику     │млн. │ 37183,2   │33321,9   │3861,4   │ 11,6 │</w:t>
      </w:r>
    </w:p>
    <w:p>
      <w:pPr>
        <w:spacing w:after="120"/>
        <w:jc w:val="both"/>
      </w:pPr>
      <w:r>
        <w:rPr>
          <w:rFonts w:ascii="Arial" w:cs="Arial" w:eastAsia="Arial" w:hAnsi="Arial"/>
          <w:sz w:val="24"/>
          <w:szCs w:val="24"/>
        </w:rPr>
        <w:t xml:space="preserve">│                       │сомов│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│Обменный курс          │сом/ │    47,2445│   46,4847│   0,7598│  1,6 │</w:t>
      </w:r>
    </w:p>
    <w:p>
      <w:pPr>
        <w:spacing w:after="120"/>
        <w:jc w:val="both"/>
      </w:pPr>
      <w:r>
        <w:rPr>
          <w:rFonts w:ascii="Arial" w:cs="Arial" w:eastAsia="Arial" w:hAnsi="Arial"/>
          <w:sz w:val="24"/>
          <w:szCs w:val="24"/>
        </w:rPr>
        <w:t xml:space="preserve">│                       │долл.│           │          │         │      │</w:t>
      </w:r>
    </w:p>
    <w:p>
      <w:pPr>
        <w:spacing w:after="120"/>
        <w:jc w:val="both"/>
      </w:pPr>
      <w:r>
        <w:rPr>
          <w:rFonts w:ascii="Arial" w:cs="Arial" w:eastAsia="Arial" w:hAnsi="Arial"/>
          <w:sz w:val="24"/>
          <w:szCs w:val="24"/>
        </w:rPr>
        <w:t xml:space="preserve">│                       │США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Объем международных резервов, по состоянию на 30 июня 2012 года, составил 1915,3 млрд. долл. США, увеличившись с начала 2012 года на 80,8 млн.долл. США или на 4,4%. За период с начала 2012 года на объем валовых международных резервов влияние оказали: валютные операции НБКР, проводимые на внутреннем рынке страны; доходы, полученные от управления международными резервами; изменение курсов валют, входящих в состав международных резервов; изменение цен на драгоценные металлы; операции по покупке золота на внутреннем рынке Кыргызстана; поступления валютных средств в пользу Правительства Кыргызской Республики от стран-доноров; выплаты по внешним обязательствам Кыргызской Республики.</w:t>
      </w:r>
    </w:p>
    <w:p>
      <w:pPr>
        <w:spacing w:after="120"/>
        <w:jc w:val="both"/>
      </w:pPr>
      <w:r>
        <w:rPr>
          <w:rFonts w:ascii="Arial" w:cs="Arial" w:eastAsia="Arial" w:hAnsi="Arial"/>
          <w:sz w:val="24"/>
          <w:szCs w:val="24"/>
        </w:rPr>
        <w:t xml:space="preserve">На 31 мая 2012 года банковской системой в целом получена чистая прибыль в размере 841,5 млн.сомов. Суммарные активы банковской системы увеличились с начала года на 13,1% и составили 75,53 млрд.сомов.</w:t>
      </w:r>
    </w:p>
    <w:p>
      <w:pPr>
        <w:spacing w:after="120"/>
        <w:jc w:val="both"/>
      </w:pPr>
      <w:r>
        <w:rPr>
          <w:rFonts w:ascii="Arial" w:cs="Arial" w:eastAsia="Arial" w:hAnsi="Arial"/>
          <w:sz w:val="24"/>
          <w:szCs w:val="24"/>
        </w:rPr>
        <w:t xml:space="preserve">Общая депозитная база(2) банковской системы в целом составила 47,56 млрд.сомов, увеличившись с начала года на 18,1%, в том числе:</w:t>
      </w:r>
    </w:p>
    <w:p>
      <w:pPr>
        <w:spacing w:after="120"/>
        <w:jc w:val="both"/>
      </w:pPr>
      <w:r>
        <w:rPr>
          <w:rFonts w:ascii="Arial" w:cs="Arial" w:eastAsia="Arial" w:hAnsi="Arial"/>
          <w:sz w:val="24"/>
          <w:szCs w:val="24"/>
        </w:rPr>
        <w:t xml:space="preserve">- депозиты предприятий и населения составили 37,77 млрд.сомов, прирост с начала года - на 17,5%;</w:t>
      </w:r>
    </w:p>
    <w:p>
      <w:pPr>
        <w:spacing w:after="120"/>
        <w:jc w:val="both"/>
      </w:pPr>
      <w:r>
        <w:rPr>
          <w:rFonts w:ascii="Arial" w:cs="Arial" w:eastAsia="Arial" w:hAnsi="Arial"/>
          <w:sz w:val="24"/>
          <w:szCs w:val="24"/>
        </w:rPr>
        <w:t xml:space="preserve">- депозиты банков и других ФКУ составили 3,93 млрд.сомов, прирост с начала года - на 16,4%;</w:t>
      </w:r>
    </w:p>
    <w:p>
      <w:pPr>
        <w:spacing w:after="120"/>
        <w:jc w:val="both"/>
      </w:pPr>
      <w:r>
        <w:rPr>
          <w:rFonts w:ascii="Arial" w:cs="Arial" w:eastAsia="Arial" w:hAnsi="Arial"/>
          <w:sz w:val="24"/>
          <w:szCs w:val="24"/>
        </w:rPr>
        <w:t xml:space="preserve">- депозиты органов власти составили 5,86 млрд.сомов, снизившись с начала года - на 23,1%.</w:t>
      </w:r>
    </w:p>
    <w:p>
      <w:pPr>
        <w:spacing w:after="120"/>
        <w:jc w:val="both"/>
      </w:pPr>
      <w:r>
        <w:rPr>
          <w:rFonts w:ascii="Arial" w:cs="Arial" w:eastAsia="Arial" w:hAnsi="Arial"/>
          <w:sz w:val="24"/>
          <w:szCs w:val="24"/>
        </w:rPr>
        <w:t xml:space="preserve">С начала года в целом по банковской системе отмечается прирост по депозитам: юридических лиц - на 22,8%, физических лиц - на 12,3%, что отражает сохранение доверия к банковской системе.</w:t>
      </w:r>
    </w:p>
    <w:p>
      <w:pPr>
        <w:spacing w:after="120"/>
        <w:jc w:val="both"/>
      </w:pPr>
      <w:r>
        <w:rPr>
          <w:rFonts w:ascii="Arial" w:cs="Arial" w:eastAsia="Arial" w:hAnsi="Arial"/>
          <w:sz w:val="24"/>
          <w:szCs w:val="24"/>
        </w:rPr>
        <w:t xml:space="preserve">Уровень "долларизации" депозитов физических и юридических лиц банковской системы в целом по состоянию на 31 мая 2012 года, составил 52,8% (снижение с начала года на 1,4 процентных пункта).</w:t>
      </w:r>
    </w:p>
    <w:p>
      <w:pPr>
        <w:spacing w:after="120"/>
        <w:jc w:val="both"/>
      </w:pPr>
      <w:r>
        <w:rPr>
          <w:rFonts w:ascii="Arial" w:cs="Arial" w:eastAsia="Arial" w:hAnsi="Arial"/>
          <w:sz w:val="24"/>
          <w:szCs w:val="24"/>
        </w:rPr>
        <w:t xml:space="preserve">Объем кредитов клиентам (остатков задолженности по кредитам) банковской системы в целом, по состоянию на 31 мая 2012 года, составил 34,19 млрд.сомов, увеличившись с начала года на 9,8% (на конец 2011 года - 31,14 млрд.сомов).</w:t>
      </w:r>
    </w:p>
    <w:p>
      <w:pPr>
        <w:spacing w:after="120"/>
        <w:jc w:val="both"/>
      </w:pPr>
      <w:r>
        <w:rPr>
          <w:rFonts w:ascii="Arial" w:cs="Arial" w:eastAsia="Arial" w:hAnsi="Arial"/>
          <w:sz w:val="24"/>
          <w:szCs w:val="24"/>
        </w:rPr>
        <w:t xml:space="preserve">В кредитном портфеле банковской системы в целом доля классифицированных кредитов, по состоянию на 31 мая 2012 года, составила 9,4% или 3,22 млрд.сомов (на конец 2011 года - 10,2% или 3,17 млрд.сомов). Кроме этого, в январе-мае 2012 г. отмечается продолжение роста просроченных кредитов - с 2,42 млрд.сомов на начало года до 2,98 млрд.сомов или на 23,1%.</w:t>
      </w:r>
    </w:p>
    <w:p>
      <w:pPr>
        <w:spacing w:after="120"/>
        <w:jc w:val="both"/>
      </w:pPr>
      <w:r>
        <w:rPr>
          <w:rFonts w:ascii="Arial" w:cs="Arial" w:eastAsia="Arial" w:hAnsi="Arial"/>
          <w:sz w:val="24"/>
          <w:szCs w:val="24"/>
        </w:rPr>
        <w:t xml:space="preserve">Уровень "долларизации" кредитов клиентов банковской системы в целом, по состоянию на 31 мая 2012 года, составил 56,3%, увеличившись с начала года на 1,1 процентных пункта.</w:t>
      </w:r>
    </w:p>
    <w:p>
      <w:pPr>
        <w:spacing w:after="120"/>
        <w:jc w:val="both"/>
      </w:pPr>
      <w:r>
        <w:rPr>
          <w:rFonts w:ascii="Arial" w:cs="Arial" w:eastAsia="Arial" w:hAnsi="Arial"/>
          <w:sz w:val="24"/>
          <w:szCs w:val="24"/>
        </w:rPr>
        <w:t xml:space="preserve">Показатель чистого суммарного капитала банковской системы в целом, применяемый для расчета установленных Национальным банком Кыргызской Республики экономических нормативов, на 31 мая 2012 года составил 13,64 млрд.сомов, увеличившись с начала года на 1,6%.</w:t>
      </w:r>
    </w:p>
    <w:p>
      <w:pPr>
        <w:spacing w:after="120"/>
        <w:jc w:val="both"/>
      </w:pPr>
      <w:r>
        <w:rPr>
          <w:rFonts w:ascii="Arial" w:cs="Arial" w:eastAsia="Arial" w:hAnsi="Arial"/>
          <w:sz w:val="24"/>
          <w:szCs w:val="24"/>
        </w:rPr>
        <w:t xml:space="preserve">По состоянию на 31 мая 2012 года, общий показатель достаточности чистого суммарного капитала по банковской системе составил 27,9% (на конец 2011 года - 30,3%) при нормативе 12%, коэффициент ликвидности по банковской системе составил 80,1%, при нормативе 30,0%.</w:t>
      </w:r>
    </w:p>
    <w:p>
      <w:pPr>
        <w:spacing w:after="120"/>
        <w:jc w:val="both"/>
      </w:pPr>
      <w:r>
        <w:rPr>
          <w:rFonts w:ascii="Arial" w:cs="Arial" w:eastAsia="Arial" w:hAnsi="Arial"/>
          <w:sz w:val="24"/>
          <w:szCs w:val="24"/>
        </w:rPr>
        <w:t xml:space="preserve">Доходность активов банковской системы (ROA), по состоянию на 31 мая 2012 года, составила 2,7%, а доходность на вложенный капитал (ROE) - 16,4%.</w:t>
      </w:r>
    </w:p>
    <w:p>
      <w:pPr>
        <w:spacing w:after="120"/>
        <w:jc w:val="both"/>
      </w:pPr>
      <w:r>
        <w:rPr>
          <w:rFonts w:ascii="Arial" w:cs="Arial" w:eastAsia="Arial" w:hAnsi="Arial"/>
          <w:sz w:val="24"/>
          <w:szCs w:val="24"/>
        </w:rPr>
        <w:t xml:space="preserve">По состоянию на 31 мая 2012 года, общий уровень финансового посредничества (активы/ВВП) составил 27,1% (на начало 2012 года - 24,4%).</w:t>
      </w:r>
    </w:p>
    <w:p>
      <w:pPr>
        <w:spacing w:after="120"/>
        <w:jc w:val="both"/>
      </w:pPr>
      <w:r>
        <w:rPr>
          <w:rFonts w:ascii="Arial" w:cs="Arial" w:eastAsia="Arial" w:hAnsi="Arial"/>
          <w:sz w:val="24"/>
          <w:szCs w:val="24"/>
        </w:rPr>
        <w:t xml:space="preserve">Обменный курс. За январь-июнь 2012 года объем покупок Национального банка Кыргызской Республики составил 4,8 млн.долл. США, а объем продажи - 43,05 млн.долл. США. Чистая продажа на межбанковском валютном рынке составила 38,25 млн.долл. США.</w:t>
      </w:r>
    </w:p>
    <w:p>
      <w:pPr>
        <w:spacing w:after="120"/>
        <w:jc w:val="both"/>
      </w:pPr>
      <w:r>
        <w:rPr>
          <w:rFonts w:ascii="Arial" w:cs="Arial" w:eastAsia="Arial" w:hAnsi="Arial"/>
          <w:sz w:val="24"/>
          <w:szCs w:val="24"/>
        </w:rPr>
        <w:t xml:space="preserve">Официальный курс доллара США по отношению к кыргызскому сому с начала 2012 года повысился на 1,63% с 46,4847 сома за 1 доллар США в начале января до 47,2445 сома за 1 доллар США на конец июня 2012 года.</w:t>
      </w:r>
    </w:p>
    <w:p>
      <w:pPr>
        <w:spacing w:after="120"/>
        <w:jc w:val="both"/>
      </w:pPr>
      <w:r>
        <w:rPr>
          <w:rFonts w:ascii="Arial" w:cs="Arial" w:eastAsia="Arial" w:hAnsi="Arial"/>
          <w:sz w:val="24"/>
          <w:szCs w:val="24"/>
        </w:rPr>
        <w:t xml:space="preserve">В рамках заявленной денежно-кредитной политики на 2012 год Национальный банк Кыргызской Республики проводил политику плавающего обменного курса и участвовал на межбанковском внутреннем валютном рынке с целью смягчения резких колебаний обменного курса.</w:t>
      </w:r>
    </w:p>
    <w:p>
      <w:pPr>
        <w:spacing w:after="120"/>
        <w:jc w:val="both"/>
      </w:pPr>
      <w:r>
        <w:rPr>
          <w:rFonts w:ascii="Arial" w:cs="Arial" w:eastAsia="Arial" w:hAnsi="Arial"/>
          <w:sz w:val="24"/>
          <w:szCs w:val="24"/>
        </w:rPr>
        <w:t xml:space="preserve">Действия Правительства и Национального банка Кыргызской Республики были направлены на сдерживание монетарных факторов инфляции посредством применения инструментов денежно-кредитной политики, где первоочередной задачей являлось формирование адекватных инфляционных ожиданий и восстановление доверия к банковской системе.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Развитие реального сектора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Промышленность(3)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январь-июнь 2012 года промышленными предприятиями произведено продукции на сумму 53,6 млрд.сомов, где объем производства по сравнению с соответствующим периодом 2011 года снизился и составил 68,4%. Без учета предприятий по разработке месторождения "Кумтор" - 36,2 млрд.сомов, или реально вырос на 8,2%.</w:t>
      </w:r>
    </w:p>
    <w:p>
      <w:pPr>
        <w:spacing w:after="120"/>
        <w:jc w:val="both"/>
      </w:pPr>
      <w:r>
        <w:rPr>
          <w:rFonts w:ascii="Arial" w:cs="Arial" w:eastAsia="Arial" w:hAnsi="Arial"/>
          <w:sz w:val="24"/>
          <w:szCs w:val="24"/>
        </w:rPr>
        <w:t xml:space="preserve">Отрицательный вклад в формирование ВВП со стороны промышленного производства оценивается на уровне (-)8,11 п.п., включая предприятия по разработке месторождения "Кумтор" (отрицательный вклад (-)8,95 п.п.). Удельный вес промышленности в структуре производства ВВП составил 16,6%, снизившись на 8,5 п.п. по сравнению с соответствующим периодом 2011 года.</w:t>
      </w:r>
    </w:p>
    <w:p>
      <w:pPr>
        <w:spacing w:after="120"/>
        <w:jc w:val="both"/>
      </w:pPr>
      <w:r>
        <w:rPr>
          <w:rFonts w:ascii="Arial" w:cs="Arial" w:eastAsia="Arial" w:hAnsi="Arial"/>
          <w:sz w:val="24"/>
          <w:szCs w:val="24"/>
        </w:rPr>
        <w:t xml:space="preserve">Рост физического объема промышленной продукции достигнут всеми регионами республики, за исключением Иссык-Кульской области. Реальный рост объема промышленной продукции в январе-июне 2012 г. обеспечен хозяйствующими субъектами Баткенской (113,3%), Джалал-Абадской (104,9%), Ошской (110,9%), Нарынской (112,9%), Таласской (119,2%), Чуйской (109,4%) областей и гг. Бишкек (102,7%) и Ош (124,3%). Основной вклад в объем промышленного производства традиционно внесен Чуйской (35,5%), Джалал-Абадской (11,7%), Иссык-Кульской (17,2%) областями и г.Бишкек (25,6%), доля которых по итогам за январь-июнь 2012 г. составила 90,0%. В Иссык-Кульской области объем производства промышленной продукции снизился и составил 35,3%, за счет падения производства на предприятиях по разработке месторождения "Кумтор", удельный вес которого в промышленности республики продолжает оставаться высоким, составив одну третью часть.</w:t>
      </w:r>
    </w:p>
    <w:p>
      <w:pPr>
        <w:spacing w:after="120"/>
        <w:jc w:val="both"/>
      </w:pPr>
      <w:r>
        <w:rPr>
          <w:rFonts w:ascii="Arial" w:cs="Arial" w:eastAsia="Arial" w:hAnsi="Arial"/>
          <w:sz w:val="24"/>
          <w:szCs w:val="24"/>
        </w:rPr>
        <w:t xml:space="preserve">В основных секторах промышленности в январе-июне 2012 года ситуация сложилась следующим образом:</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процентах)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│Уд. вес│Январь- │Январь- │ Откл. │ Прог- │ Откл.│</w:t>
      </w:r>
    </w:p>
    <w:p>
      <w:pPr>
        <w:spacing w:after="120"/>
        <w:jc w:val="both"/>
      </w:pPr>
      <w:r>
        <w:rPr>
          <w:rFonts w:ascii="Arial" w:cs="Arial" w:eastAsia="Arial" w:hAnsi="Arial"/>
          <w:sz w:val="24"/>
          <w:szCs w:val="24"/>
        </w:rPr>
        <w:t xml:space="preserve">│                    │в общем│ июнь   │ июнь   │  от   │нозные │  от  │</w:t>
      </w:r>
    </w:p>
    <w:p>
      <w:pPr>
        <w:spacing w:after="120"/>
        <w:jc w:val="both"/>
      </w:pPr>
      <w:r>
        <w:rPr>
          <w:rFonts w:ascii="Arial" w:cs="Arial" w:eastAsia="Arial" w:hAnsi="Arial"/>
          <w:sz w:val="24"/>
          <w:szCs w:val="24"/>
        </w:rPr>
        <w:t xml:space="preserve">│                    │объеме │2012 г.,│2011 г.,│ факт. │ пока- │прогн.│</w:t>
      </w:r>
    </w:p>
    <w:p>
      <w:pPr>
        <w:spacing w:after="120"/>
        <w:jc w:val="both"/>
      </w:pPr>
      <w:r>
        <w:rPr>
          <w:rFonts w:ascii="Arial" w:cs="Arial" w:eastAsia="Arial" w:hAnsi="Arial"/>
          <w:sz w:val="24"/>
          <w:szCs w:val="24"/>
        </w:rPr>
        <w:t xml:space="preserve">│                    │ пром. │ пред.  │ факт.  │(+, -) │затели │(+, -)│</w:t>
      </w:r>
    </w:p>
    <w:p>
      <w:pPr>
        <w:spacing w:after="120"/>
        <w:jc w:val="both"/>
      </w:pPr>
      <w:r>
        <w:rPr>
          <w:rFonts w:ascii="Arial" w:cs="Arial" w:eastAsia="Arial" w:hAnsi="Arial"/>
          <w:sz w:val="24"/>
          <w:szCs w:val="24"/>
        </w:rPr>
        <w:t xml:space="preserve">│                    │январь-│ факт.  │        │       │  на   │      │</w:t>
      </w:r>
    </w:p>
    <w:p>
      <w:pPr>
        <w:spacing w:after="120"/>
        <w:jc w:val="both"/>
      </w:pPr>
      <w:r>
        <w:rPr>
          <w:rFonts w:ascii="Arial" w:cs="Arial" w:eastAsia="Arial" w:hAnsi="Arial"/>
          <w:sz w:val="24"/>
          <w:szCs w:val="24"/>
        </w:rPr>
        <w:t xml:space="preserve">│                    │ июнь  │        │        │       │январь-│      │</w:t>
      </w:r>
    </w:p>
    <w:p>
      <w:pPr>
        <w:spacing w:after="120"/>
        <w:jc w:val="both"/>
      </w:pPr>
      <w:r>
        <w:rPr>
          <w:rFonts w:ascii="Arial" w:cs="Arial" w:eastAsia="Arial" w:hAnsi="Arial"/>
          <w:sz w:val="24"/>
          <w:szCs w:val="24"/>
        </w:rPr>
        <w:t xml:space="preserve">│                    │2012 г.│        │        │       │ июнь  │      │</w:t>
      </w:r>
    </w:p>
    <w:p>
      <w:pPr>
        <w:spacing w:after="120"/>
        <w:jc w:val="both"/>
      </w:pPr>
      <w:r>
        <w:rPr>
          <w:rFonts w:ascii="Arial" w:cs="Arial" w:eastAsia="Arial" w:hAnsi="Arial"/>
          <w:sz w:val="24"/>
          <w:szCs w:val="24"/>
        </w:rPr>
        <w:t xml:space="preserve">│                    │       │        │        │       │2012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│Промышленность,     │ 100,0 │   68,4 │  114,9 │ -46,5 │  71,5 │ -3,1 │</w:t>
      </w:r>
    </w:p>
    <w:p>
      <w:pPr>
        <w:spacing w:after="120"/>
        <w:jc w:val="both"/>
      </w:pPr>
      <w:r>
        <w:rPr>
          <w:rFonts w:ascii="Arial" w:cs="Arial" w:eastAsia="Arial" w:hAnsi="Arial"/>
          <w:sz w:val="24"/>
          <w:szCs w:val="24"/>
        </w:rPr>
        <w:t xml:space="preserve">│всего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без     │  67,5 │  108,2 │  116,9 │  -8,7 │ 109,1 │ -0,9 │</w:t>
      </w:r>
    </w:p>
    <w:p>
      <w:pPr>
        <w:spacing w:after="120"/>
        <w:jc w:val="both"/>
      </w:pPr>
      <w:r>
        <w:rPr>
          <w:rFonts w:ascii="Arial" w:cs="Arial" w:eastAsia="Arial" w:hAnsi="Arial"/>
          <w:sz w:val="24"/>
          <w:szCs w:val="24"/>
        </w:rPr>
        <w:t xml:space="preserve">│учета предприятий по│       │        │        │       │       │      │</w:t>
      </w:r>
    </w:p>
    <w:p>
      <w:pPr>
        <w:spacing w:after="120"/>
        <w:jc w:val="both"/>
      </w:pPr>
      <w:r>
        <w:rPr>
          <w:rFonts w:ascii="Arial" w:cs="Arial" w:eastAsia="Arial" w:hAnsi="Arial"/>
          <w:sz w:val="24"/>
          <w:szCs w:val="24"/>
        </w:rPr>
        <w:t xml:space="preserve">│разработке          │       │        │        │       │       │      │</w:t>
      </w:r>
    </w:p>
    <w:p>
      <w:pPr>
        <w:spacing w:after="120"/>
        <w:jc w:val="both"/>
      </w:pPr>
      <w:r>
        <w:rPr>
          <w:rFonts w:ascii="Arial" w:cs="Arial" w:eastAsia="Arial" w:hAnsi="Arial"/>
          <w:sz w:val="24"/>
          <w:szCs w:val="24"/>
        </w:rPr>
        <w:t xml:space="preserve">│месторождения       │       │        │        │       │       │      │</w:t>
      </w:r>
    </w:p>
    <w:p>
      <w:pPr>
        <w:spacing w:after="120"/>
        <w:jc w:val="both"/>
      </w:pPr>
      <w:r>
        <w:rPr>
          <w:rFonts w:ascii="Arial" w:cs="Arial" w:eastAsia="Arial" w:hAnsi="Arial"/>
          <w:sz w:val="24"/>
          <w:szCs w:val="24"/>
        </w:rPr>
        <w:t xml:space="preserve">│"Кумтор"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│Обрабатывающая      │  72,0 │  57,4  │  112,9 │ -55,5 │  63,6 │ -6,2 │</w:t>
      </w:r>
    </w:p>
    <w:p>
      <w:pPr>
        <w:spacing w:after="120"/>
        <w:jc w:val="both"/>
      </w:pPr>
      <w:r>
        <w:rPr>
          <w:rFonts w:ascii="Arial" w:cs="Arial" w:eastAsia="Arial" w:hAnsi="Arial"/>
          <w:sz w:val="24"/>
          <w:szCs w:val="24"/>
        </w:rPr>
        <w:t xml:space="preserve">│промышленность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│Производство и      │  24,1 │ 113,0  │  126,8 │ -13,8 │ 109,2 │  3,8 │</w:t>
      </w:r>
    </w:p>
    <w:p>
      <w:pPr>
        <w:spacing w:after="120"/>
        <w:jc w:val="both"/>
      </w:pPr>
      <w:r>
        <w:rPr>
          <w:rFonts w:ascii="Arial" w:cs="Arial" w:eastAsia="Arial" w:hAnsi="Arial"/>
          <w:sz w:val="24"/>
          <w:szCs w:val="24"/>
        </w:rPr>
        <w:t xml:space="preserve">│распределение       │       │        │        │       │       │      │</w:t>
      </w:r>
    </w:p>
    <w:p>
      <w:pPr>
        <w:spacing w:after="120"/>
        <w:jc w:val="both"/>
      </w:pPr>
      <w:r>
        <w:rPr>
          <w:rFonts w:ascii="Arial" w:cs="Arial" w:eastAsia="Arial" w:hAnsi="Arial"/>
          <w:sz w:val="24"/>
          <w:szCs w:val="24"/>
        </w:rPr>
        <w:t xml:space="preserve">│электроэнергии,     │       │        │        │       │       │      │</w:t>
      </w:r>
    </w:p>
    <w:p>
      <w:pPr>
        <w:spacing w:after="120"/>
        <w:jc w:val="both"/>
      </w:pPr>
      <w:r>
        <w:rPr>
          <w:rFonts w:ascii="Arial" w:cs="Arial" w:eastAsia="Arial" w:hAnsi="Arial"/>
          <w:sz w:val="24"/>
          <w:szCs w:val="24"/>
        </w:rPr>
        <w:t xml:space="preserve">│газа и воды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│Горнодобывающая     │   3,9 │ 106,6  │  111,3 │  -4,7 │ 104,3 │  2,3 │</w:t>
      </w:r>
    </w:p>
    <w:p>
      <w:pPr>
        <w:spacing w:after="120"/>
        <w:jc w:val="both"/>
      </w:pPr>
      <w:r>
        <w:rPr>
          <w:rFonts w:ascii="Arial" w:cs="Arial" w:eastAsia="Arial" w:hAnsi="Arial"/>
          <w:sz w:val="24"/>
          <w:szCs w:val="24"/>
        </w:rPr>
        <w:t xml:space="preserve">│промышленность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Фактический объем производства промышленности не достиг прогнозируемого уровня на январь-июнь 2012 г. на 3,1% (см. табл.5).</w:t>
      </w:r>
    </w:p>
    <w:p>
      <w:pPr>
        <w:spacing w:after="120"/>
        <w:jc w:val="both"/>
      </w:pPr>
      <w:r>
        <w:rPr>
          <w:rFonts w:ascii="Arial" w:cs="Arial" w:eastAsia="Arial" w:hAnsi="Arial"/>
          <w:sz w:val="24"/>
          <w:szCs w:val="24"/>
        </w:rPr>
        <w:t xml:space="preserve">Значительное снижение объемов производства промышленной продукции по сравнению с соответствующим периодом 2011 года обусловлено сокращением объемов производства в обрабатывающей промышленности.</w:t>
      </w:r>
    </w:p>
    <w:p>
      <w:pPr>
        <w:spacing w:after="120"/>
        <w:jc w:val="both"/>
      </w:pPr>
      <w:r>
        <w:rPr>
          <w:rFonts w:ascii="Arial" w:cs="Arial" w:eastAsia="Arial" w:hAnsi="Arial"/>
          <w:sz w:val="24"/>
          <w:szCs w:val="24"/>
        </w:rPr>
        <w:t xml:space="preserve">(1) В обрабатывающей промышленности, с самым высоким удельным весом (72,0%) в производстве промышленной продукции основными отраслями, оказавшими негативное влияние на сокращение объема производства, стали:</w:t>
      </w:r>
    </w:p>
    <w:p>
      <w:pPr>
        <w:spacing w:after="120"/>
        <w:jc w:val="both"/>
      </w:pPr>
      <w:r>
        <w:rPr>
          <w:rFonts w:ascii="Arial" w:cs="Arial" w:eastAsia="Arial" w:hAnsi="Arial"/>
          <w:sz w:val="24"/>
          <w:szCs w:val="24"/>
        </w:rPr>
        <w:t xml:space="preserve">- металлургическое производство (сокращение на 64,2%);</w:t>
      </w:r>
    </w:p>
    <w:p>
      <w:pPr>
        <w:spacing w:after="120"/>
        <w:jc w:val="both"/>
      </w:pPr>
      <w:r>
        <w:rPr>
          <w:rFonts w:ascii="Arial" w:cs="Arial" w:eastAsia="Arial" w:hAnsi="Arial"/>
          <w:sz w:val="24"/>
          <w:szCs w:val="24"/>
        </w:rPr>
        <w:t xml:space="preserve">- текстильное и швейное производство (сокращение на 21,0%);</w:t>
      </w:r>
    </w:p>
    <w:p>
      <w:pPr>
        <w:spacing w:after="120"/>
        <w:jc w:val="both"/>
      </w:pPr>
      <w:r>
        <w:rPr>
          <w:rFonts w:ascii="Arial" w:cs="Arial" w:eastAsia="Arial" w:hAnsi="Arial"/>
          <w:sz w:val="24"/>
          <w:szCs w:val="24"/>
        </w:rPr>
        <w:t xml:space="preserve">- производство нефтепродуктов (сокращение на 10,5%).</w:t>
      </w:r>
    </w:p>
    <w:p>
      <w:pPr>
        <w:spacing w:after="120"/>
        <w:jc w:val="both"/>
      </w:pPr>
      <w:r>
        <w:rPr>
          <w:rFonts w:ascii="Arial" w:cs="Arial" w:eastAsia="Arial" w:hAnsi="Arial"/>
          <w:sz w:val="24"/>
          <w:szCs w:val="24"/>
        </w:rPr>
        <w:t xml:space="preserve">Основной причиной снижения объемов металлургического производства на 64,2%, которое занимает наибольший удельный вес в общем объеме промышленности (34,2%), является сокращение объемов производства на руднике Кумтор, связанное с перекрытием карьеров содержащих металл. Основная сила направляется на горнопроходческую работу для прохода до руды с богатым содержанием металла.</w:t>
      </w:r>
    </w:p>
    <w:p>
      <w:pPr>
        <w:spacing w:after="120"/>
        <w:jc w:val="both"/>
      </w:pPr>
      <w:r>
        <w:rPr>
          <w:rFonts w:ascii="Arial" w:cs="Arial" w:eastAsia="Arial" w:hAnsi="Arial"/>
          <w:sz w:val="24"/>
          <w:szCs w:val="24"/>
        </w:rPr>
        <w:t xml:space="preserve">В швейном и текстильном производстве (уд. вес - 5,9%) сокращение производства на 21,0% произошло за счет уменьшения заказов Российской Федерации, в связи с уменьшением спроса на продукцию швейного производства из-за прохладного сезона. Кроме того, ужесточены правила на таможенной территории участников Таможенного союза.</w:t>
      </w:r>
    </w:p>
    <w:p>
      <w:pPr>
        <w:spacing w:after="120"/>
        <w:jc w:val="both"/>
      </w:pPr>
      <w:r>
        <w:rPr>
          <w:rFonts w:ascii="Arial" w:cs="Arial" w:eastAsia="Arial" w:hAnsi="Arial"/>
          <w:sz w:val="24"/>
          <w:szCs w:val="24"/>
        </w:rPr>
        <w:t xml:space="preserve">В производстве нефтепродуктов снижение объемов производства на 10,5% обусловлено простоями нефтеперерабатывающих предприятий (ОсОО "Джалал-Абадский нефтеперерабатывающий завод", ОсОО "Кантский нефтеперерабатывающий завод"), связанными с естественным истощением разработанных нефтяных месторождений и отсутствием дополнительного объема импортного сырья для переработки.</w:t>
      </w:r>
    </w:p>
    <w:p>
      <w:pPr>
        <w:spacing w:after="120"/>
        <w:jc w:val="both"/>
      </w:pPr>
      <w:r>
        <w:rPr>
          <w:rFonts w:ascii="Arial" w:cs="Arial" w:eastAsia="Arial" w:hAnsi="Arial"/>
          <w:sz w:val="24"/>
          <w:szCs w:val="24"/>
        </w:rPr>
        <w:t xml:space="preserve">В остальных производствах обрабатывающей промышленности наблюдается реальный рост выпуска продукции: в производстве пищевых продуктов, включая напитки и табак (уд. вес - 15,2%) - на 3,3%; химическом производстве - на 40,3%; в производстве машин и оборудования - на 10,4%, резиновых и пластмассовых изделий - на 11,9%, строительных материалов на 11,1%, целлюлозно-бумажном производстве - на 25,9%.</w:t>
      </w:r>
    </w:p>
    <w:p>
      <w:pPr>
        <w:spacing w:after="120"/>
        <w:jc w:val="both"/>
      </w:pPr>
      <w:r>
        <w:rPr>
          <w:rFonts w:ascii="Arial" w:cs="Arial" w:eastAsia="Arial" w:hAnsi="Arial"/>
          <w:sz w:val="24"/>
          <w:szCs w:val="24"/>
        </w:rPr>
        <w:t xml:space="preserve">(2) В производстве и распределении электроэнергии, газа и воды (уд. вес 24,1%) по итогам за январь-июнь 2012 года объем продукции составил 12,9 млрд.сомов с реальным темпом роста на 13,0% за счет повышения выработки электроэнергии на 5,5%, услуг по передаче электроэнергии - на 27,5%.</w:t>
      </w:r>
    </w:p>
    <w:p>
      <w:pPr>
        <w:spacing w:after="120"/>
        <w:jc w:val="both"/>
      </w:pPr>
      <w:r>
        <w:rPr>
          <w:rFonts w:ascii="Arial" w:cs="Arial" w:eastAsia="Arial" w:hAnsi="Arial"/>
          <w:sz w:val="24"/>
          <w:szCs w:val="24"/>
        </w:rPr>
        <w:t xml:space="preserve">Выработка электроэнергии за январь-июнь 2012 г. составила 8031,1 млн.кВтч, что на 419,0 млн.кВтч больше по сравнению с соответствующим периодом 2011 года.</w:t>
      </w:r>
    </w:p>
    <w:p>
      <w:pPr>
        <w:spacing w:after="120"/>
        <w:jc w:val="both"/>
      </w:pPr>
      <w:r>
        <w:rPr>
          <w:rFonts w:ascii="Arial" w:cs="Arial" w:eastAsia="Arial" w:hAnsi="Arial"/>
          <w:sz w:val="24"/>
          <w:szCs w:val="24"/>
        </w:rPr>
        <w:t xml:space="preserve">Объем выработанной тепловой энергии за январь-июнь 2012 года составил 1757,4 тыс.Гкал, что на 102,8 тыс.Гкал больше по сравнению с соответствующим периодом 2011 года, где вырос на 6,2%.</w:t>
      </w:r>
    </w:p>
    <w:p>
      <w:pPr>
        <w:spacing w:after="120"/>
        <w:jc w:val="both"/>
      </w:pPr>
      <w:r>
        <w:rPr>
          <w:rFonts w:ascii="Arial" w:cs="Arial" w:eastAsia="Arial" w:hAnsi="Arial"/>
          <w:sz w:val="24"/>
          <w:szCs w:val="24"/>
        </w:rPr>
        <w:t xml:space="preserve">Экспорт электроэнергии за январь-июнь 2012 года составил 544,5 млн.кВтч или 35% от аналогичного периода 2011 года, в том числе в Республику Казахстан 313 млн.кВтч, в Республику Узбекистан экспортировано 231,5 млн.кВтч.</w:t>
      </w:r>
    </w:p>
    <w:p>
      <w:pPr>
        <w:spacing w:after="120"/>
        <w:jc w:val="both"/>
      </w:pPr>
      <w:r>
        <w:rPr>
          <w:rFonts w:ascii="Arial" w:cs="Arial" w:eastAsia="Arial" w:hAnsi="Arial"/>
          <w:sz w:val="24"/>
          <w:szCs w:val="24"/>
        </w:rPr>
        <w:t xml:space="preserve">Потери электроэнергии в сетях электрораспределительных компаний за январь-июнь 2012 года составили 1271 млн.кВтч или 20,7% от поступления, что меньше на 1,5% чем за соответствующий период 2011 года.</w:t>
      </w:r>
    </w:p>
    <w:p>
      <w:pPr>
        <w:spacing w:after="120"/>
        <w:jc w:val="both"/>
      </w:pPr>
      <w:r>
        <w:rPr>
          <w:rFonts w:ascii="Arial" w:cs="Arial" w:eastAsia="Arial" w:hAnsi="Arial"/>
          <w:sz w:val="24"/>
          <w:szCs w:val="24"/>
        </w:rPr>
        <w:t xml:space="preserve">За I полугодие 2012 года поступило 183,9 млн. куб.м природного газа, что на 24,2% больше аналогичного периода 2011 г. Основными поставщиками газа являлись АК "Узтрансгаз" - 38,0 млн. куб.м и АО "КазТрансГаз" - 143,9 млн. куб.м.</w:t>
      </w:r>
    </w:p>
    <w:p>
      <w:pPr>
        <w:spacing w:after="120"/>
        <w:jc w:val="both"/>
      </w:pPr>
      <w:r>
        <w:rPr>
          <w:rFonts w:ascii="Arial" w:cs="Arial" w:eastAsia="Arial" w:hAnsi="Arial"/>
          <w:sz w:val="24"/>
          <w:szCs w:val="24"/>
        </w:rPr>
        <w:t xml:space="preserve">Потери природного газа по сравнению с аналогичным периодом 2011 г. снижены и составили 8,9% от объема поступившего газа.</w:t>
      </w:r>
    </w:p>
    <w:p>
      <w:pPr>
        <w:spacing w:after="120"/>
        <w:jc w:val="both"/>
      </w:pPr>
      <w:r>
        <w:rPr>
          <w:rFonts w:ascii="Arial" w:cs="Arial" w:eastAsia="Arial" w:hAnsi="Arial"/>
          <w:sz w:val="24"/>
          <w:szCs w:val="24"/>
        </w:rPr>
        <w:t xml:space="preserve">(3) В горнодобывающей промышленности (уд. вес 3,9% в объеме промышленного производства) за январь-июнь 2012 года произведено продукции на 2,1 млрд.сомов, и по сравнению с соответствующим периодом 2011 года объем производства реально вырос на 6,6%, в том числе по добыче топливно-энергетических полезных ископаемых на 5,0%, прочих полезных ископаемых - на 15,4%. Увеличение объемов промышленного производства отмечалось за счет значительного роста добычи угля и лигнита - в 1,6 раза, базальта - в 1,9 раза, а также природного газа - на 16,2%.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Аграрный сектор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Валовой выпуск продукции сельского хозяйства, охоты и лесного хозяйства в январе-июне 2012 г. составил 44,1 млрд.сомов с темпом реального роста 101,2%, в том числе по растениеводству - 100,7%, по животноводству - 101,3%. Рост на 1,2% обеспечен за счет производства скота и птицы на убой в живом весе во всех категориях хозяйств (на 1,2%), яиц (на 4,2%), молока (на 1,4%). В связи с сезонной составляющей, основной вклад в рост валовой продукции сельского хозяйства 101,2% обеспечен производством в животноводстве (доля животноводства составляет 85,8%, растениеводства - 12,1%).</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Таблица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Производство продукции сельского хозяйства</w:t>
      </w:r>
    </w:p>
    <w:p>
      <w:pPr>
        <w:spacing w:after="120"/>
        <w:jc w:val="both"/>
      </w:pPr>
      <w:r>
        <w:rPr>
          <w:rFonts w:ascii="Arial" w:cs="Arial" w:eastAsia="Arial" w:hAnsi="Arial"/>
          <w:sz w:val="24"/>
          <w:szCs w:val="24"/>
        </w:rPr>
        <w:t xml:space="preserve">за январь-июнь 2011-2012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Ед. │Январь-│Январь-│ Откл. │Январь-│ Откл. от │</w:t>
      </w:r>
    </w:p>
    <w:p>
      <w:pPr>
        <w:spacing w:after="120"/>
        <w:jc w:val="both"/>
      </w:pPr>
      <w:r>
        <w:rPr>
          <w:rFonts w:ascii="Arial" w:cs="Arial" w:eastAsia="Arial" w:hAnsi="Arial"/>
          <w:sz w:val="24"/>
          <w:szCs w:val="24"/>
        </w:rPr>
        <w:t xml:space="preserve">│                    │ изм.│ июнь  │ июнь  │  от   │ июнь  │прогнозных│</w:t>
      </w:r>
    </w:p>
    <w:p>
      <w:pPr>
        <w:spacing w:after="120"/>
        <w:jc w:val="both"/>
      </w:pPr>
      <w:r>
        <w:rPr>
          <w:rFonts w:ascii="Arial" w:cs="Arial" w:eastAsia="Arial" w:hAnsi="Arial"/>
          <w:sz w:val="24"/>
          <w:szCs w:val="24"/>
        </w:rPr>
        <w:t xml:space="preserve">│                    │     │2011 г.│2012 г.│ факт. │2012 г.│ показате-│</w:t>
      </w:r>
    </w:p>
    <w:p>
      <w:pPr>
        <w:spacing w:after="120"/>
        <w:jc w:val="both"/>
      </w:pPr>
      <w:r>
        <w:rPr>
          <w:rFonts w:ascii="Arial" w:cs="Arial" w:eastAsia="Arial" w:hAnsi="Arial"/>
          <w:sz w:val="24"/>
          <w:szCs w:val="24"/>
        </w:rPr>
        <w:t xml:space="preserve">│                    │     │       │       │(+, -) │прогноз│   лей    │</w:t>
      </w:r>
    </w:p>
    <w:p>
      <w:pPr>
        <w:spacing w:after="120"/>
        <w:jc w:val="both"/>
      </w:pPr>
      <w:r>
        <w:rPr>
          <w:rFonts w:ascii="Arial" w:cs="Arial" w:eastAsia="Arial" w:hAnsi="Arial"/>
          <w:sz w:val="24"/>
          <w:szCs w:val="24"/>
        </w:rPr>
        <w:t xml:space="preserve">│                    │     │       │       │2011 г.│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хозяйство  │млн. │32873,0│44059,1│11186,1│43028,5│  1030,6  │</w:t>
      </w:r>
    </w:p>
    <w:p>
      <w:pPr>
        <w:spacing w:after="120"/>
        <w:jc w:val="both"/>
      </w:pPr>
      <w:r>
        <w:rPr>
          <w:rFonts w:ascii="Arial" w:cs="Arial" w:eastAsia="Arial" w:hAnsi="Arial"/>
          <w:sz w:val="24"/>
          <w:szCs w:val="24"/>
        </w:rPr>
        <w:t xml:space="preserve">│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100,9│  101,2│    0,3│  101,4│    -0,2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  116,8│  115,9│   -0,9│  123,9│    -8,0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│Растениеводство     │млн. │ 4539,4│ 5309,1│  769,7│ 6792,4│ -1483,3  │</w:t>
      </w:r>
    </w:p>
    <w:p>
      <w:pPr>
        <w:spacing w:after="120"/>
        <w:jc w:val="both"/>
      </w:pPr>
      <w:r>
        <w:rPr>
          <w:rFonts w:ascii="Arial" w:cs="Arial" w:eastAsia="Arial" w:hAnsi="Arial"/>
          <w:sz w:val="24"/>
          <w:szCs w:val="24"/>
        </w:rPr>
        <w:t xml:space="preserve">│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100,6│  100,7│    0,1│  101,5│    -0,8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  115,6│  101,3│ -14,3 │  119,5│   -18,2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│Животноводство      │млн. │27428,9│37820,8│10391,9│35288,8│  2532,0  │</w:t>
      </w:r>
    </w:p>
    <w:p>
      <w:pPr>
        <w:spacing w:after="120"/>
        <w:jc w:val="both"/>
      </w:pPr>
      <w:r>
        <w:rPr>
          <w:rFonts w:ascii="Arial" w:cs="Arial" w:eastAsia="Arial" w:hAnsi="Arial"/>
          <w:sz w:val="24"/>
          <w:szCs w:val="24"/>
        </w:rPr>
        <w:t xml:space="preserve">│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100,7│  101,3│    0,6│  101,5│    -0,2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  117,7│  118,7│    1,0│  125,5│    -6,8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│млн. │  807,0│  909,7│  102,7│  909,7│     0,0  │</w:t>
      </w:r>
    </w:p>
    <w:p>
      <w:pPr>
        <w:spacing w:after="120"/>
        <w:jc w:val="both"/>
      </w:pPr>
      <w:r>
        <w:rPr>
          <w:rFonts w:ascii="Arial" w:cs="Arial" w:eastAsia="Arial" w:hAnsi="Arial"/>
          <w:sz w:val="24"/>
          <w:szCs w:val="24"/>
        </w:rPr>
        <w:t xml:space="preserve">│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│Охота и лесное      │млн. │   97,6│   19,5│  -78,1│   19,5│     0,0  │</w:t>
      </w:r>
    </w:p>
    <w:p>
      <w:pPr>
        <w:spacing w:after="120"/>
        <w:jc w:val="both"/>
      </w:pPr>
      <w:r>
        <w:rPr>
          <w:rFonts w:ascii="Arial" w:cs="Arial" w:eastAsia="Arial" w:hAnsi="Arial"/>
          <w:sz w:val="24"/>
          <w:szCs w:val="24"/>
        </w:rPr>
        <w:t xml:space="preserve">│хозяйство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│Рыбоводство,        │млн. │    4,6│   18,1│   13,5│   18,1│     0,0  │</w:t>
      </w:r>
    </w:p>
    <w:p>
      <w:pPr>
        <w:spacing w:after="120"/>
        <w:jc w:val="both"/>
      </w:pPr>
      <w:r>
        <w:rPr>
          <w:rFonts w:ascii="Arial" w:cs="Arial" w:eastAsia="Arial" w:hAnsi="Arial"/>
          <w:sz w:val="24"/>
          <w:szCs w:val="24"/>
        </w:rPr>
        <w:t xml:space="preserve">│рыболовство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Положительный вклад в формирование ВВП со стороны сельского хозяйства оценивается на уровне 0,13 п.п., удельный вес которого в структуре производства ВВП составил 12,9%, увеличившись на 2,2 п.п. по сравнению с I полугодием 2011 г. При этом, фактический объем производства сельского хозяйства не достиг прогнозируемого уровня на январь-июнь 2012 г. на 0,2% (101,4%).</w:t>
      </w:r>
    </w:p>
    <w:p>
      <w:pPr>
        <w:spacing w:after="120"/>
        <w:jc w:val="both"/>
      </w:pPr>
      <w:r>
        <w:rPr>
          <w:rFonts w:ascii="Arial" w:cs="Arial" w:eastAsia="Arial" w:hAnsi="Arial"/>
          <w:sz w:val="24"/>
          <w:szCs w:val="24"/>
        </w:rPr>
        <w:t xml:space="preserve">Основными факторами, повлиявшими на развитие сельского хозяйства за I полугодие 2012 г., стали:</w:t>
      </w:r>
    </w:p>
    <w:p>
      <w:pPr>
        <w:spacing w:after="120"/>
        <w:jc w:val="both"/>
      </w:pPr>
      <w:r>
        <w:rPr>
          <w:rFonts w:ascii="Arial" w:cs="Arial" w:eastAsia="Arial" w:hAnsi="Arial"/>
          <w:sz w:val="24"/>
          <w:szCs w:val="24"/>
        </w:rPr>
        <w:t xml:space="preserve">- неблагоприятные природно-климатические условия, которые повлекли отставание весенне-полевых работ на 15-20 дней;</w:t>
      </w:r>
    </w:p>
    <w:p>
      <w:pPr>
        <w:spacing w:after="120"/>
        <w:jc w:val="both"/>
      </w:pPr>
      <w:r>
        <w:rPr>
          <w:rFonts w:ascii="Arial" w:cs="Arial" w:eastAsia="Arial" w:hAnsi="Arial"/>
          <w:sz w:val="24"/>
          <w:szCs w:val="24"/>
        </w:rPr>
        <w:t xml:space="preserve">- необычайно холодная весна, с выпадением снега практически в течение всего марта, привела к падежу скота, сопровождавшему нехваткой корм;</w:t>
      </w:r>
    </w:p>
    <w:p>
      <w:pPr>
        <w:spacing w:after="120"/>
        <w:jc w:val="both"/>
      </w:pPr>
      <w:r>
        <w:rPr>
          <w:rFonts w:ascii="Arial" w:cs="Arial" w:eastAsia="Arial" w:hAnsi="Arial"/>
          <w:sz w:val="24"/>
          <w:szCs w:val="24"/>
        </w:rPr>
        <w:t xml:space="preserve">- необеспеченность минеральными удобрениями сельхозпроизводителей;</w:t>
      </w:r>
    </w:p>
    <w:p>
      <w:pPr>
        <w:spacing w:after="120"/>
        <w:jc w:val="both"/>
      </w:pPr>
      <w:r>
        <w:rPr>
          <w:rFonts w:ascii="Arial" w:cs="Arial" w:eastAsia="Arial" w:hAnsi="Arial"/>
          <w:sz w:val="24"/>
          <w:szCs w:val="24"/>
        </w:rPr>
        <w:t xml:space="preserve">- предоставление льготных кредитов на поддержку сельхозпроизводителей;</w:t>
      </w:r>
    </w:p>
    <w:p>
      <w:pPr>
        <w:spacing w:after="120"/>
        <w:jc w:val="both"/>
      </w:pPr>
      <w:r>
        <w:rPr>
          <w:rFonts w:ascii="Arial" w:cs="Arial" w:eastAsia="Arial" w:hAnsi="Arial"/>
          <w:sz w:val="24"/>
          <w:szCs w:val="24"/>
        </w:rPr>
        <w:t xml:space="preserve">- предоставление в лизинг сельхозтехники и выделение ГСМ за счет матрезерва.</w:t>
      </w:r>
    </w:p>
    <w:p>
      <w:pPr>
        <w:spacing w:after="120"/>
        <w:jc w:val="both"/>
      </w:pPr>
      <w:r>
        <w:rPr>
          <w:rFonts w:ascii="Arial" w:cs="Arial" w:eastAsia="Arial" w:hAnsi="Arial"/>
          <w:sz w:val="24"/>
          <w:szCs w:val="24"/>
        </w:rPr>
        <w:t xml:space="preserve">Растениеводство. Валовой выпуск в растениеводстве сложился на уровне 5,3 млрд.сомов, с темпом реального роста 100,7%, что меньше ожидаемого уровня на 0,8 п.п. В настоящее время в республике начались работы по уборке урожая. При этом, темпы уборки овощных, бахчевых и плодово-ягодных культур выше, чем в 2011 г.</w:t>
      </w:r>
    </w:p>
    <w:p>
      <w:pPr>
        <w:spacing w:after="120"/>
        <w:jc w:val="both"/>
      </w:pPr>
      <w:r>
        <w:rPr>
          <w:rFonts w:ascii="Arial" w:cs="Arial" w:eastAsia="Arial" w:hAnsi="Arial"/>
          <w:sz w:val="24"/>
          <w:szCs w:val="24"/>
        </w:rPr>
        <w:t xml:space="preserve">На начало июля 2012 г. обеспеченность дизельным топливом для проведения уборочных работ по республике составила 21%, бензином - 23%.</w:t>
      </w:r>
    </w:p>
    <w:p>
      <w:pPr>
        <w:spacing w:after="120"/>
        <w:jc w:val="both"/>
      </w:pPr>
      <w:r>
        <w:rPr>
          <w:rFonts w:ascii="Arial" w:cs="Arial" w:eastAsia="Arial" w:hAnsi="Arial"/>
          <w:sz w:val="24"/>
          <w:szCs w:val="24"/>
        </w:rPr>
        <w:t xml:space="preserve">Вся посевная площадь под урожай текущего года, занятая сельскохозяйственными культурами, составила 1165,5 тыс. га, что на 6,3 тыс. га, или на 0,5% больше, чем в 2011 г. Площадь неиспользованной пашни по сравнению с предыдущим годом уменьшилась на 8 тыс. га и составила 103,5 тыс. га.</w:t>
      </w:r>
    </w:p>
    <w:p>
      <w:pPr>
        <w:spacing w:after="120"/>
        <w:jc w:val="both"/>
      </w:pPr>
      <w:r>
        <w:rPr>
          <w:rFonts w:ascii="Arial" w:cs="Arial" w:eastAsia="Arial" w:hAnsi="Arial"/>
          <w:sz w:val="24"/>
          <w:szCs w:val="24"/>
        </w:rPr>
        <w:t xml:space="preserve">Животноводство. За отчетный период валовой выпуск в животноводстве сложился на уровне 37,8 млрд.сомов с темпом реального роста 101,3%. За январь-июнь 2012 г. произведено 160,4 тыс. тонн мяса в живой массе, что на 1932 тонн или на 1,2% больше соответствующего периода прошлого года. Увеличение производства мяса произошло в основном за счет увеличения поголовья крупного рогатого скота на 39,7 тыс. голов, овец и коз на 250,4 тыс. голов, лошадей на 10,5 тыс. голов и домашней птицы на 65,4 тыс. голов. Производство молока в республике составило 636,2 тыс. тонн, что на 8,7 тыс. тонн или на 1,4% больше соответствующего периода прошлого года. Производство молока увеличено во всех областях республики.</w:t>
      </w:r>
    </w:p>
    <w:p>
      <w:pPr>
        <w:spacing w:after="120"/>
        <w:jc w:val="both"/>
      </w:pPr>
      <w:r>
        <w:rPr>
          <w:rFonts w:ascii="Arial" w:cs="Arial" w:eastAsia="Arial" w:hAnsi="Arial"/>
          <w:sz w:val="24"/>
          <w:szCs w:val="24"/>
        </w:rPr>
        <w:t xml:space="preserve">За отчетный период текущего года произведено 210,2 млн. штук яиц, что на 8,4 млн. штук больше или составило 104,2% к уровню соответствующего периода прошлого года. Увеличено производство яиц во всех областях республики, кроме Иссык-Кульской области. В Иссык-Кульской области произведено 34,2 млн. штук яиц или меньше на 1,9 млн. штук, чем в прошлом году. Основной причиной снижения производства яиц в Иссык-Кульской области является уменьшение поголовья домашней птицы на 11,9 тыс. голов, в том числе в Иссык-Кульском районе на птицефабрике АО "Шумкар" при плановой выбраковке было уменьшено поголовье кур-несушек на 32040 голов. Наибольший объем производства яиц в области приходится на Иссык-Кульский район, который на сегодняшний день составляет 75,4% от общего объема производства яиц в области.</w:t>
      </w:r>
    </w:p>
    <w:p>
      <w:pPr>
        <w:spacing w:after="120"/>
        <w:jc w:val="both"/>
      </w:pPr>
      <w:r>
        <w:rPr>
          <w:rFonts w:ascii="Arial" w:cs="Arial" w:eastAsia="Arial" w:hAnsi="Arial"/>
          <w:sz w:val="24"/>
          <w:szCs w:val="24"/>
        </w:rPr>
        <w:t xml:space="preserve">В республике произведено 11,1 тыс. тонн шерсти, что составляет 102,1% к соответствующему периоду прошлого года. Во всех областях валовое производство шерсти за отчетный период выше прошлогоднего уровня. В Таласской области производство шерсти увеличилось на 105,0%, в Джалал-Абадской - на 103,6%, в Чуйской - на 102,7%, в Иссык-Кульской и Нарынской областях - на 101,3%, в Баткенской - на 101,2% и в Ошской области производство шерсти увеличилось на 100,3%.</w:t>
      </w:r>
    </w:p>
    <w:p>
      <w:pPr>
        <w:spacing w:after="120"/>
        <w:jc w:val="both"/>
      </w:pPr>
      <w:r>
        <w:rPr>
          <w:rFonts w:ascii="Arial" w:cs="Arial" w:eastAsia="Arial" w:hAnsi="Arial"/>
          <w:sz w:val="24"/>
          <w:szCs w:val="24"/>
        </w:rPr>
        <w:t xml:space="preserve">Рыбное хозяйство. Общий улов рыбы в водоемах республики за январь-июнь 2012 г. составил в объеме 114,2 тонн и по сравнению с аналогичным периодом прошлого года улов увеличился в 4 раза, площадь обловленных водоемов составила около 1525,5 га, реализовано рыбной продукции на сумму 2899,8 тыс. сомов. За I полугодие 2012 г. садковыми хозяйствами выращено и реализовано 80,0 тонн радужной форели и озерно-товарными хозяйствами выловлено и реализовано 34,2 тонн рыбы.</w:t>
      </w:r>
    </w:p>
    <w:p>
      <w:pPr>
        <w:spacing w:after="120"/>
        <w:jc w:val="both"/>
      </w:pPr>
      <w:r>
        <w:rPr>
          <w:rFonts w:ascii="Arial" w:cs="Arial" w:eastAsia="Arial" w:hAnsi="Arial"/>
          <w:sz w:val="24"/>
          <w:szCs w:val="24"/>
        </w:rPr>
        <w:t xml:space="preserve">Основной вклад в валовой выпуск продукции сельского хозяйства по итогам за январь-июнь 2012 г. внесли Чуйская, Ошская, Джалал-Абадская, Иссык-Кульская и Нарынская области, суммарный удельный вес которых составил 84,5%.</w:t>
      </w:r>
    </w:p>
    <w:p>
      <w:pPr>
        <w:spacing w:after="120"/>
        <w:jc w:val="both"/>
      </w:pPr>
      <w:r>
        <w:rPr>
          <w:rFonts w:ascii="Arial" w:cs="Arial" w:eastAsia="Arial" w:hAnsi="Arial"/>
          <w:sz w:val="24"/>
          <w:szCs w:val="24"/>
        </w:rPr>
        <w:t xml:space="preserve">Обеспечение продовольственной безопасности. Обеспеченность внутреннего продовольственного рынка республики основными продуктами питания, с учетом переходящих остатков составила:</w:t>
      </w:r>
    </w:p>
    <w:p>
      <w:pPr>
        <w:spacing w:after="120"/>
        <w:jc w:val="both"/>
      </w:pPr>
      <w:r>
        <w:rPr>
          <w:rFonts w:ascii="Arial" w:cs="Arial" w:eastAsia="Arial" w:hAnsi="Arial"/>
          <w:sz w:val="24"/>
          <w:szCs w:val="24"/>
        </w:rPr>
        <w:t xml:space="preserve">- по хлебопродуктам 270,4%, картофелю - 174,6%, молоку - 115,9%, мясу - 74,9%, овощам - 42,1%, плодам и ягодам - 3,1%, яйцу - 56,7%, маслу растительному - 189,8%, сахару - 51,4%.</w:t>
      </w:r>
    </w:p>
    <w:p>
      <w:pPr>
        <w:spacing w:after="120"/>
        <w:jc w:val="both"/>
      </w:pPr>
      <w:r>
        <w:rPr>
          <w:rFonts w:ascii="Arial" w:cs="Arial" w:eastAsia="Arial" w:hAnsi="Arial"/>
          <w:sz w:val="24"/>
          <w:szCs w:val="24"/>
        </w:rPr>
        <w:t xml:space="preserve">Обеспеченность за счет собственного производства составила:</w:t>
      </w:r>
    </w:p>
    <w:p>
      <w:pPr>
        <w:spacing w:after="120"/>
        <w:jc w:val="both"/>
      </w:pPr>
      <w:r>
        <w:rPr>
          <w:rFonts w:ascii="Arial" w:cs="Arial" w:eastAsia="Arial" w:hAnsi="Arial"/>
          <w:sz w:val="24"/>
          <w:szCs w:val="24"/>
        </w:rPr>
        <w:t xml:space="preserve">- по хлебопродуктам - 74,5%, картофелю - 174,6%, молоку - 115,9%, мясу - 52,4%, овощам - 41,7%, маслу растительному - 28%, сахару - 0%, яйцу птицы - 41,8%.</w:t>
      </w:r>
    </w:p>
    <w:p>
      <w:pPr>
        <w:spacing w:after="120"/>
        <w:jc w:val="both"/>
      </w:pPr>
      <w:r>
        <w:rPr>
          <w:rFonts w:ascii="Arial" w:cs="Arial" w:eastAsia="Arial" w:hAnsi="Arial"/>
          <w:sz w:val="24"/>
          <w:szCs w:val="24"/>
        </w:rPr>
        <w:t xml:space="preserve">В настоящее время республика находится в значительной импортозависимости (критический уровень) по таким основным продуктам питания, как мясо, сахар, масло растительное, соответственно идет рост цен.</w:t>
      </w:r>
    </w:p>
    <w:p>
      <w:pPr>
        <w:spacing w:after="120"/>
        <w:jc w:val="both"/>
      </w:pPr>
      <w:r>
        <w:rPr>
          <w:rFonts w:ascii="Arial" w:cs="Arial" w:eastAsia="Arial" w:hAnsi="Arial"/>
          <w:sz w:val="24"/>
          <w:szCs w:val="24"/>
        </w:rPr>
        <w:t xml:space="preserve">Несмотря на положительные тенденции развития по итогам I полугодия 2012 года, тревожная ситуация складывается в сельскохозяйственном секторе. Продолжительная зима, потом засуха в апреле и мае текущего года, а также маловодье отрицательно повлияли на урожайность культур. Прогнозируемый сбор зерна продовольственной пшеницы в 2012 году ожидается в объеме 654 тыс.тонн, что на 146,0 тыс.тонн меньше уровня 2011 года. Недобор урожая ожидается, в основном, во всех областях республики. Урожайность зерновых снизилась до 15-17 ц с гектара, тогда как в 2011 году она была на уровне 26-28 ц.</w:t>
      </w:r>
    </w:p>
    <w:p>
      <w:pPr>
        <w:spacing w:after="120"/>
        <w:jc w:val="both"/>
      </w:pPr>
      <w:r>
        <w:rPr>
          <w:rFonts w:ascii="Arial" w:cs="Arial" w:eastAsia="Arial" w:hAnsi="Arial"/>
          <w:sz w:val="24"/>
          <w:szCs w:val="24"/>
        </w:rPr>
        <w:t xml:space="preserve">Мировой рынок зерна складывается также с тенденцией к ухудшению. Международный зерновой совет ухудшил оценку мирового урожая пшеницы в текущем сезоне с 671 млн. до 665 млн. т, что на 30 млн. т меньше, чем годом ранее. Ключевыми катализаторами ухудшения прогноза стали Россия и Украина (прогноз снижен на 6 млн. т на 1 млн. т, соответственно).</w:t>
      </w:r>
    </w:p>
    <w:p>
      <w:pPr>
        <w:spacing w:after="120"/>
        <w:jc w:val="both"/>
      </w:pPr>
      <w:r>
        <w:rPr>
          <w:rFonts w:ascii="Arial" w:cs="Arial" w:eastAsia="Arial" w:hAnsi="Arial"/>
          <w:sz w:val="24"/>
          <w:szCs w:val="24"/>
        </w:rPr>
        <w:t xml:space="preserve">С учетом этих факторов прогнозируется повышение цен на пшеницу примерно на 40%, с 216,0 до 300,0 долл. США за 1 тонну до конца года, поэтому, необходимо принять экстренные меры по закупке зерна в госматрезерв в объемах, обеспечивающих продовольственную безопасность(4), согласно законодательству Кыргызской Республики.</w:t>
      </w:r>
    </w:p>
    <w:p>
      <w:pPr>
        <w:spacing w:after="120"/>
        <w:jc w:val="both"/>
      </w:pPr>
      <w:r>
        <w:rPr>
          <w:rFonts w:ascii="Arial" w:cs="Arial" w:eastAsia="Arial" w:hAnsi="Arial"/>
          <w:sz w:val="24"/>
          <w:szCs w:val="24"/>
        </w:rPr>
        <w:t xml:space="preserve">Кроме того, в этой ситуации важно также собрать урожай этого года во всех регионах без потерь, а также содействовать фермерам в заготовке в достаточном объеме кормов для животноводства на предстоящую зиму.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Строительство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строительном комплексе отмечается увеличение объемов капитальных вложений. За январь-июнь 2012 года объем инвестиций в основной капитал за счет всех источников финансирования составил 18,3 млрд.сомов и увеличился на 10,2%. В освоении инвестиций в основной капитал сохраняется положительная динамика роста. Так, освоение инвестиций в основной капитал за июнь 2012 года составило 4,9 млрд.сомов, что больше аналогичного показателя июня 2011 года на 11,5%.</w:t>
      </w:r>
    </w:p>
    <w:p>
      <w:pPr>
        <w:spacing w:after="120"/>
        <w:jc w:val="both"/>
      </w:pPr>
      <w:r>
        <w:rPr>
          <w:rFonts w:ascii="Arial" w:cs="Arial" w:eastAsia="Arial" w:hAnsi="Arial"/>
          <w:sz w:val="24"/>
          <w:szCs w:val="24"/>
        </w:rPr>
        <w:t xml:space="preserve">Рост инвестиций в основной капитал в январе-июне т.г. объясняется их увеличением на строительстве объектов горнодобывающей и обрабатывающей промышленности, производства и распределения электроэнергии, газа и воды, торговли, ремонта автомобилей, бытовых изделий и предметов личного пользования, сельского хозяйства, дорог, сферы образования.</w:t>
      </w:r>
    </w:p>
    <w:p>
      <w:pPr>
        <w:spacing w:after="120"/>
        <w:jc w:val="both"/>
      </w:pPr>
      <w:r>
        <w:rPr>
          <w:rFonts w:ascii="Arial" w:cs="Arial" w:eastAsia="Arial" w:hAnsi="Arial"/>
          <w:sz w:val="24"/>
          <w:szCs w:val="24"/>
        </w:rPr>
        <w:t xml:space="preserve">Суммарная доля внутренних инвестиционных средств составила 79,3% и внешних - 20,7% от общего объема освоенных капитальных вложений (см. табл.7).</w:t>
      </w:r>
    </w:p>
    <w:p>
      <w:pPr>
        <w:spacing w:after="120"/>
        <w:jc w:val="both"/>
      </w:pPr>
      <w:r>
        <w:rPr>
          <w:rFonts w:ascii="Arial" w:cs="Arial" w:eastAsia="Arial" w:hAnsi="Arial"/>
          <w:sz w:val="24"/>
          <w:szCs w:val="24"/>
        </w:rPr>
        <w:t xml:space="preserve">По сравнению с соответствующим периодом 2011 г. объемы инвестиций в основной капитал за счет внутренних источников увеличились на 10,0%, из них за счет собственных средств предприятий и организаций - на 21,6%, где удельный вес в общем объеме освоенных инвестиций составляет 44,2%. При этом следует отметить, что доля внутренних инвестиций снизилась на 4,2% по сравнению с соответствующим периодом 2011 года.</w:t>
      </w:r>
    </w:p>
    <w:p>
      <w:pPr>
        <w:spacing w:after="120"/>
        <w:jc w:val="both"/>
      </w:pPr>
      <w:r>
        <w:rPr>
          <w:rFonts w:ascii="Arial" w:cs="Arial" w:eastAsia="Arial" w:hAnsi="Arial"/>
          <w:sz w:val="24"/>
          <w:szCs w:val="24"/>
        </w:rPr>
        <w:t xml:space="preserve">В структуре инвестиций за январь-июнь 2012 года бюджетные вложения составили 3,9 против 7,4% за соответствующий период 2011 г., прямые иностранные инвестиции - 8,8% против 6,0% за аналогичный период 2011 г., средства населения, включая благотворительную помощь Президента Кыргызской Республики - 30,3%, против 32,6% за аналогичный период 2011 г.</w:t>
      </w:r>
    </w:p>
    <w:p>
      <w:pPr>
        <w:spacing w:after="120"/>
        <w:jc w:val="both"/>
      </w:pPr>
      <w:r>
        <w:rPr>
          <w:rFonts w:ascii="Arial" w:cs="Arial" w:eastAsia="Arial" w:hAnsi="Arial"/>
          <w:sz w:val="24"/>
          <w:szCs w:val="24"/>
        </w:rPr>
        <w:t xml:space="preserve">Общий объем валовой продукции строительства в январе-июне 2012 г. составил 15,6 млрд.сомов, или увеличился на 20,0%. Влияние строительного сектора на темпы экономического роста было положительным и вклад в формирование ВВП составил 0,74 п.п., удельный вес которого в структуре производства ВВП - 4,3%.</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Таблица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Объемы инвестиций в основной капитал и валовой продукции</w:t>
      </w:r>
    </w:p>
    <w:p>
      <w:pPr>
        <w:spacing w:after="120"/>
        <w:jc w:val="both"/>
      </w:pPr>
      <w:r>
        <w:rPr>
          <w:rFonts w:ascii="Arial" w:cs="Arial" w:eastAsia="Arial" w:hAnsi="Arial"/>
          <w:sz w:val="24"/>
          <w:szCs w:val="24"/>
        </w:rPr>
        <w:t xml:space="preserve">строительства за январь-июнь 2011-2012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│Янв.-июнь│Янв.-июнь│Янв.-июнь│   Январь-июнь   │</w:t>
      </w:r>
    </w:p>
    <w:p>
      <w:pPr>
        <w:spacing w:after="120"/>
        <w:jc w:val="both"/>
      </w:pPr>
      <w:r>
        <w:rPr>
          <w:rFonts w:ascii="Arial" w:cs="Arial" w:eastAsia="Arial" w:hAnsi="Arial"/>
          <w:sz w:val="24"/>
          <w:szCs w:val="24"/>
        </w:rPr>
        <w:t xml:space="preserve">│                     │ 2011 г. │ 2012 г. │ 2012 г. │     2012 г.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Факт   │ предв.  │ прогноз │отклон. │ отклон.│</w:t>
      </w:r>
    </w:p>
    <w:p>
      <w:pPr>
        <w:spacing w:after="120"/>
        <w:jc w:val="both"/>
      </w:pPr>
      <w:r>
        <w:rPr>
          <w:rFonts w:ascii="Arial" w:cs="Arial" w:eastAsia="Arial" w:hAnsi="Arial"/>
          <w:sz w:val="24"/>
          <w:szCs w:val="24"/>
        </w:rPr>
        <w:t xml:space="preserve">│                     │         │ факт.   │         │от факт.│   от   │</w:t>
      </w:r>
    </w:p>
    <w:p>
      <w:pPr>
        <w:spacing w:after="120"/>
        <w:jc w:val="both"/>
      </w:pPr>
      <w:r>
        <w:rPr>
          <w:rFonts w:ascii="Arial" w:cs="Arial" w:eastAsia="Arial" w:hAnsi="Arial"/>
          <w:sz w:val="24"/>
          <w:szCs w:val="24"/>
        </w:rPr>
        <w:t xml:space="preserve">│                     │         │         │         │2011 г. │прогноза│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 12378,3 │ 15601,1 │ 14657,3 │ 3222,8 │   943,8│</w:t>
      </w:r>
    </w:p>
    <w:p>
      <w:pPr>
        <w:spacing w:after="120"/>
        <w:jc w:val="both"/>
      </w:pPr>
      <w:r>
        <w:rPr>
          <w:rFonts w:ascii="Arial" w:cs="Arial" w:eastAsia="Arial" w:hAnsi="Arial"/>
          <w:sz w:val="24"/>
          <w:szCs w:val="24"/>
        </w:rPr>
        <w:t xml:space="preserve">│строительства,       │         │         │         │        │        │</w:t>
      </w:r>
    </w:p>
    <w:p>
      <w:pPr>
        <w:spacing w:after="120"/>
        <w:jc w:val="both"/>
      </w:pPr>
      <w:r>
        <w:rPr>
          <w:rFonts w:ascii="Arial" w:cs="Arial" w:eastAsia="Arial" w:hAnsi="Arial"/>
          <w:sz w:val="24"/>
          <w:szCs w:val="24"/>
        </w:rPr>
        <w:t xml:space="preserve">│млн.сомов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роста, %       │    71,6 │   120,0 │   118,2 │   48,4 │     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125,2 │   105,0 │   100,1 │  -20,2 │     4,9│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│Инвестиции в основной│ 15816,5 │ 18301,0 │ 18656,5 │ 2484,5 │  -355,5│</w:t>
      </w:r>
    </w:p>
    <w:p>
      <w:pPr>
        <w:spacing w:after="120"/>
        <w:jc w:val="both"/>
      </w:pPr>
      <w:r>
        <w:rPr>
          <w:rFonts w:ascii="Arial" w:cs="Arial" w:eastAsia="Arial" w:hAnsi="Arial"/>
          <w:sz w:val="24"/>
          <w:szCs w:val="24"/>
        </w:rPr>
        <w:t xml:space="preserve">│капитал, 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роста, %       │    75,1 │   110,2 │   111,5 │   35,1 │    -1,3│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│внутренние           │ 13205,0 │ 14520,4 │ 13376,7 │ 1315,4 │  1143,7│</w:t>
      </w:r>
    </w:p>
    <w:p>
      <w:pPr>
        <w:spacing w:after="120"/>
        <w:jc w:val="both"/>
      </w:pPr>
      <w:r>
        <w:rPr>
          <w:rFonts w:ascii="Arial" w:cs="Arial" w:eastAsia="Arial" w:hAnsi="Arial"/>
          <w:sz w:val="24"/>
          <w:szCs w:val="24"/>
        </w:rPr>
        <w:t xml:space="preserve">│инвестиции, млн.сомов│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│внешние инвестиции,  │  2611,5 │  3780,6 │  5279,8 │ 1169,1 │ -1499,2│</w:t>
      </w:r>
    </w:p>
    <w:p>
      <w:pPr>
        <w:spacing w:after="120"/>
        <w:jc w:val="both"/>
      </w:pPr>
      <w:r>
        <w:rPr>
          <w:rFonts w:ascii="Arial" w:cs="Arial" w:eastAsia="Arial" w:hAnsi="Arial"/>
          <w:sz w:val="24"/>
          <w:szCs w:val="24"/>
        </w:rPr>
        <w:t xml:space="preserve">│млн.сомов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Рост валовой продукции строительства обусловлен ростом объемов выполненных строительных подрядных работ, а также капитального и текущего ремонта зданий и сооружений. При этом, фактический объем валовой продукции строительства превысил прогнозируемый уровень на январь-июнь 2012 г. на 1,8%.</w:t>
      </w:r>
    </w:p>
    <w:p>
      <w:pPr>
        <w:spacing w:after="120"/>
        <w:jc w:val="both"/>
      </w:pPr>
      <w:r>
        <w:rPr>
          <w:rFonts w:ascii="Arial" w:cs="Arial" w:eastAsia="Arial" w:hAnsi="Arial"/>
          <w:sz w:val="24"/>
          <w:szCs w:val="24"/>
        </w:rPr>
        <w:t xml:space="preserve">За январь-июнь т.г. объемы строительства возросли в Чуйской области - в 2 раза, Нарынской области - на 38,9%, Иссык-Кульской области на 23,7% и Ошской области - на 10,6%.</w:t>
      </w:r>
    </w:p>
    <w:p>
      <w:pPr>
        <w:spacing w:after="120"/>
        <w:jc w:val="both"/>
      </w:pPr>
      <w:r>
        <w:rPr>
          <w:rFonts w:ascii="Arial" w:cs="Arial" w:eastAsia="Arial" w:hAnsi="Arial"/>
          <w:sz w:val="24"/>
          <w:szCs w:val="24"/>
        </w:rPr>
        <w:t xml:space="preserve">За отчетный период сданы в эксплуатацию 2952 квартиры, общей площадью 309,5 тыс. квадратных метров, или 84,2% к уровню января-июня 2011 г. Во II квартале введено 160 тыс. квадратных метров жилья, или 100,7% к уровню II квартала 2011 г.</w:t>
      </w:r>
    </w:p>
    <w:p>
      <w:pPr>
        <w:spacing w:after="120"/>
        <w:jc w:val="both"/>
      </w:pPr>
      <w:r>
        <w:rPr>
          <w:rFonts w:ascii="Arial" w:cs="Arial" w:eastAsia="Arial" w:hAnsi="Arial"/>
          <w:sz w:val="24"/>
          <w:szCs w:val="24"/>
        </w:rPr>
        <w:t xml:space="preserve">На строительстве жилья за истекший период использовано (по оценке) 4583,5 млн.сомов инвестиций в основной капитал, что на 11% меньше, чем в I полугодии 2011 г. Объемы ввода жилья возросли во всех областях, кроме Джалал-Абадской, Нарынской, Таласской областей и г.Бишкек. В сельской местности введено 152,5 тыс. квадратных метров жилья, или 49,3% от их общего ввода.</w:t>
      </w:r>
    </w:p>
    <w:p>
      <w:pPr>
        <w:spacing w:after="120"/>
        <w:jc w:val="both"/>
      </w:pPr>
      <w:r>
        <w:rPr>
          <w:rFonts w:ascii="Arial" w:cs="Arial" w:eastAsia="Arial" w:hAnsi="Arial"/>
          <w:sz w:val="24"/>
          <w:szCs w:val="24"/>
        </w:rPr>
        <w:t xml:space="preserve">Строительство и ввод жилых домов осуществляются, в основном, за счет средств населения (92,6% от их общего ввода). Построено 2683 индивидуальных жилых дома, общей площадью 286,7 тыс. квадратных метров, стоимость которых, по оценке, составила 3949,5 млн. сомов. Средняя фактическая стоимость строительства одного квадратного метра общей площади индивидуальных жилых домов в республике в I полугодии т.г. составила (по оценке) 12,2 тыс.сомов, из нее в городах - 15,2 тыс.сомов, в сельской местности - 9,5 тыс.сомов. Наиболее дорогое жилье строится в г.Бишкек - 19,7 тыс.сомов, дешевое - в Баткенской области - 6,5 тыс.сомов, Иссык-Кульской области - 7,3 тыс.сомов, Ошской области - 8,6 тыс.сомов.</w:t>
      </w:r>
    </w:p>
    <w:p>
      <w:pPr>
        <w:spacing w:after="120"/>
        <w:jc w:val="both"/>
      </w:pPr>
      <w:r>
        <w:rPr>
          <w:rFonts w:ascii="Arial" w:cs="Arial" w:eastAsia="Arial" w:hAnsi="Arial"/>
          <w:sz w:val="24"/>
          <w:szCs w:val="24"/>
        </w:rPr>
        <w:t xml:space="preserve">На строительство общеобразовательных школ в I полугодии 2012 г. использовано 163,1 млн.сомов инвестиций в основной капитал. Построены общеобразовательные школы на 360 ученических мест, в том числе в Баткенской области - на 140 ученических мест и Ошской - на 220 ученических мест, что на 32,4% больше, чем за аналогичный период прошлого года.</w:t>
      </w:r>
    </w:p>
    <w:p>
      <w:pPr>
        <w:spacing w:after="120"/>
        <w:jc w:val="both"/>
      </w:pPr>
      <w:r>
        <w:rPr>
          <w:rFonts w:ascii="Arial" w:cs="Arial" w:eastAsia="Arial" w:hAnsi="Arial"/>
          <w:sz w:val="24"/>
          <w:szCs w:val="24"/>
        </w:rPr>
        <w:t xml:space="preserve">На строительстве детских садов освоено 10,5 млн.сомов инвестиций в основной капитал. На строительстве амбулаторно-поликлинических учреждений за январь-июнь 2012 г. использовано 14,3 млн.сомов. На строительство больниц в I полугодии т.г. использовано 12,6 млн.сомов инвестиций в основной капитал.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Сфера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фоне экономического спада сектор услуг продолжает устойчиво развиваться и явился основным сектором, сдерживающим значительный спад экономики.</w:t>
      </w:r>
    </w:p>
    <w:p>
      <w:pPr>
        <w:spacing w:after="120"/>
        <w:jc w:val="both"/>
      </w:pPr>
      <w:r>
        <w:rPr>
          <w:rFonts w:ascii="Arial" w:cs="Arial" w:eastAsia="Arial" w:hAnsi="Arial"/>
          <w:sz w:val="24"/>
          <w:szCs w:val="24"/>
        </w:rPr>
        <w:t xml:space="preserve">За январь-июнь 2012 года валовой выпуск в сфере услуг сложился в объеме 105,4 млрд.сомов и реально вырос на 4,5% за счет увеличения оказания услуг в торговле на 7,7%, услуг гостиниц и ресторанов - на 9,0%, транспорта и связи - на 6,8%. Положительный вклад сферы услуг в ВВП составил 2,27 п.п., с удельным весом в структуре производства ВВП 51,4%.</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Таблица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сферы услуг</w:t>
      </w:r>
    </w:p>
    <w:p>
      <w:pPr>
        <w:spacing w:after="120"/>
        <w:jc w:val="both"/>
      </w:pPr>
      <w:r>
        <w:rPr>
          <w:rFonts w:ascii="Arial" w:cs="Arial" w:eastAsia="Arial" w:hAnsi="Arial"/>
          <w:sz w:val="24"/>
          <w:szCs w:val="24"/>
        </w:rPr>
        <w:t xml:space="preserve">за январь-июнь 2011-2012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 Январь-│ Январь- │  Откл. │ Январь- │  Откл. │</w:t>
      </w:r>
    </w:p>
    <w:p>
      <w:pPr>
        <w:spacing w:after="120"/>
        <w:jc w:val="both"/>
      </w:pPr>
      <w:r>
        <w:rPr>
          <w:rFonts w:ascii="Arial" w:cs="Arial" w:eastAsia="Arial" w:hAnsi="Arial"/>
          <w:sz w:val="24"/>
          <w:szCs w:val="24"/>
        </w:rPr>
        <w:t xml:space="preserve">│                      │  июнь  │  июнь   │        │  июнь   │        │</w:t>
      </w:r>
    </w:p>
    <w:p>
      <w:pPr>
        <w:spacing w:after="120"/>
        <w:jc w:val="both"/>
      </w:pPr>
      <w:r>
        <w:rPr>
          <w:rFonts w:ascii="Arial" w:cs="Arial" w:eastAsia="Arial" w:hAnsi="Arial"/>
          <w:sz w:val="24"/>
          <w:szCs w:val="24"/>
        </w:rPr>
        <w:t xml:space="preserve">│                      │ 2011 г.│ 2012 г. │        │ 2012 г.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факт. │  предв. │ к пред.│  ожид.  │к ожид. │</w:t>
      </w:r>
    </w:p>
    <w:p>
      <w:pPr>
        <w:spacing w:after="120"/>
        <w:jc w:val="both"/>
      </w:pPr>
      <w:r>
        <w:rPr>
          <w:rFonts w:ascii="Arial" w:cs="Arial" w:eastAsia="Arial" w:hAnsi="Arial"/>
          <w:sz w:val="24"/>
          <w:szCs w:val="24"/>
        </w:rPr>
        <w:t xml:space="preserve">│                      │        │   факт. │  году.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│Сфера услуг:          │        │         │        │         │        │</w:t>
      </w:r>
    </w:p>
    <w:p>
      <w:pPr>
        <w:spacing w:after="120"/>
        <w:jc w:val="both"/>
      </w:pPr>
      <w:r>
        <w:rPr>
          <w:rFonts w:ascii="Arial" w:cs="Arial" w:eastAsia="Arial" w:hAnsi="Arial"/>
          <w:sz w:val="24"/>
          <w:szCs w:val="24"/>
        </w:rPr>
        <w:t xml:space="preserve">│- млн.сомов           │93851,1 │105396,1 │ 11545  │107578,2 │-2182,1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темп роста, %       │  104,9 │   104,5 │    -0,4│   105,3 │   -0,8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│Торговля, ремонт      │        │         │        │         │        │</w:t>
      </w:r>
    </w:p>
    <w:p>
      <w:pPr>
        <w:spacing w:after="120"/>
        <w:jc w:val="both"/>
      </w:pPr>
      <w:r>
        <w:rPr>
          <w:rFonts w:ascii="Arial" w:cs="Arial" w:eastAsia="Arial" w:hAnsi="Arial"/>
          <w:sz w:val="24"/>
          <w:szCs w:val="24"/>
        </w:rPr>
        <w:t xml:space="preserve">│автомобилей, бытовых  │        │         │        │         │        │</w:t>
      </w:r>
    </w:p>
    <w:p>
      <w:pPr>
        <w:spacing w:after="120"/>
        <w:jc w:val="both"/>
      </w:pPr>
      <w:r>
        <w:rPr>
          <w:rFonts w:ascii="Arial" w:cs="Arial" w:eastAsia="Arial" w:hAnsi="Arial"/>
          <w:sz w:val="24"/>
          <w:szCs w:val="24"/>
        </w:rPr>
        <w:t xml:space="preserve">│изделий:              │        │         │        │         │        │</w:t>
      </w:r>
    </w:p>
    <w:p>
      <w:pPr>
        <w:spacing w:after="120"/>
        <w:jc w:val="both"/>
      </w:pPr>
      <w:r>
        <w:rPr>
          <w:rFonts w:ascii="Arial" w:cs="Arial" w:eastAsia="Arial" w:hAnsi="Arial"/>
          <w:sz w:val="24"/>
          <w:szCs w:val="24"/>
        </w:rPr>
        <w:t xml:space="preserve">│- млн.сомов           │28216,9 │ 30695,3 │  2478,4│ 31409,3 │ -714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темп роста, %       │  102,9 │   107,7 │     4,8│   106,9 │    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│Транспорт:            │        │         │        │         │        │</w:t>
      </w:r>
    </w:p>
    <w:p>
      <w:pPr>
        <w:spacing w:after="120"/>
        <w:jc w:val="both"/>
      </w:pPr>
      <w:r>
        <w:rPr>
          <w:rFonts w:ascii="Arial" w:cs="Arial" w:eastAsia="Arial" w:hAnsi="Arial"/>
          <w:sz w:val="24"/>
          <w:szCs w:val="24"/>
        </w:rPr>
        <w:t xml:space="preserve">│- млн.сомов           │12073,1 │ 13985,5 │  1912,4│ 15177,4 │-1191,9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темп роста, %       │  111,0 │   108,3 │    -2,7│   112,6 │   -4,3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│Связь:                │        │         │        │         │        │</w:t>
      </w:r>
    </w:p>
    <w:p>
      <w:pPr>
        <w:spacing w:after="120"/>
        <w:jc w:val="both"/>
      </w:pPr>
      <w:r>
        <w:rPr>
          <w:rFonts w:ascii="Arial" w:cs="Arial" w:eastAsia="Arial" w:hAnsi="Arial"/>
          <w:sz w:val="24"/>
          <w:szCs w:val="24"/>
        </w:rPr>
        <w:t xml:space="preserve">│- млн.сом             │ 9338,6 │  9855,4 │   516,8│  9917,1 │  -61,7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темп роста, %       │  115,1 │   104,8 │   -10,3│   105,0 │   -0,2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Положительный вклад в рост сферы услуг на 2,3 процентных пункта обеспечен со стороны торговли, ремонта автомобилей, бытовых изделий и предметов личного пользования, где темп реального роста в январе-июне 2012 года составил 107,7% и превысил прогнозный показатель на 0,8 процентных пункта. Оборот торговли, ремонта автомобилей, бытовых изделий и предметов личного пользования за январь-июнь 2012 года составил 106,4 млрд.сомов, темп реального роста, по сравнению с аналогичным периодом 2011 года, составил 108,9%. Наибольший вклад в рост оборота торговли оказала розничная торговля моторным топливом, вклад которой оценивается в 3,3 п.п. Проведение полевых работ повлекло рост спроса на нефтепродукты, что способствовало росту торговли моторным топливом на 27,7%.</w:t>
      </w:r>
    </w:p>
    <w:p>
      <w:pPr>
        <w:spacing w:after="120"/>
        <w:jc w:val="both"/>
      </w:pPr>
      <w:r>
        <w:rPr>
          <w:rFonts w:ascii="Arial" w:cs="Arial" w:eastAsia="Arial" w:hAnsi="Arial"/>
          <w:sz w:val="24"/>
          <w:szCs w:val="24"/>
        </w:rPr>
        <w:t xml:space="preserve">Основным фактором роста розничной и оптовой торговли стало увеличение как внутреннего спроса, вызванного ростом денежных доходов почти на 30,0%, так и внешнего спроса, обусловленного ростом ВВП стран - торговых партнеров: Казахстан - 3,8%; Россия - 4,4%.</w:t>
      </w:r>
    </w:p>
    <w:p>
      <w:pPr>
        <w:spacing w:after="120"/>
        <w:jc w:val="both"/>
      </w:pPr>
      <w:r>
        <w:rPr>
          <w:rFonts w:ascii="Arial" w:cs="Arial" w:eastAsia="Arial" w:hAnsi="Arial"/>
          <w:sz w:val="24"/>
          <w:szCs w:val="24"/>
        </w:rPr>
        <w:t xml:space="preserve">Рост объема розничного товарооборота на 6,1% обеспечен, в основном, за счет улучшения инфраструктуры торговли, налоговых преференций для субъектов предпринимательства (облегчение и упрощение налогообложения швейной и текстильной отраслей, освобождение от НДС специализированных товаров для строительства и т.д.), упрощение ведения бизнеса через сокращение проверок, количества лицензий и других мер государственного регулирования.</w:t>
      </w:r>
    </w:p>
    <w:p>
      <w:pPr>
        <w:spacing w:after="120"/>
        <w:jc w:val="both"/>
      </w:pPr>
      <w:r>
        <w:rPr>
          <w:rFonts w:ascii="Arial" w:cs="Arial" w:eastAsia="Arial" w:hAnsi="Arial"/>
          <w:sz w:val="24"/>
          <w:szCs w:val="24"/>
        </w:rPr>
        <w:t xml:space="preserve">Росту товарооборота также способствовал рост продаж строительных материалов (лесоматериалов, цемента, стекла, строительного кирпича), обусловленный увеличением объемов выполненных строительных подрядных работ, капитального и текущего ремонта зданий и сооружений на 20%.</w:t>
      </w:r>
    </w:p>
    <w:p>
      <w:pPr>
        <w:spacing w:after="120"/>
        <w:jc w:val="both"/>
      </w:pPr>
      <w:r>
        <w:rPr>
          <w:rFonts w:ascii="Arial" w:cs="Arial" w:eastAsia="Arial" w:hAnsi="Arial"/>
          <w:sz w:val="24"/>
          <w:szCs w:val="24"/>
        </w:rPr>
        <w:t xml:space="preserve">За январь-июнь т.г. валовой выпуск услуг транспорта сложился в объеме 14,0 млрд.сомов, темп реального роста составил 108,3%. В сравнении с 2011 годом темп роста снизился на 2,7 п.п., но не достиг прогнозных показателей на 4,3 п.п. Пассажирооборот за истекший период увеличился на 7,3%. Грузооборот возрос по сравнению с 2011 годом на 9,6%.</w:t>
      </w:r>
    </w:p>
    <w:p>
      <w:pPr>
        <w:spacing w:after="120"/>
        <w:jc w:val="both"/>
      </w:pPr>
      <w:r>
        <w:rPr>
          <w:rFonts w:ascii="Arial" w:cs="Arial" w:eastAsia="Arial" w:hAnsi="Arial"/>
          <w:sz w:val="24"/>
          <w:szCs w:val="24"/>
        </w:rPr>
        <w:t xml:space="preserve">За отчетный период валовой выпуск услуг связи сложился в объеме 9,9 млрд.сомов, темп реального роста составил 104,8%.</w:t>
      </w:r>
    </w:p>
    <w:p>
      <w:pPr>
        <w:spacing w:after="120"/>
        <w:jc w:val="both"/>
      </w:pPr>
      <w:r>
        <w:rPr>
          <w:rFonts w:ascii="Arial" w:cs="Arial" w:eastAsia="Arial" w:hAnsi="Arial"/>
          <w:sz w:val="24"/>
          <w:szCs w:val="24"/>
        </w:rPr>
        <w:t xml:space="preserve">Валовой выпуск услуг гостиниц и ресторанов сложился в объеме 4,4 млрд.сомов, темп реального роста составил 109,1%, при этом гостиниц 106,8%, ресторанов - 109,4%. Основным фактором увеличения услуг гостиниц и ресторанов является увеличение сети предоставляемых услуг и притока туристов в страну. Основными мероприятиями, направленными на эффективную организацию туристического сезона, явились следующие:</w:t>
      </w:r>
    </w:p>
    <w:p>
      <w:pPr>
        <w:spacing w:after="120"/>
        <w:jc w:val="both"/>
      </w:pPr>
      <w:r>
        <w:rPr>
          <w:rFonts w:ascii="Arial" w:cs="Arial" w:eastAsia="Arial" w:hAnsi="Arial"/>
          <w:sz w:val="24"/>
          <w:szCs w:val="24"/>
        </w:rPr>
        <w:t xml:space="preserve">- в рамках подготовки к туристическому сезону 11 мая 2012 года проведена XIV Международная туристическая ярмарка "Иссык-Куль-2012";</w:t>
      </w:r>
    </w:p>
    <w:p>
      <w:pPr>
        <w:spacing w:after="120"/>
        <w:jc w:val="both"/>
      </w:pPr>
      <w:r>
        <w:rPr>
          <w:rFonts w:ascii="Arial" w:cs="Arial" w:eastAsia="Arial" w:hAnsi="Arial"/>
          <w:sz w:val="24"/>
          <w:szCs w:val="24"/>
        </w:rPr>
        <w:t xml:space="preserve">- 15 мая 2012 года Министерством культуры и туризма Кыргызской Республики совместно с Международным деловым советом (МДС) проведен круглый стол на тему: "Эффективное продвижение Кыргызстана как страны туризма", где обсуждались вопросы развития туризма;</w:t>
      </w:r>
    </w:p>
    <w:p>
      <w:pPr>
        <w:spacing w:after="120"/>
        <w:jc w:val="both"/>
      </w:pPr>
      <w:r>
        <w:rPr>
          <w:rFonts w:ascii="Arial" w:cs="Arial" w:eastAsia="Arial" w:hAnsi="Arial"/>
          <w:sz w:val="24"/>
          <w:szCs w:val="24"/>
        </w:rPr>
        <w:t xml:space="preserve">- совместно с Казахстанской Туристской Ассоциацией с 18 по 23 мая проведен информационный тур для представителей СМИ и туроператоров Республики Казахстан, в котором приняли участие представители 10 СМИ, 3 телеканалов, 4 печатных изданный, туроператоров.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Внешняя торговля Кыргызской Республики</w:t>
      </w:r>
    </w:p>
    <w:p>
      <w:pPr>
        <w:spacing w:after="120"/>
        <w:jc w:val="both"/>
      </w:pPr>
      <w:r>
        <w:rPr>
          <w:rFonts w:ascii="Arial" w:cs="Arial" w:eastAsia="Arial" w:hAnsi="Arial"/>
          <w:sz w:val="24"/>
          <w:szCs w:val="24"/>
        </w:rPr>
        <w:t xml:space="preserve">за январь-май 2012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Внешнеторговый оборот Кыргызской Республики за январь-май 2012 года составил 2546,9 млн.долл. США, превысив показатель 2011 года за аналогичный период на 18,8%.</w:t>
      </w:r>
    </w:p>
    <w:p>
      <w:pPr>
        <w:spacing w:after="120"/>
        <w:jc w:val="both"/>
      </w:pPr>
      <w:r>
        <w:rPr>
          <w:rFonts w:ascii="Arial" w:cs="Arial" w:eastAsia="Arial" w:hAnsi="Arial"/>
          <w:sz w:val="24"/>
          <w:szCs w:val="24"/>
        </w:rPr>
        <w:t xml:space="preserve">Объем экспортных поставок составил 636,1 млн.долл. США (снижение на 15,1%), импортных поступлений - 1910,8 млн.долл. США (рост на 36,9%). В общем объеме товарооборота доля импорта составила 75,0%, экспорта - 25,0%.</w:t>
      </w:r>
    </w:p>
    <w:p>
      <w:pPr>
        <w:spacing w:after="120"/>
        <w:jc w:val="both"/>
      </w:pPr>
      <w:r>
        <w:rPr>
          <w:rFonts w:ascii="Arial" w:cs="Arial" w:eastAsia="Arial" w:hAnsi="Arial"/>
          <w:sz w:val="24"/>
          <w:szCs w:val="24"/>
        </w:rPr>
        <w:t xml:space="preserve">Сальдо торгового баланса сохранилось отрицательным и составило 1274,7 млн.долл. США, что в 2,0 раза выше относительно января-мая 2011 года.</w:t>
      </w:r>
    </w:p>
    <w:p>
      <w:pPr>
        <w:spacing w:after="120"/>
        <w:jc w:val="both"/>
      </w:pPr>
      <w:r>
        <w:rPr>
          <w:rFonts w:ascii="Arial" w:cs="Arial" w:eastAsia="Arial" w:hAnsi="Arial"/>
          <w:sz w:val="24"/>
          <w:szCs w:val="24"/>
        </w:rPr>
        <w:t xml:space="preserve">Экспортные поставки за рассматриваемый период 2012 года, по сравнению с аналогичным периодом 2011 года, снизились на 15,1% и составили 636,1 млн.долл. США. Без учета золота, объем экспорта за истекший период увеличился на 40,9% и составил 445,8 млн.долл. США.</w:t>
      </w:r>
    </w:p>
    <w:p>
      <w:pPr>
        <w:spacing w:after="120"/>
        <w:jc w:val="both"/>
      </w:pPr>
      <w:r>
        <w:rPr>
          <w:rFonts w:ascii="Arial" w:cs="Arial" w:eastAsia="Arial" w:hAnsi="Arial"/>
          <w:sz w:val="24"/>
          <w:szCs w:val="24"/>
        </w:rPr>
        <w:t xml:space="preserve">Основной объем экспорта направлялся в Швейцарию (30,1% от общего объема экспорта), Казахстан (28,0%), Россию (16,9%) и Узбекистан (8,4%).</w:t>
      </w:r>
    </w:p>
    <w:p>
      <w:pPr>
        <w:spacing w:after="120"/>
        <w:jc w:val="both"/>
      </w:pPr>
      <w:r>
        <w:rPr>
          <w:rFonts w:ascii="Arial" w:cs="Arial" w:eastAsia="Arial" w:hAnsi="Arial"/>
          <w:sz w:val="24"/>
          <w:szCs w:val="24"/>
        </w:rPr>
        <w:t xml:space="preserve">Основную долю в экспорте, по-прежнему, занимает золото (29,9%), на сумму 190,3 млн.долл. США, что меньше чем в аналогичном периоде 2011 года в 2,3 раза. Вместе с тем, за отчетный период наблюдается рост объемов экспорта неорганических химических веществ в 10,2 раза, хлопка-сырца - в 3,1 раза, фруктов - в 2,2 раза, предметов одежды и одежных принадлежностей - на 18% и молокопродуктов - на 26,9%.</w:t>
      </w:r>
    </w:p>
    <w:p>
      <w:pPr>
        <w:spacing w:after="120"/>
        <w:jc w:val="both"/>
      </w:pPr>
      <w:r>
        <w:rPr>
          <w:rFonts w:ascii="Arial" w:cs="Arial" w:eastAsia="Arial" w:hAnsi="Arial"/>
          <w:sz w:val="24"/>
          <w:szCs w:val="24"/>
        </w:rPr>
        <w:t xml:space="preserve">При этом, наибольший вклад в экспорт внесли экспорт сырья и инвестиционных товаров, сводный вклад которых оценивается в 13,3 процентных пункта, которые выросли в 4,2 и 3,0 раза соответственно.</w:t>
      </w:r>
    </w:p>
    <w:p>
      <w:pPr>
        <w:spacing w:after="120"/>
        <w:jc w:val="both"/>
      </w:pPr>
      <w:r>
        <w:rPr>
          <w:rFonts w:ascii="Arial" w:cs="Arial" w:eastAsia="Arial" w:hAnsi="Arial"/>
          <w:sz w:val="24"/>
          <w:szCs w:val="24"/>
        </w:rPr>
        <w:t xml:space="preserve">За рассматриваемый период импортные поступления товаров в республику, по сравнению с аналогичным периодом прошлого года, возросли на 36,9% и достигли 1910,8 млн.долл. США. Увеличение объемов импорта обеспечивалось ростом поступлений минеральных продуктов (на 163,8 млн.долларов США), средств наземного, воздушного и водного транспорта, их частей и принадлежностей (на 140,1 млн.долларов США), машин, оборудования и механизмов (на 47,8 млн.долларов США), недрагоценных металлов и изделий из них (на 38,6 млн.долларов США), а также химической продукции и связанных с ней отраслей промышленности (на 23,9 млн.долларов США). Основной вклад в рост импорта внес ввоз в Кыргызскую Республику энергопродуктов, который оценивается в 16,1 процентных пункта, импорт энергопродуктов при этом увеличился в 1,8 раза. Импорт инвестиционных товаров, сырья и промежуточных товаров, доля которых занимает в общей структуре импорта почти 40%, внес суммарный вклад в 16,0 процентных пункта. Доля потребительских товаров в общем объеме импорта составила 32,7% и снизилась по сравнению с аналогичным периодом 2011 года на 6,5 процентных пункта, при этом темп роста импорта потребительских товаров составил 115%.</w:t>
      </w:r>
    </w:p>
    <w:p>
      <w:pPr>
        <w:spacing w:after="120"/>
        <w:jc w:val="both"/>
      </w:pPr>
      <w:r>
        <w:rPr>
          <w:rFonts w:ascii="Arial" w:cs="Arial" w:eastAsia="Arial" w:hAnsi="Arial"/>
          <w:sz w:val="24"/>
          <w:szCs w:val="24"/>
        </w:rPr>
        <w:t xml:space="preserve">Основная доля импорта приходится на страны СНГ, доля которых в структуре импортных поступлений составляет 51,1%. Из них на долю России приходится 67,2%; Казахстана - 20,1%; Украины - 4,5%. Среди стран дальнего зарубежья основную долю занимают Китай - 38,3%, США - 10,7%, Турция - 6,5%.</w:t>
      </w:r>
    </w:p>
    <w:p>
      <w:pPr>
        <w:spacing w:after="120"/>
        <w:jc w:val="both"/>
      </w:pPr>
      <w:r>
        <w:rPr>
          <w:rFonts w:ascii="Arial" w:cs="Arial" w:eastAsia="Arial" w:hAnsi="Arial"/>
          <w:sz w:val="24"/>
          <w:szCs w:val="24"/>
        </w:rPr>
        <w:t xml:space="preserve">Увеличение объемов импорта обусловлено как ростом физических объемов, так и стоимостного значения, а именно: газ природный - на 20,1% и на 26,3% соответственно, дизельное топливо - в 1,9 и 1,9 раза соответственно, автомобильный бензин - в 1,7 и 1,9 раза соответственно, прокат черных металлов - в 1,5 и 1,8 раза соответственно, автомобили, бывшие в употреблении - в 2,3 и в 2,5 раза соответственно. При этом импорт пшеничной муки вырос в 1,5 раза в натуральном выражении, но снизился почти на 16% в стоимостном выражении.</w:t>
      </w:r>
    </w:p>
    <w:p>
      <w:pPr>
        <w:spacing w:after="120"/>
        <w:jc w:val="both"/>
      </w:pPr>
      <w:r>
        <w:rPr>
          <w:rFonts w:ascii="Arial" w:cs="Arial" w:eastAsia="Arial" w:hAnsi="Arial"/>
          <w:sz w:val="24"/>
          <w:szCs w:val="24"/>
        </w:rPr>
        <w:t xml:space="preserve">В рамках работы по вопросам Таможенного союза: принято </w:t>
      </w:r>
      <w:hyperlink w:history="1" r:id="rIdiilzjtq-howg8dg2yion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uk0bsv-oa7xjfrsa3efa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Межведомственной комиссии при Правительстве Кыргызской Республики по переговорам о присоединении Кыргызской Республики к Таможенному союзу Республики Беларусь, Республики Казахстан и Российской Федерации и Единому экономическому пространству" от 11 апреля 2011 года № 150" от 2 мая 2012 года № 269, сформирован состав кыргызской части для включения в общую Рабочую группу (с участием органов ТС и представителей стран ТС) для переговоров, а также проект Плана указанной Рабочей группы. Кроме того, на еженедельной основе проводились семинары-консультации для частного сектора и государственных органов по вопросам доступа на рынок стран ТС, в части технического регулирования, санитарных и фитосанитарных мер, в целях информирования бизнеса о правилах, документах, требованиях стран ТС в отношении импорта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Исполнение государственного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Исполнение доходной части государственного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данным Центрального казначейства, общий объем доходов государственного бюджета за январь-июнь 2012 года составил 40622,1 млн.сомов или 101,2% от установленного планового задания. Доля общих доходов государственного бюджета за отчетный период составила 35,3% к ВВП. Сумма перевыполнения плана составила 462,3 млн.сомов, в основном, в связи с увеличением поступления налоговых доходов. При этом, по сравнению с соответствующим периодом 2011 года общие доходы бюджета возросли на 12,3%, или на 4461,2 млн.сомов.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Таблица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Доходы государственного бюджета, (млн.сомов)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Январь-июнь 2012 г.  │  Январь-июнь 2012 г.  │ Отклонения (+/-)   │</w:t>
      </w:r>
    </w:p>
    <w:p>
      <w:pPr>
        <w:spacing w:after="120"/>
        <w:jc w:val="both"/>
      </w:pPr>
      <w:r>
        <w:rPr>
          <w:rFonts w:ascii="Arial" w:cs="Arial" w:eastAsia="Arial" w:hAnsi="Arial"/>
          <w:sz w:val="24"/>
          <w:szCs w:val="24"/>
        </w:rPr>
        <w:t xml:space="preserve">│          план          │         факт.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40159,8         │        40622,1        │        462,3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Объем налоговых поступлений в государственный бюджет составил 29747,2 млн.сомов, что составляет 100,4% от намеченного планового значения, по отношению к соответствующему периоду 2011 года вырос на 6040,4 млн.сомов или на 25,5%.</w:t>
      </w:r>
    </w:p>
    <w:p>
      <w:pPr>
        <w:spacing w:after="120"/>
        <w:jc w:val="both"/>
      </w:pPr>
      <w:r>
        <w:rPr>
          <w:rFonts w:ascii="Arial" w:cs="Arial" w:eastAsia="Arial" w:hAnsi="Arial"/>
          <w:sz w:val="24"/>
          <w:szCs w:val="24"/>
        </w:rPr>
        <w:t xml:space="preserve">В том числе, Государственной налоговой службой при Правительстве Кыргызской Республики собрано налогов и платежей в сумме 16519,3 млн.сомов, плановый показатель выполнен на 100,5%. При этом, без учета предприятий по разработке месторождения "Кумтор" налоговые доходы составили 13652,5 млн.сомов или 102,2% к плану.</w:t>
      </w:r>
    </w:p>
    <w:p>
      <w:pPr>
        <w:spacing w:after="120"/>
        <w:jc w:val="both"/>
      </w:pPr>
      <w:r>
        <w:rPr>
          <w:rFonts w:ascii="Arial" w:cs="Arial" w:eastAsia="Arial" w:hAnsi="Arial"/>
          <w:sz w:val="24"/>
          <w:szCs w:val="24"/>
        </w:rPr>
        <w:t xml:space="preserve">Государственной таможенной службой при Правительстве Кыргызской Республики обеспечено поступление таможенных сборов и платежей в государственный бюджет в сумме 13227,9 млн.сомов, или 100,3% от плана, по сравнению с аналогичным периодом 2011 года возросло на 3713,6 млн.сомов, что обусловлено увеличением объемов импорта.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Таблица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доходов государственного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Янв.-июнь │ Янв.-июнь │ Темп │ Янв.-июнь │Процент│</w:t>
      </w:r>
    </w:p>
    <w:p>
      <w:pPr>
        <w:spacing w:after="120"/>
        <w:jc w:val="both"/>
      </w:pPr>
      <w:r>
        <w:rPr>
          <w:rFonts w:ascii="Arial" w:cs="Arial" w:eastAsia="Arial" w:hAnsi="Arial"/>
          <w:sz w:val="24"/>
          <w:szCs w:val="24"/>
        </w:rPr>
        <w:t xml:space="preserve">│                  │  2011 г.  │  2012 г.  │роста,│  2012 г.  │выполн.│</w:t>
      </w:r>
    </w:p>
    <w:p>
      <w:pPr>
        <w:spacing w:after="120"/>
        <w:jc w:val="both"/>
      </w:pPr>
      <w:r>
        <w:rPr>
          <w:rFonts w:ascii="Arial" w:cs="Arial" w:eastAsia="Arial" w:hAnsi="Arial"/>
          <w:sz w:val="24"/>
          <w:szCs w:val="24"/>
        </w:rPr>
        <w:t xml:space="preserve">│                  │   факт.   │   факт.   │ (%)  │   план    │  (%)  │</w:t>
      </w:r>
    </w:p>
    <w:p>
      <w:pPr>
        <w:spacing w:after="120"/>
        <w:jc w:val="both"/>
      </w:pPr>
      <w:r>
        <w:rPr>
          <w:rFonts w:ascii="Arial" w:cs="Arial" w:eastAsia="Arial" w:hAnsi="Arial"/>
          <w:sz w:val="24"/>
          <w:szCs w:val="24"/>
        </w:rPr>
        <w:t xml:space="preserve">│                  │(млн.сомов)│(млн.сомов)│      │(млн.сомов)│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│Налоговые         │  23706,8  │  29747,2  │ 125,5│  29633,8  │ 100,4 │</w:t>
      </w:r>
    </w:p>
    <w:p>
      <w:pPr>
        <w:spacing w:after="120"/>
        <w:jc w:val="both"/>
      </w:pPr>
      <w:r>
        <w:rPr>
          <w:rFonts w:ascii="Arial" w:cs="Arial" w:eastAsia="Arial" w:hAnsi="Arial"/>
          <w:sz w:val="24"/>
          <w:szCs w:val="24"/>
        </w:rPr>
        <w:t xml:space="preserve">│поступления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т.ч.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│ГНС Кыргызской    │  14192,5  │  16519,3  │ 116,4│  16443,8  │ 100,5 │</w:t>
      </w:r>
    </w:p>
    <w:p>
      <w:pPr>
        <w:spacing w:after="120"/>
        <w:jc w:val="both"/>
      </w:pPr>
      <w:r>
        <w:rPr>
          <w:rFonts w:ascii="Arial" w:cs="Arial" w:eastAsia="Arial" w:hAnsi="Arial"/>
          <w:sz w:val="24"/>
          <w:szCs w:val="24"/>
        </w:rPr>
        <w:t xml:space="preserve">│Республики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│ГТС Кыргызской    │   9514,2  │  13227,9  │ 139,0│  13190,0  │ 100,3 │</w:t>
      </w:r>
    </w:p>
    <w:p>
      <w:pPr>
        <w:spacing w:after="120"/>
        <w:jc w:val="both"/>
      </w:pPr>
      <w:r>
        <w:rPr>
          <w:rFonts w:ascii="Arial" w:cs="Arial" w:eastAsia="Arial" w:hAnsi="Arial"/>
          <w:sz w:val="24"/>
          <w:szCs w:val="24"/>
        </w:rPr>
        <w:t xml:space="preserve">│Республики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│Неналоговые       │   8630,2  │   8924,5  │ 103,4│   7930,0  │ 112,5 │</w:t>
      </w:r>
    </w:p>
    <w:p>
      <w:pPr>
        <w:spacing w:after="120"/>
        <w:jc w:val="both"/>
      </w:pPr>
      <w:r>
        <w:rPr>
          <w:rFonts w:ascii="Arial" w:cs="Arial" w:eastAsia="Arial" w:hAnsi="Arial"/>
          <w:sz w:val="24"/>
          <w:szCs w:val="24"/>
        </w:rPr>
        <w:t xml:space="preserve">│поступления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│Полученные        │   3824,0  │   1950,4  │  51,0│   2596,0  │  75,1 │</w:t>
      </w:r>
    </w:p>
    <w:p>
      <w:pPr>
        <w:spacing w:after="120"/>
        <w:jc w:val="both"/>
      </w:pPr>
      <w:r>
        <w:rPr>
          <w:rFonts w:ascii="Arial" w:cs="Arial" w:eastAsia="Arial" w:hAnsi="Arial"/>
          <w:sz w:val="24"/>
          <w:szCs w:val="24"/>
        </w:rPr>
        <w:t xml:space="preserve">│официальные       │           │           │      │           │       │</w:t>
      </w:r>
    </w:p>
    <w:p>
      <w:pPr>
        <w:spacing w:after="120"/>
        <w:jc w:val="both"/>
      </w:pPr>
      <w:r>
        <w:rPr>
          <w:rFonts w:ascii="Arial" w:cs="Arial" w:eastAsia="Arial" w:hAnsi="Arial"/>
          <w:sz w:val="24"/>
          <w:szCs w:val="24"/>
        </w:rPr>
        <w:t xml:space="preserve">│трансферты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36160,9  │  40622,1  │ 112,3│  40159,8  │ 101,2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Неналоговые поступления государственного бюджета за рассматриваемый период составили 8924,5 млн. сомов или 112,5% от плана. Темп роста по сравнению с соответствующим периодом 2011 года составил 103,4%, или поступления увеличились на 294,3 млн.сомов. Данный рост связан, в основном со сверхплановым поступлением прибыли Национального банка Кыргызской Республики, платы за регистрацию и перерегистрацию транспортных средств и прочих неналоговых доходов.</w:t>
      </w:r>
    </w:p>
    <w:p>
      <w:pPr>
        <w:spacing w:after="120"/>
        <w:jc w:val="both"/>
      </w:pPr>
      <w:r>
        <w:rPr>
          <w:rFonts w:ascii="Arial" w:cs="Arial" w:eastAsia="Arial" w:hAnsi="Arial"/>
          <w:sz w:val="24"/>
          <w:szCs w:val="24"/>
        </w:rPr>
        <w:t xml:space="preserve">Поступления полученных официальных грантов составили 1950,4 млн.сомов или 75,1% от плана, в бюджет недопоступило 645,6 млн.сомов, в основном, в связи с недопоступлением грантов ПГИ. По сравнению с прошлым годом поступления полученных грантов снизились на 49,0% или на 1873,6 млн.сомов.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Исполнение расходной части государственного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январь-июнь 2012 года расходная часть республиканского бюджета (без специальных средств и с учетом государственного долга) исполнена в сумме 39355,7 млн.сомов, или на 96,4% от плана. В сравнении с аналогичным периодом 2011 года общие расходы увеличились на 6930,3 млн.сомов, или на 21,4%. К объему ВВП общие расходы республиканского бюджета составили 34,2%, с увеличением относительно аналогичного периода 2011 года на 2,9 процентных пункта.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Таблица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республиканского бюджета (млн.сомов)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статей    │ Янв.-  │ Янв.-  │ Темп │ Янв.-  │Процент│</w:t>
      </w:r>
    </w:p>
    <w:p>
      <w:pPr>
        <w:spacing w:after="120"/>
        <w:jc w:val="both"/>
      </w:pPr>
      <w:r>
        <w:rPr>
          <w:rFonts w:ascii="Arial" w:cs="Arial" w:eastAsia="Arial" w:hAnsi="Arial"/>
          <w:sz w:val="24"/>
          <w:szCs w:val="24"/>
        </w:rPr>
        <w:t xml:space="preserve">│                           │ июнь   │ июнь   │роста,│ июнь   │выполн.│</w:t>
      </w:r>
    </w:p>
    <w:p>
      <w:pPr>
        <w:spacing w:after="120"/>
        <w:jc w:val="both"/>
      </w:pPr>
      <w:r>
        <w:rPr>
          <w:rFonts w:ascii="Arial" w:cs="Arial" w:eastAsia="Arial" w:hAnsi="Arial"/>
          <w:sz w:val="24"/>
          <w:szCs w:val="24"/>
        </w:rPr>
        <w:t xml:space="preserve">│                           │2011 г.,│2012 г.,│ (%)  │2012 г.,│  (%)  │</w:t>
      </w:r>
    </w:p>
    <w:p>
      <w:pPr>
        <w:spacing w:after="120"/>
        <w:jc w:val="both"/>
      </w:pPr>
      <w:r>
        <w:rPr>
          <w:rFonts w:ascii="Arial" w:cs="Arial" w:eastAsia="Arial" w:hAnsi="Arial"/>
          <w:sz w:val="24"/>
          <w:szCs w:val="24"/>
        </w:rPr>
        <w:t xml:space="preserve">│                           │ Факт.  │ Факт.  │      │ План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32425,4│ 39355,7│ 121,4│ 40844,1│  96,4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│Заработная плата           │  6100,6│  7514,7│ 123,2│  7803,8│  96,3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│Взносы в Социальный фонд   │   637,2│   850,0│ 133,4│   898,3│  94,6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│Приобретение медикаментов  │   196,4│   217,3│ 110,6│   220,3│  98,6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│Пособия по соц. обеспечению│  3928,3│  5581,3│ 142,1│  5581,3│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│Пособия по соц. пом.       │  2985,0│  2609,6│  87,4│  2609,6│ 100   │</w:t>
      </w:r>
    </w:p>
    <w:p>
      <w:pPr>
        <w:spacing w:after="120"/>
        <w:jc w:val="both"/>
      </w:pPr>
      <w:r>
        <w:rPr>
          <w:rFonts w:ascii="Arial" w:cs="Arial" w:eastAsia="Arial" w:hAnsi="Arial"/>
          <w:sz w:val="24"/>
          <w:szCs w:val="24"/>
        </w:rPr>
        <w:t xml:space="preserve">│населению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│Текущие гранты междунар.   │   103,7│    79,3│  76,5│    79,7│  99,5 │</w:t>
      </w:r>
    </w:p>
    <w:p>
      <w:pPr>
        <w:spacing w:after="120"/>
        <w:jc w:val="both"/>
      </w:pPr>
      <w:r>
        <w:rPr>
          <w:rFonts w:ascii="Arial" w:cs="Arial" w:eastAsia="Arial" w:hAnsi="Arial"/>
          <w:sz w:val="24"/>
          <w:szCs w:val="24"/>
        </w:rPr>
        <w:t xml:space="preserve">│орган.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│Текущие гранты др.         │  5149,8│  7653,4│ 148,6│  7653,4│ 100   │</w:t>
      </w:r>
    </w:p>
    <w:p>
      <w:pPr>
        <w:spacing w:after="120"/>
        <w:jc w:val="both"/>
      </w:pPr>
      <w:r>
        <w:rPr>
          <w:rFonts w:ascii="Arial" w:cs="Arial" w:eastAsia="Arial" w:hAnsi="Arial"/>
          <w:sz w:val="24"/>
          <w:szCs w:val="24"/>
        </w:rPr>
        <w:t xml:space="preserve">│ед. госуд. управ.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по защищенным статьям│ 23414,5│ 29696,4│ 126,8│ 30295,2│  98,0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│Субсидии нефинансовым      │   707,7│   774,3│ 109,4│   774,3│ 100   │</w:t>
      </w:r>
    </w:p>
    <w:p>
      <w:pPr>
        <w:spacing w:after="120"/>
        <w:jc w:val="both"/>
      </w:pPr>
      <w:r>
        <w:rPr>
          <w:rFonts w:ascii="Arial" w:cs="Arial" w:eastAsia="Arial" w:hAnsi="Arial"/>
          <w:sz w:val="24"/>
          <w:szCs w:val="24"/>
        </w:rPr>
        <w:t xml:space="preserve">│гос. предпр.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│Здания и сооружения        │  1975,7│  1692,5│  85,7│  1990,6│  85,0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│Кредиты, ссуды и займы     │   801,0│   797,4│  99,6│   797,4│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│Внешние заимствования      │  1029,2│   942,5│  91,6│   958,3│  98,4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│Ценные бумаги, кроме акций │  2166,3│  2505,1│ 115,6│  2550,6│  98,2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Финансирование расходов по заработной плате из республиканского бюджета по сравнению с аналогичным периодом 2011 года увеличилось на 1414,1 млн.сомов, или на 23,2% (за январь-июнь 2011 года расходы по заработной плате составили 6100,6 млн.сомов) в связи с повышением размеров заработной платы работников социальной сферы.</w:t>
      </w:r>
    </w:p>
    <w:p>
      <w:pPr>
        <w:spacing w:after="120"/>
        <w:jc w:val="both"/>
      </w:pPr>
      <w:r>
        <w:rPr>
          <w:rFonts w:ascii="Arial" w:cs="Arial" w:eastAsia="Arial" w:hAnsi="Arial"/>
          <w:sz w:val="24"/>
          <w:szCs w:val="24"/>
        </w:rPr>
        <w:t xml:space="preserve">Одним из факторов, повлиявших на финансирование расходов республиканского бюджета, стал тот факт, что </w:t>
      </w:r>
      <w:hyperlink w:history="1" r:id="rIdhxgioxwluhd_uhmuzb8l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2012 год и прогнозе на 2013-2014 годы" был подписан Президентом Кыргызской Республики 17 апреля 2012 года. В связи с этим, согласно законодательству, финансирование расходов в месяц производилось не более одной двенадцатой части от всего объема запланированных на год средств.</w:t>
      </w:r>
    </w:p>
    <w:p>
      <w:pPr>
        <w:spacing w:after="120"/>
        <w:jc w:val="both"/>
      </w:pPr>
      <w:r>
        <w:rPr>
          <w:rFonts w:ascii="Arial" w:cs="Arial" w:eastAsia="Arial" w:hAnsi="Arial"/>
          <w:sz w:val="24"/>
          <w:szCs w:val="24"/>
        </w:rPr>
        <w:t xml:space="preserve">За январь-июнь 2012 года удельный вес расходов из республиканского бюджета на социальную сферу составил 44,7%, всего направлено на 3973,3 млн.сомов больше, чем в аналогичном периоде 2011 года (удельный вес расходов из республиканского бюджета на социальную сферу за январь-июнь 2011 года составил 41,3%).</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Таблица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на социальную сферу (млн.сомов)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Янв.-июнь │ Янв.-июнь │ Темп роста, │</w:t>
      </w:r>
    </w:p>
    <w:p>
      <w:pPr>
        <w:spacing w:after="120"/>
        <w:jc w:val="both"/>
      </w:pPr>
      <w:r>
        <w:rPr>
          <w:rFonts w:ascii="Arial" w:cs="Arial" w:eastAsia="Arial" w:hAnsi="Arial"/>
          <w:sz w:val="24"/>
          <w:szCs w:val="24"/>
        </w:rPr>
        <w:t xml:space="preserve">│                               │ 2011 года │ 2012 года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12069,9  │  16043,2  │   132,9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│Социальная защита              │   7074,7  │   8339,3  │   117,9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│Образование                    │   1581,8  │   2437,1  │   154,1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│Здравоохранение                │   2855,5  │   4404,4  │   154,2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│Отдых, культура и религия      │    557,9  │    862,4  │   154,6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Общий дефицит государственного бюджета за январь-июнь 2012 года составил 4070,7 млн.сомов (1,3% к ВВП)(5). По отношению к объему ВВП за 1 полугодие дефицит государственного бюджета за январь-июнь составил 3,5%.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Государственный долг: обслуживание внешнего и внутреннего</w:t>
      </w:r>
    </w:p>
    <w:p>
      <w:pPr>
        <w:spacing w:after="120"/>
        <w:jc w:val="both"/>
      </w:pPr>
      <w:r>
        <w:rPr>
          <w:rFonts w:ascii="Arial" w:cs="Arial" w:eastAsia="Arial" w:hAnsi="Arial"/>
          <w:sz w:val="24"/>
          <w:szCs w:val="24"/>
        </w:rPr>
        <w:t xml:space="preserve">долга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долг, по состоянию на конец июня 2012 года, составил 147584,5 млн.сомов, в том числе внутренний долг - 13167,0 млн.сомов, внешний долг - 134417,5 млн.сомов.</w:t>
      </w:r>
    </w:p>
    <w:p>
      <w:pPr>
        <w:spacing w:after="120"/>
        <w:jc w:val="both"/>
      </w:pPr>
      <w:r>
        <w:rPr>
          <w:rFonts w:ascii="Arial" w:cs="Arial" w:eastAsia="Arial" w:hAnsi="Arial"/>
          <w:sz w:val="24"/>
          <w:szCs w:val="24"/>
        </w:rPr>
        <w:t xml:space="preserve">Обслуживание долга за январь-июнь 2012 года составило 4738,1 млн.сомов. На обслуживание внешнего долга направлено 1658,2 млн.сомов, в т.ч. по основной сумме - 942,5 млн.сомов и по процентам - 715,7 млн.сомов. Обслуживание внутреннего долга составило 3079,9 млн.сомов, в т.ч. по основной сумме - 2505,1 млн.сомов и по процентам - 574,8 млн.сомов.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Улучшение деловой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Инвестиционная политика, исполнение Программы государственных</w:t>
      </w:r>
    </w:p>
    <w:p>
      <w:pPr>
        <w:spacing w:after="120"/>
        <w:jc w:val="both"/>
      </w:pPr>
      <w:r>
        <w:rPr>
          <w:rFonts w:ascii="Arial" w:cs="Arial" w:eastAsia="Arial" w:hAnsi="Arial"/>
          <w:sz w:val="24"/>
          <w:szCs w:val="24"/>
        </w:rPr>
        <w:t xml:space="preserve">инвестиций (ПГИ)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улучшения инвестиционного климата Правительством Кыргызской Республики предпринимаются меры по формированию благоприятной бизнес-среды и совершенствованию процесса привлечения инвестиций в страну путем реализации поставленных задач в рамках Плана мероприятий на 2012 год по реализации Программы Правительства Кыргызской Республики "Стабильность и достойная жизнь".</w:t>
      </w:r>
    </w:p>
    <w:p>
      <w:pPr>
        <w:spacing w:after="120"/>
        <w:jc w:val="both"/>
      </w:pPr>
      <w:r>
        <w:rPr>
          <w:rFonts w:ascii="Arial" w:cs="Arial" w:eastAsia="Arial" w:hAnsi="Arial"/>
          <w:sz w:val="24"/>
          <w:szCs w:val="24"/>
        </w:rPr>
        <w:t xml:space="preserve">Для продвижения механизмов ГЧП в стране принят </w:t>
      </w:r>
      <w:hyperlink w:history="1" r:id="rId1wzaclnm9vdqkz3c2trl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государственно-частном партнерстве в Кыргызской Республике", который предусматривает распределение обязанностей между государственными органами по подготовке, отбору и реализации проектов государственно-частного партнерства. Для успешной реализации проектов разработано 10 нормативных правовых актов и 3 подзаконных акта, регулирующих процедуры, такие как инструкции по применению формы участия частного партнера в проектах ГЧП, порядок подготовки правил проведения тендера и тендерной документации, положение о тендерной комиссии по отбору частных партнеров по проектам ГЧП.</w:t>
      </w:r>
    </w:p>
    <w:p>
      <w:pPr>
        <w:spacing w:after="120"/>
        <w:jc w:val="both"/>
      </w:pPr>
      <w:r>
        <w:rPr>
          <w:rFonts w:ascii="Arial" w:cs="Arial" w:eastAsia="Arial" w:hAnsi="Arial"/>
          <w:sz w:val="24"/>
          <w:szCs w:val="24"/>
        </w:rPr>
        <w:t xml:space="preserve">Активно проводится работа по созданию Кыргызско-Казахстанского, Кыргызско-Катарского инвестиционных фондов. Создание инвестиционных фондов, через которые предполагается финансирование приоритетных проектов на территории Кыргызской Республики, позволит увеличить приток иностранных инвестиций в страну, создать новые рабочие места, тем самым повлиять на улучшение социально-экономического развития. Представительство АО "Кыргызско-Казахстанский инвестиционный фонд" в Кыргызской Республике зарегистрировано 7 мая 2012 года. В целях поэтапного формирования капитализации фонда ожидается подписание Протокола о внесении изменений и дополнений в Соглашение между Правительством Кыргызской Республики и Правительством Республики Казахстан о создании Кыргызско-Казахстанского инвестиционного фонда от 11 июля 2007 года. Проект одобрен распоряжением Правительства Кыргызской Республики от 29 июня 2012 года № 308.</w:t>
      </w:r>
    </w:p>
    <w:p>
      <w:pPr>
        <w:spacing w:after="120"/>
        <w:jc w:val="both"/>
      </w:pPr>
      <w:r>
        <w:rPr>
          <w:rFonts w:ascii="Arial" w:cs="Arial" w:eastAsia="Arial" w:hAnsi="Arial"/>
          <w:sz w:val="24"/>
          <w:szCs w:val="24"/>
        </w:rPr>
        <w:t xml:space="preserve">В целях упрощения процедур выдачи виз иностранным гражданам и повышения привлекательности туристического рынка, развития туризма и привлечения инвестиций, принят </w:t>
      </w:r>
      <w:hyperlink w:history="1" r:id="rIdtgwhi6fseahj4pckl4e0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введении безвизового режима для граждан некоторых государств сроком до 60 дней".</w:t>
      </w:r>
    </w:p>
    <w:p>
      <w:pPr>
        <w:spacing w:after="120"/>
        <w:jc w:val="both"/>
      </w:pPr>
      <w:r>
        <w:rPr>
          <w:rFonts w:ascii="Arial" w:cs="Arial" w:eastAsia="Arial" w:hAnsi="Arial"/>
          <w:sz w:val="24"/>
          <w:szCs w:val="24"/>
        </w:rPr>
        <w:t xml:space="preserve">В рамках укрепления связей, взаимного доверия и определения новых форм сотрудничества между деловыми сообществами соседних стран проведены бизнес-форумы (кыргызско-турецкий, кыргызско-корейский, кыргызско-польский).</w:t>
      </w:r>
    </w:p>
    <w:p>
      <w:pPr>
        <w:spacing w:after="120"/>
        <w:jc w:val="both"/>
      </w:pPr>
      <w:r>
        <w:rPr>
          <w:rFonts w:ascii="Arial" w:cs="Arial" w:eastAsia="Arial" w:hAnsi="Arial"/>
          <w:sz w:val="24"/>
          <w:szCs w:val="24"/>
        </w:rPr>
        <w:t xml:space="preserve">По данным Национального статистического комитета Кыргызской Республики, поступление прямых иностранных инвестиций в экономику республики за 1 квартал 2012 года(6) составило 115,1 млн.долл. США и снизилось по сравнению с 1 кварталом 2011 г. почти вдвое.</w:t>
      </w:r>
    </w:p>
    <w:p>
      <w:pPr>
        <w:spacing w:after="120"/>
        <w:jc w:val="both"/>
      </w:pPr>
      <w:r>
        <w:rPr>
          <w:rFonts w:ascii="Arial" w:cs="Arial" w:eastAsia="Arial" w:hAnsi="Arial"/>
          <w:sz w:val="24"/>
          <w:szCs w:val="24"/>
        </w:rPr>
        <w:t xml:space="preserve">За 1 квартал 2012 года в общем объеме ПИИ наибольший удельный вес поступлений ПИИ приходится на Джалал-Абадскую - 11,6%, Чуйскую области - 17,5%, г.Бишкек - 67,1%.</w:t>
      </w:r>
    </w:p>
    <w:p>
      <w:pPr>
        <w:spacing w:after="120"/>
        <w:jc w:val="both"/>
      </w:pPr>
      <w:r>
        <w:rPr>
          <w:rFonts w:ascii="Arial" w:cs="Arial" w:eastAsia="Arial" w:hAnsi="Arial"/>
          <w:sz w:val="24"/>
          <w:szCs w:val="24"/>
        </w:rPr>
        <w:t xml:space="preserve">Отток прямых иностранных инвестиций за 1 квартал 2012 года составил 69,6 млн.долл. США (60,4% поступивших ПИИ), что больше, чем за соответствующий период 2011 года, на 53,9 млн.долл. США или в 4,5 раза.</w:t>
      </w:r>
    </w:p>
    <w:p>
      <w:pPr>
        <w:spacing w:after="120"/>
        <w:jc w:val="both"/>
      </w:pPr>
      <w:r>
        <w:rPr>
          <w:rFonts w:ascii="Arial" w:cs="Arial" w:eastAsia="Arial" w:hAnsi="Arial"/>
          <w:sz w:val="24"/>
          <w:szCs w:val="24"/>
        </w:rPr>
        <w:t xml:space="preserve">Отток ПИИ объясняется возвратом полученных кредитов от зарубежных совладельцев предприятий и торговых кредитов, которые составляют в структуре оттока 99,6%. Наибольшую долю в оттоке инвестиций занимают обрабатывающая промышленность - 66,0%, операции с недвижимым имуществом, аренды и предоставления услуг потребителям - 28,3%.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Программа государственных инвестиций (ПГИ)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Общий объем расходов по инвестиционным проектам Программы государственных инвестиций за январь-июнь 2012 г. составил 6100,1 млн.сомов, в том числе внешнее финансирование инвестиционных проектов без грантов составило 4085,2 млн.сомов, или 23,3% от годового планового показателя, и в части внутреннего софинансирования инвестиционных проектов - 281,9 млн.сомов или 41,8% годового планового показателя.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Предпринимательство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официальным данным Национального статистического комитета за 1 квартал 2012 г.(7), в Кыргызской Республике функционировало 8998 малых и средних предприятий (сокращение на 891 единицу относительно 1 кв. 2011 г.). Индивидуальную предпринимательскую деятельность осуществляли 275,9 тыс. физических лиц (прирост составил 23,8 тыс. физических лиц). Таким образом, общая численность занятых в сфере малого и среднего предпринимательства (без учета крестьянских и фермерских хозяйств) за отчетный период составила 350,6 тыс. человек (прирост составил 23 тыс. человек).</w:t>
      </w:r>
    </w:p>
    <w:p>
      <w:pPr>
        <w:spacing w:after="120"/>
        <w:jc w:val="both"/>
      </w:pPr>
      <w:r>
        <w:rPr>
          <w:rFonts w:ascii="Arial" w:cs="Arial" w:eastAsia="Arial" w:hAnsi="Arial"/>
          <w:sz w:val="24"/>
          <w:szCs w:val="24"/>
        </w:rPr>
        <w:t xml:space="preserve">Удельный вес малого и среднего бизнеса в общем объеме ВВП (предварительная оценка) составил - 36,9% или 18733,9 млн.сомов (1 кв. 2011 г. - 34,8% или 16544,8 млн.сомов соответственно).</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Таблица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Показатели предпринимательства за</w:t>
      </w:r>
    </w:p>
    <w:p>
      <w:pPr>
        <w:spacing w:after="120"/>
        <w:jc w:val="both"/>
      </w:pPr>
      <w:r>
        <w:rPr>
          <w:rFonts w:ascii="Arial" w:cs="Arial" w:eastAsia="Arial" w:hAnsi="Arial"/>
          <w:sz w:val="24"/>
          <w:szCs w:val="24"/>
        </w:rPr>
        <w:t xml:space="preserve">январь-март 2011-2012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показателя    │Ед. изм.│1 квартал│1 квартал│  Откл.  │</w:t>
      </w:r>
    </w:p>
    <w:p>
      <w:pPr>
        <w:spacing w:after="120"/>
        <w:jc w:val="both"/>
      </w:pPr>
      <w:r>
        <w:rPr>
          <w:rFonts w:ascii="Arial" w:cs="Arial" w:eastAsia="Arial" w:hAnsi="Arial"/>
          <w:sz w:val="24"/>
          <w:szCs w:val="24"/>
        </w:rPr>
        <w:t xml:space="preserve">│                              │        │ 2012 г.,│ 2011 г.,│ от факт.│</w:t>
      </w:r>
    </w:p>
    <w:p>
      <w:pPr>
        <w:spacing w:after="120"/>
        <w:jc w:val="both"/>
      </w:pPr>
      <w:r>
        <w:rPr>
          <w:rFonts w:ascii="Arial" w:cs="Arial" w:eastAsia="Arial" w:hAnsi="Arial"/>
          <w:sz w:val="24"/>
          <w:szCs w:val="24"/>
        </w:rPr>
        <w:t xml:space="preserve">│                              │        │  факт.  │  факт.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│Количество действующих МСП    │  ед.   │  8998   │  9889   │  -891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│Занятых в сфере малого и      │тыс.чел.│   350,6 │   327,6 │   +23,8 │</w:t>
      </w:r>
    </w:p>
    <w:p>
      <w:pPr>
        <w:spacing w:after="120"/>
        <w:jc w:val="both"/>
      </w:pPr>
      <w:r>
        <w:rPr>
          <w:rFonts w:ascii="Arial" w:cs="Arial" w:eastAsia="Arial" w:hAnsi="Arial"/>
          <w:sz w:val="24"/>
          <w:szCs w:val="24"/>
        </w:rPr>
        <w:t xml:space="preserve">│среднего предпринимательства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│Индивидуальные предприниматели│тыс.чел.│   275,9 │   252,1 │   +23,0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│Удельный вес МСП в ВВП        │   %    │    36,9 │    34,8 │    +2,1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рамках деятельности Межведомственной комиссии по реформе системы государственного регулирования предпринимательской деятельности были разработаны и приняты постановления Правительства Кыргызской Республики:</w:t>
      </w:r>
    </w:p>
    <w:p>
      <w:pPr>
        <w:spacing w:after="120"/>
        <w:jc w:val="both"/>
      </w:pPr>
      <w:r>
        <w:rPr>
          <w:rFonts w:ascii="Arial" w:cs="Arial" w:eastAsia="Arial" w:hAnsi="Arial"/>
          <w:sz w:val="24"/>
          <w:szCs w:val="24"/>
        </w:rPr>
        <w:t xml:space="preserve">- "Об одобрении проекта Закона Кыргызской Республики "О внесении изменений и дополнений в некоторые законодательные акты" от 28 февраля 2012 года № 146, предусматривающее сокращение 72 видов лицензий и разрешений;</w:t>
      </w:r>
    </w:p>
    <w:p>
      <w:pPr>
        <w:spacing w:after="120"/>
        <w:jc w:val="both"/>
      </w:pPr>
      <w:r>
        <w:rPr>
          <w:rFonts w:ascii="Arial" w:cs="Arial" w:eastAsia="Arial" w:hAnsi="Arial"/>
          <w:sz w:val="24"/>
          <w:szCs w:val="24"/>
        </w:rPr>
        <w:t xml:space="preserve">- "Об одобрении проекта Закона Кыргызской Республики "О внесении изменений и дополнений в некоторые законодательные акты" от 29 мая 2012 года № 345, предусматривающее сокращение 41 вида лицензий и разрешений.</w:t>
      </w:r>
    </w:p>
    <w:p>
      <w:pPr>
        <w:spacing w:after="120"/>
        <w:jc w:val="both"/>
      </w:pPr>
      <w:r>
        <w:rPr>
          <w:rFonts w:ascii="Arial" w:cs="Arial" w:eastAsia="Arial" w:hAnsi="Arial"/>
          <w:sz w:val="24"/>
          <w:szCs w:val="24"/>
        </w:rPr>
        <w:t xml:space="preserve">В настоящее время разработан проект Закона Кыргызской Республики "О лицензиях и разрешениях в Кыргызской Республике", в котором определены основные направления и принципы государственного лицензирования, перечень лицензируемых видов деятельности, операций, процедуры лицензионного контроля, приостановления и аннулирования лицензий. В рамках данного Закона предусматривается значительное сокращение оставшихся лицензий и разрешений.</w:t>
      </w:r>
    </w:p>
    <w:p>
      <w:pPr>
        <w:spacing w:after="120"/>
        <w:jc w:val="both"/>
      </w:pPr>
      <w:r>
        <w:rPr>
          <w:rFonts w:ascii="Arial" w:cs="Arial" w:eastAsia="Arial" w:hAnsi="Arial"/>
          <w:sz w:val="24"/>
          <w:szCs w:val="24"/>
        </w:rPr>
        <w:t xml:space="preserve">В целях реализации </w:t>
      </w:r>
      <w:hyperlink w:history="1" r:id="rIdss8r7fcu5bppm61yrmzs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оптимизации нормативной правовой базы регулирования предпринимательской деятельности" принято </w:t>
      </w:r>
      <w:hyperlink w:history="1" r:id="rId724jhs9obedqurzuhd62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w:t>
      </w:r>
      <w:hyperlink w:history="1" r:id="rIdutk3mpziqacjujfrq57_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лицензировании" от 27 марта 2012 года № 206, предусматривающие введение нормы "молчание - знак согласия", направленное на регламентацию действий государственных органов-лицензиаров при осуществлении процедур лицензирования, связанных со сроками рассмотрения заявлений и выдачи лицензий.</w:t>
      </w:r>
    </w:p>
    <w:p>
      <w:pPr>
        <w:spacing w:after="120"/>
        <w:jc w:val="both"/>
      </w:pPr>
      <w:r>
        <w:rPr>
          <w:rFonts w:ascii="Arial" w:cs="Arial" w:eastAsia="Arial" w:hAnsi="Arial"/>
          <w:sz w:val="24"/>
          <w:szCs w:val="24"/>
        </w:rPr>
        <w:t xml:space="preserve">Для государственной поддержки субъектов предпринимательства, пострадавших в результате грабежей, мародерства и пожаров, произошедших в июне 2010 года в г.Ош, Ошской и Джалал-Абадской областях, принято постановление Правительства Кыргызской Республики "Об утверждении дополнительного реестра субъектов предпринимательства, пострадавших в результате грабежей, мародерства и пожаров, произошедших в июне 2010 года в городе Ош, Ошской и Джалал-Абадской областях" от 10 февраля 2012 года № 90.</w:t>
      </w:r>
    </w:p>
    <w:p>
      <w:pPr>
        <w:spacing w:after="120"/>
        <w:jc w:val="both"/>
      </w:pPr>
      <w:r>
        <w:rPr>
          <w:rFonts w:ascii="Arial" w:cs="Arial" w:eastAsia="Arial" w:hAnsi="Arial"/>
          <w:sz w:val="24"/>
          <w:szCs w:val="24"/>
        </w:rPr>
        <w:t xml:space="preserve">В целях урегулирования вопросов между заемщиками-залогодателями коммерческих банков и небанковских финансово-кредитных учреждений, пострадавших в результате апрельских и июньских событий 2010 года, и коммерческими банками, небанковскими финансово-кредитными учреждениями распоряжением Правительства Кыргызской Республики от 4 апреля 2012 года № 129-р образована Комиссия по урегулированию вопросов между заемщиками-залогодателями и коммерческими банками, небанковскими финансово-кредитными учреждениями.</w:t>
      </w:r>
    </w:p>
    <w:p>
      <w:pPr>
        <w:spacing w:after="120"/>
        <w:jc w:val="both"/>
      </w:pPr>
      <w:r>
        <w:rPr>
          <w:rFonts w:ascii="Arial" w:cs="Arial" w:eastAsia="Arial" w:hAnsi="Arial"/>
          <w:sz w:val="24"/>
          <w:szCs w:val="24"/>
        </w:rPr>
        <w:t xml:space="preserve">По результатам работы данной Комиссии для оказания дополнительной поддержки заемщикам коммерческих банков и небанковских финансово-кредитных учреждений, пострадавшим в апрельских и июньских событиях в гг. Бишкек и Ош, Ошской и Джалал-Абадской областях и состоящим в реестрах субъектов предпринимательства, пострадавших в результате грабежей, мародерства и пожаров, произошедших в апреле-июне 2010 года в гг. Бишкек и Ош, Ошской и Джалал-Абадской областях, принято постановление Правительства Кыргызской Республики "О дополнительных мерах поддержки заемщиков, пострадавших в апрельских и июньских событиях в городах Бишкек и Ош, Ошской и Джалал-Абадской областях Кыргызской Республики" от 30 апреля 2012 года № 266, предусматривающее значительные меры поддержки заемщиков: введение моратория на процедуру взыскания долга на заложенное жилое помещение, списание заемщикам пени и штрафов по задолженностям, проведение реструктуризации по начисленным процентам и пролонгации выплат основной суммы кредита и др.</w:t>
      </w:r>
    </w:p>
    <w:p>
      <w:pPr>
        <w:spacing w:after="120"/>
        <w:jc w:val="both"/>
      </w:pPr>
      <w:r>
        <w:rPr>
          <w:rFonts w:ascii="Arial" w:cs="Arial" w:eastAsia="Arial" w:hAnsi="Arial"/>
          <w:sz w:val="24"/>
          <w:szCs w:val="24"/>
        </w:rPr>
        <w:t xml:space="preserve">В целях реализации Закона Кыргызской Республики "О внесении изменений и дополнений в </w:t>
      </w:r>
      <w:hyperlink w:history="1" r:id="rIdote3jnahatn5qkf5-0ee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проведения проверок субъектов предпринимательства", а также недопущения необоснованных и неэффективных проверок со стороны государственных контролирующих органов, совершенствования порядка проведения проверок субъектов предпринимательства, разработаны и приняты:</w:t>
      </w:r>
    </w:p>
    <w:p>
      <w:pPr>
        <w:spacing w:after="120"/>
        <w:jc w:val="both"/>
      </w:pPr>
      <w:r>
        <w:rPr>
          <w:rFonts w:ascii="Arial" w:cs="Arial" w:eastAsia="Arial" w:hAnsi="Arial"/>
          <w:sz w:val="24"/>
          <w:szCs w:val="24"/>
        </w:rPr>
        <w:t xml:space="preserve">- </w:t>
      </w:r>
      <w:hyperlink w:history="1" r:id="rId3g4loc-bmx7vsahjbdqg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критериев оценки степени риска при осуществлении предпринимательской деятельности" от 18 февраля 2012 года № 108, предусматривающее повышение эффективности работы государственных органов по проведению анализа и мониторинга проведенных проверок и регулирование периодичности плановых проверок субъектов предпринимательства в зависимости от степени оценки критериев риска, влияющих на улучшение предпринимательской деятельности и сокращение необоснованных проверок;</w:t>
      </w:r>
    </w:p>
    <w:p>
      <w:pPr>
        <w:spacing w:after="120"/>
        <w:jc w:val="both"/>
      </w:pPr>
      <w:r>
        <w:rPr>
          <w:rFonts w:ascii="Arial" w:cs="Arial" w:eastAsia="Arial" w:hAnsi="Arial"/>
          <w:sz w:val="24"/>
          <w:szCs w:val="24"/>
        </w:rPr>
        <w:t xml:space="preserve">- </w:t>
      </w:r>
      <w:hyperlink w:history="1" r:id="rId3ask4ygkcljm2er1hhq1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дополнения в</w:t>
      </w:r>
      <w:hyperlink w:history="1" r:id="rId1u6uaahsk4tfmupyg22bw">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 проведении реформы системы государственного регулирования предпринимательской деятельности и совершенствовании государственной политики в сфере регулирования предпринимательской деятельности" от 3 марта 2011 года № 94" от 23 марта 2012 года № 194, предусматривающее возобновление работы Межведомственной комиссии и экспертной группы в новом составе и начало процесса оптимизации в контрольно-надзорной сфере;</w:t>
      </w:r>
    </w:p>
    <w:p>
      <w:pPr>
        <w:spacing w:after="120"/>
        <w:jc w:val="both"/>
      </w:pPr>
      <w:r>
        <w:rPr>
          <w:rFonts w:ascii="Arial" w:cs="Arial" w:eastAsia="Arial" w:hAnsi="Arial"/>
          <w:sz w:val="24"/>
          <w:szCs w:val="24"/>
        </w:rPr>
        <w:t xml:space="preserve">- постановление Жогорку Кенеша Кыргызской Республики "О внесении изменения в постановление  Жогорку Кенеша Кыргызской Республики "Об утверждении Перечня уполномоченных органов, имеющих право на проведение проверок субъектов предпринимательства" от 20 июня 2008 года № 553-IV" от 19 апреля 2012 года № 1854, предусматривающее сокращение количества государственных контролирующих органов (далее - ГКО) с 21 до 12.</w:t>
      </w:r>
    </w:p>
    <w:p>
      <w:pPr>
        <w:spacing w:after="120"/>
        <w:jc w:val="both"/>
      </w:pPr>
      <w:r>
        <w:rPr>
          <w:rFonts w:ascii="Arial" w:cs="Arial" w:eastAsia="Arial" w:hAnsi="Arial"/>
          <w:sz w:val="24"/>
          <w:szCs w:val="24"/>
        </w:rPr>
        <w:t xml:space="preserve">Министерством экономики и антимонопольной политики Кыргызской Республики совместно с 12-ю ГКО утверждены совместные приказы по проверочным листам уполномоченных органов, имеющих право на проведение проверок субъектов предпринимательства, предусматривающие новые процедуры проведения проверок субъектов предпринимательства.</w:t>
      </w:r>
    </w:p>
    <w:p>
      <w:pPr>
        <w:spacing w:after="120"/>
        <w:jc w:val="both"/>
      </w:pPr>
      <w:r>
        <w:rPr>
          <w:rFonts w:ascii="Arial" w:cs="Arial" w:eastAsia="Arial" w:hAnsi="Arial"/>
          <w:sz w:val="24"/>
          <w:szCs w:val="24"/>
        </w:rPr>
        <w:t xml:space="preserve">При поддержке Международной финансовой корпорации IFC разрабатывается новая усовершенствованная версия программы "Контр-Про 3", которая позволит создать электронную базу данных по проверкам субъектов предпринимательства на основе анализа рисков.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Фискальная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направлениями фискальной политики в отчетном периоде 2012 года были: создание максимально благоприятных условий для активизации деятельности хозяйствующих субъектов, ликвидация барьеров для ведения бизнеса, а также рассмотрение вопросов по стимулированию развития предпринимательства.</w:t>
      </w:r>
    </w:p>
    <w:p>
      <w:pPr>
        <w:spacing w:after="120"/>
        <w:jc w:val="both"/>
      </w:pPr>
      <w:r>
        <w:rPr>
          <w:rFonts w:ascii="Arial" w:cs="Arial" w:eastAsia="Arial" w:hAnsi="Arial"/>
          <w:sz w:val="24"/>
          <w:szCs w:val="24"/>
        </w:rPr>
        <w:t xml:space="preserve">Для улучшения инвестиционного климата, совершенствования проводимой налоговой политики, системы налогового и таможенного администрирования принят ряд нормативных правовых актов:</w:t>
      </w:r>
    </w:p>
    <w:p>
      <w:pPr>
        <w:spacing w:after="120"/>
        <w:jc w:val="both"/>
      </w:pPr>
      <w:r>
        <w:rPr>
          <w:rFonts w:ascii="Arial" w:cs="Arial" w:eastAsia="Arial" w:hAnsi="Arial"/>
          <w:sz w:val="24"/>
          <w:szCs w:val="24"/>
        </w:rPr>
        <w:t xml:space="preserve">- в целях совершенствования налогового администрирования при применении Налогового </w:t>
      </w:r>
      <w:hyperlink w:history="1" r:id="rIdvt66udm4cmi4vevuxgrd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принят </w:t>
      </w:r>
      <w:hyperlink w:history="1" r:id="rIdu7kqqiirnevhx9brqksd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Налоговый кодекс Кыргызской Республики" от 18 мая 2012 года № 55;</w:t>
      </w:r>
    </w:p>
    <w:p>
      <w:pPr>
        <w:spacing w:after="120"/>
        <w:jc w:val="both"/>
      </w:pPr>
      <w:r>
        <w:rPr>
          <w:rFonts w:ascii="Arial" w:cs="Arial" w:eastAsia="Arial" w:hAnsi="Arial"/>
          <w:sz w:val="24"/>
          <w:szCs w:val="24"/>
        </w:rPr>
        <w:t xml:space="preserve">- в целях увеличения налоговых поступлений в бюджет от субъектов предпринимательства, предоставляющих услуги ломбарда, путем перевода данного вида деятельности на специальный режим налогообложения на основе обязательного патента принят </w:t>
      </w:r>
      <w:hyperlink w:history="1" r:id="rIdrvuxq2s--aj2pomhj1hq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некоторые законодательные акты Кыргызской Республики" от 29 мая 2012 года № 69;</w:t>
      </w:r>
    </w:p>
    <w:p>
      <w:pPr>
        <w:spacing w:after="120"/>
        <w:jc w:val="both"/>
      </w:pPr>
      <w:r>
        <w:rPr>
          <w:rFonts w:ascii="Arial" w:cs="Arial" w:eastAsia="Arial" w:hAnsi="Arial"/>
          <w:sz w:val="24"/>
          <w:szCs w:val="24"/>
        </w:rPr>
        <w:t xml:space="preserve">- в целях освобождения от подоходного налога доходов лиц, получивших на международных конкурсах денежные и иные призы и выигрыши, а также премии, присвоенные международными организациями (фондами), принят </w:t>
      </w:r>
      <w:hyperlink w:history="1" r:id="rIdx0-dk4zphqz4satmyuc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в Налоговый кодекс Кыргызской Республики" от 25 июля 2012 года № 124;</w:t>
      </w:r>
    </w:p>
    <w:p>
      <w:pPr>
        <w:spacing w:after="120"/>
        <w:jc w:val="both"/>
      </w:pPr>
      <w:r>
        <w:rPr>
          <w:rFonts w:ascii="Arial" w:cs="Arial" w:eastAsia="Arial" w:hAnsi="Arial"/>
          <w:sz w:val="24"/>
          <w:szCs w:val="24"/>
        </w:rPr>
        <w:t xml:space="preserve">- в целях совершенствования проводимой фискальной политики, предусматривающей повышение ставок налога с продаж для субъектов сферы связи с 2 до 5% одобрен проект Закона Кыргызской Республики "О внесении дополнений в некоторые законодательные акты Кыргызской Республики" </w:t>
      </w:r>
      <w:hyperlink w:history="1" r:id="rIdomwpi4woxkvo2kiqfpnk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мая 2012 года № 332;</w:t>
      </w:r>
    </w:p>
    <w:p>
      <w:pPr>
        <w:spacing w:after="120"/>
        <w:jc w:val="both"/>
      </w:pPr>
      <w:r>
        <w:rPr>
          <w:rFonts w:ascii="Arial" w:cs="Arial" w:eastAsia="Arial" w:hAnsi="Arial"/>
          <w:sz w:val="24"/>
          <w:szCs w:val="24"/>
        </w:rPr>
        <w:t xml:space="preserve">- в целях предоставления гражданам Кыргызской Республики (физическим лицам и государственным служащим Кыргызской Республики) возможности по исполнению ранее незаявленных обязательств по уплате налогов, таможенных платежей, отчислений по социальному страхованию и иных обязательных платежей в отношении доходов и имущества, полученных ими по 31 декабря 2009 года включительно, без уплаты налогов, отчислений и иных обязательных платежей, путем декларирования доходов и имущества (легализация или амнистия капитала и имущества, для последующего перехода к контролю за расходами физических лиц) одобрен проект Закона Кыргызской Республики "О внесении изменений в </w:t>
      </w:r>
      <w:hyperlink w:history="1" r:id="rIdcnk0_qrp_fqrvkiyxlem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подготовке к предоставлению единой налоговой декларации гражданами Кыргызской Республики" постановлением Правительства Кыргызской Республики от 29 мая 2012 года № 340;</w:t>
      </w:r>
    </w:p>
    <w:p>
      <w:pPr>
        <w:spacing w:after="120"/>
        <w:jc w:val="both"/>
      </w:pPr>
      <w:r>
        <w:rPr>
          <w:rFonts w:ascii="Arial" w:cs="Arial" w:eastAsia="Arial" w:hAnsi="Arial"/>
          <w:sz w:val="24"/>
          <w:szCs w:val="24"/>
        </w:rPr>
        <w:t xml:space="preserve">- в целях передачи органам местного самоуправления функций администрирования (ведение учета, сбор, взыскание и контроль) местных налогов и сборов, а также отдельных общегосударственных налогов, подготовлен проект Закона Кыргызской Республики "О внесении изменений и дополнений в Налоговый кодекс Кыргызской Республики" и одобрен </w:t>
      </w:r>
      <w:hyperlink w:history="1" r:id="rIdggnzxwym3_i9glc0brlq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июня 2012 года № 377;</w:t>
      </w:r>
    </w:p>
    <w:p>
      <w:pPr>
        <w:spacing w:after="120"/>
        <w:jc w:val="both"/>
      </w:pPr>
      <w:r>
        <w:rPr>
          <w:rFonts w:ascii="Arial" w:cs="Arial" w:eastAsia="Arial" w:hAnsi="Arial"/>
          <w:sz w:val="24"/>
          <w:szCs w:val="24"/>
        </w:rPr>
        <w:t xml:space="preserve">- в целях увеличения доходной части бюджета и взимания акцизного налога с производителей и импортеров подакцизных товаров, в том числе на давальческой основе, подготовлен проект Закона Кыргызской Республики О проекте Закона Кыргызской Республики "О внесении дополнения в Налоговый кодекс Кыргызской Республики" </w:t>
      </w:r>
      <w:hyperlink w:history="1" r:id="rIdf8dslxcyqt-0dagmrvw_m">
        <w:r>
          <w:rPr>
            <w:rFonts w:ascii="Arial" w:cs="Arial" w:eastAsia="Arial" w:hAnsi="Arial"/>
            <w:color w:val="1D4ED8"/>
            <w:sz w:val="24"/>
            <w:szCs w:val="24"/>
            <w:u w:val="single"/>
          </w:rPr>
          <w:t xml:space="preserve">от 14 июня 2012 года № 414.</w:t>
        </w:r>
      </w:hyperlink>
    </w:p>
    <w:p>
      <w:pPr>
        <w:spacing w:after="120"/>
        <w:jc w:val="both"/>
      </w:pPr>
      <w:r>
        <w:rPr>
          <w:rFonts w:ascii="Arial" w:cs="Arial" w:eastAsia="Arial" w:hAnsi="Arial"/>
          <w:sz w:val="24"/>
          <w:szCs w:val="24"/>
        </w:rPr>
        <w:t xml:space="preserve">Проведена работа по изысканию дополнительных доходов, компенсирующих сумму выпадения из доходной части бюджета 2012 года, и подготовлены предложения по мерам фискальной политики и увеличению доходной части государственного бюджета на 2012 год налоговых сборов на сумму 6500,0 млн.сомов, которые впоследствии включены в Закон Кыргызской Республики "О республиканском бюджете Кыргызской Республики на 2012 год и прогнозе на 2013-2014 годы". Кроме того, направлены предложения по дополнительным источникам дохода в соответствии с распоряжением Правительства Кыргызской Республики от 2 февраля 2012 года № 30-р на сумму 1392,8 млн.сомов.</w:t>
      </w:r>
    </w:p>
    <w:p>
      <w:pPr>
        <w:spacing w:after="120"/>
        <w:jc w:val="both"/>
      </w:pPr>
      <w:r>
        <w:rPr>
          <w:rFonts w:ascii="Arial" w:cs="Arial" w:eastAsia="Arial" w:hAnsi="Arial"/>
          <w:sz w:val="24"/>
          <w:szCs w:val="24"/>
        </w:rPr>
        <w:t xml:space="preserve">Проблемным вопросом в ходе исполнения доходной части государственного бюджета является пересмотр прогнозных показателей производства золота на руднике Кумтор, что соответственно приведет к снижению поступления налога на валовый доход от "Кумтор Оперейтинг Компани".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Приватизация и управление государственной собственностью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w:t>
      </w:r>
      <w:hyperlink w:history="1" r:id="rIdopkctxu5t8b8oof7higu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внесении изменений и дополнений в </w:t>
      </w:r>
      <w:hyperlink w:history="1" r:id="rIdjd1t9zci9zrfrpc-z-ci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приватизации государственной собственности в Кыргызской Республике" от 23 июня 2011 года № 54", в котором определен порядок утверждения Программы приватизации государственного имущества Жогорку Кенешем Кыргызской Республики, разработан проект Программы приватизации государственной собственности в Кыргызской Республике на 2012-2014 годы, который одобрен </w:t>
      </w:r>
      <w:hyperlink w:history="1" r:id="rIdt6y6i7ot6nq5lmgsa663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февраля 2012 года № 143 и принят Жогорку Кенешем Кыргызской Республики от </w:t>
      </w:r>
      <w:hyperlink w:history="1" r:id="rIdyt_8pl7qnb3fxj6sc44ro">
        <w:r>
          <w:rPr>
            <w:rFonts w:ascii="Arial" w:cs="Arial" w:eastAsia="Arial" w:hAnsi="Arial"/>
            <w:color w:val="1D4ED8"/>
            <w:sz w:val="24"/>
            <w:szCs w:val="24"/>
            <w:u w:val="single"/>
          </w:rPr>
          <w:t xml:space="preserve">25 апреля 2012 года № 1887.</w:t>
        </w:r>
      </w:hyperlink>
    </w:p>
    <w:p>
      <w:pPr>
        <w:spacing w:after="120"/>
        <w:jc w:val="both"/>
      </w:pPr>
      <w:r>
        <w:rPr>
          <w:rFonts w:ascii="Arial" w:cs="Arial" w:eastAsia="Arial" w:hAnsi="Arial"/>
          <w:sz w:val="24"/>
          <w:szCs w:val="24"/>
        </w:rPr>
        <w:t xml:space="preserve">В Программу перешли объекты, оставшиеся нереализованными по предыдущей Программе, а также ряд новых объектов - непрофильные активы, предложенные к приватизации отраслевыми министерствами и ведомствами.</w:t>
      </w:r>
    </w:p>
    <w:p>
      <w:pPr>
        <w:spacing w:after="120"/>
        <w:jc w:val="both"/>
      </w:pPr>
      <w:r>
        <w:rPr>
          <w:rFonts w:ascii="Arial" w:cs="Arial" w:eastAsia="Arial" w:hAnsi="Arial"/>
          <w:sz w:val="24"/>
          <w:szCs w:val="24"/>
        </w:rPr>
        <w:t xml:space="preserve">В данной Программе содержится перечень объектов и организаций, находящихся в госсобственности и не подлежащих приватизации, список объектов, приватизация которых осуществляется путем продажи государственного пакета акций и государственной доли в установленном порядке и перечень объектов подлежащих приватизации имущественных комплексов и иного государственного имущества.</w:t>
      </w:r>
    </w:p>
    <w:p>
      <w:pPr>
        <w:spacing w:after="120"/>
        <w:jc w:val="both"/>
      </w:pPr>
      <w:r>
        <w:rPr>
          <w:rFonts w:ascii="Arial" w:cs="Arial" w:eastAsia="Arial" w:hAnsi="Arial"/>
          <w:sz w:val="24"/>
          <w:szCs w:val="24"/>
        </w:rPr>
        <w:t xml:space="preserve">Также, в соответствии с Планом мероприятий на 2012 год по реализации Программы Правительства Кыргызской Республики "Стабильная и достойная жизнь" образовано управление учета и инвентаризации, которым проводится работа по подготовке инвентаризации и реестра государственного имущества.</w:t>
      </w:r>
    </w:p>
    <w:p>
      <w:pPr>
        <w:spacing w:after="120"/>
        <w:jc w:val="both"/>
      </w:pPr>
      <w:r>
        <w:rPr>
          <w:rFonts w:ascii="Arial" w:cs="Arial" w:eastAsia="Arial" w:hAnsi="Arial"/>
          <w:sz w:val="24"/>
          <w:szCs w:val="24"/>
        </w:rPr>
        <w:t xml:space="preserve">Промежуточные итоги инвентаризации и проект Плана мероприятий направлены в Аппарат Президента Кыргызской Республики и в данное время находятся на стадии согласования.</w:t>
      </w:r>
    </w:p>
    <w:p>
      <w:pPr>
        <w:spacing w:after="120"/>
        <w:jc w:val="both"/>
      </w:pPr>
      <w:r>
        <w:rPr>
          <w:rFonts w:ascii="Arial" w:cs="Arial" w:eastAsia="Arial" w:hAnsi="Arial"/>
          <w:sz w:val="24"/>
          <w:szCs w:val="24"/>
        </w:rPr>
        <w:t xml:space="preserve">За I полугодие 2012 года поступление средств от приватизации, дивидендов, арендной платы составило 856,6 млн.сомов, в т.ч.:</w:t>
      </w:r>
    </w:p>
    <w:p>
      <w:pPr>
        <w:spacing w:after="120"/>
        <w:jc w:val="both"/>
      </w:pPr>
      <w:r>
        <w:rPr>
          <w:rFonts w:ascii="Arial" w:cs="Arial" w:eastAsia="Arial" w:hAnsi="Arial"/>
          <w:sz w:val="24"/>
          <w:szCs w:val="24"/>
        </w:rPr>
        <w:t xml:space="preserve">- от приватизации госсобственности - 0,0 млн.сомов;</w:t>
      </w:r>
    </w:p>
    <w:p>
      <w:pPr>
        <w:spacing w:after="120"/>
        <w:jc w:val="both"/>
      </w:pPr>
      <w:r>
        <w:rPr>
          <w:rFonts w:ascii="Arial" w:cs="Arial" w:eastAsia="Arial" w:hAnsi="Arial"/>
          <w:sz w:val="24"/>
          <w:szCs w:val="24"/>
        </w:rPr>
        <w:t xml:space="preserve">- от прибыли госпредприятий не менее 50% - 311,8 млн.сомов;</w:t>
      </w:r>
    </w:p>
    <w:p>
      <w:pPr>
        <w:spacing w:after="120"/>
        <w:jc w:val="both"/>
      </w:pPr>
      <w:r>
        <w:rPr>
          <w:rFonts w:ascii="Arial" w:cs="Arial" w:eastAsia="Arial" w:hAnsi="Arial"/>
          <w:sz w:val="24"/>
          <w:szCs w:val="24"/>
        </w:rPr>
        <w:t xml:space="preserve">- от дивидендов - 531,2 млн.сомов;</w:t>
      </w:r>
    </w:p>
    <w:p>
      <w:pPr>
        <w:spacing w:after="120"/>
        <w:jc w:val="both"/>
      </w:pPr>
      <w:r>
        <w:rPr>
          <w:rFonts w:ascii="Arial" w:cs="Arial" w:eastAsia="Arial" w:hAnsi="Arial"/>
          <w:sz w:val="24"/>
          <w:szCs w:val="24"/>
        </w:rPr>
        <w:t xml:space="preserve">- от сдачи в аренду госимущества - 9,2 млн.сомов;</w:t>
      </w:r>
    </w:p>
    <w:p>
      <w:pPr>
        <w:spacing w:after="120"/>
        <w:jc w:val="both"/>
      </w:pPr>
      <w:r>
        <w:rPr>
          <w:rFonts w:ascii="Arial" w:cs="Arial" w:eastAsia="Arial" w:hAnsi="Arial"/>
          <w:sz w:val="24"/>
          <w:szCs w:val="24"/>
        </w:rPr>
        <w:t xml:space="preserve">- проценты по субординированному займу - 4,4 млн.сомов.</w:t>
      </w:r>
    </w:p>
    <w:p>
      <w:pPr>
        <w:spacing w:after="120"/>
        <w:jc w:val="both"/>
      </w:pPr>
      <w:r>
        <w:rPr>
          <w:rFonts w:ascii="Arial" w:cs="Arial" w:eastAsia="Arial" w:hAnsi="Arial"/>
          <w:sz w:val="24"/>
          <w:szCs w:val="24"/>
        </w:rPr>
        <w:t xml:space="preserve">В первом полугодии отсутствие поступления денежных средств от приватизации госсобственности обусловлено поздним принятием Программы приватизации государственной собственности в Кыргызской Республике на 2012-2014 годы, отсутствием заявок на участие в аукционе по продаже 5 национализированных объектов.</w:t>
      </w:r>
    </w:p>
    <w:p>
      <w:pPr>
        <w:spacing w:after="120"/>
        <w:jc w:val="both"/>
      </w:pPr>
      <w:r>
        <w:rPr>
          <w:rFonts w:ascii="Arial" w:cs="Arial" w:eastAsia="Arial" w:hAnsi="Arial"/>
          <w:sz w:val="24"/>
          <w:szCs w:val="24"/>
        </w:rPr>
        <w:t xml:space="preserve">Работа с национализированными объектами. В целях реализации Программы по эффективному управлению и распоряжению национализированными объектами, утвержденной постановлением Жогорку Кенеша Кыргызской Республики от 8 июля 2011 года № 941-V, проведены аукционы по реализации 5 национализированных объектов. На основании проведенного анализа национализированных объектов принято постановление Жогорку Кенеша Кыргызской Республики "О внесении изменений и дополнений в постановление Жогорку Кенеша Кыргызской Республики "Об утверждении Программы по эффективному управлению и распоряжению национализированными объектами" от 8 июля 2011 года № 941-V" от 27 июня 2012 года, которое предусматривает включение некоторых национализированных объектов в Перечень объектов, подлежащих приватизации.</w:t>
      </w:r>
    </w:p>
    <w:p>
      <w:pPr>
        <w:spacing w:after="120"/>
        <w:jc w:val="both"/>
      </w:pPr>
      <w:r>
        <w:rPr>
          <w:rFonts w:ascii="Arial" w:cs="Arial" w:eastAsia="Arial" w:hAnsi="Arial"/>
          <w:sz w:val="24"/>
          <w:szCs w:val="24"/>
        </w:rPr>
        <w:t xml:space="preserve">Разработаны График приватизации национализированных объектов на 2012 год, утвержденный приказом Фонда от 2 февраля 2012 года № 4-п, и отдельный график приватизации 49% акций ЗАО "Альфа Телеком".</w:t>
      </w:r>
    </w:p>
    <w:p>
      <w:pPr>
        <w:spacing w:after="120"/>
        <w:jc w:val="both"/>
      </w:pPr>
      <w:r>
        <w:rPr>
          <w:rFonts w:ascii="Arial" w:cs="Arial" w:eastAsia="Arial" w:hAnsi="Arial"/>
          <w:sz w:val="24"/>
          <w:szCs w:val="24"/>
        </w:rPr>
        <w:t xml:space="preserve">Согласно Программе, основная цель приватизации национализированных объектов - получение государством максимального дохода в возможно короткие сроки в целях пополнения государственного бюджета за счет продажи национализированных объектов.</w:t>
      </w:r>
    </w:p>
    <w:p>
      <w:pPr>
        <w:spacing w:after="120"/>
        <w:jc w:val="both"/>
      </w:pPr>
      <w:r>
        <w:rPr>
          <w:rFonts w:ascii="Arial" w:cs="Arial" w:eastAsia="Arial" w:hAnsi="Arial"/>
          <w:sz w:val="24"/>
          <w:szCs w:val="24"/>
        </w:rPr>
        <w:t xml:space="preserve">Все мероприятия по приватизации объектов проводились в условиях максимальной прозрачности и подотчетности гражданскому обществу, в рамках законодательства Кыргызской Республики. На всех заседаниях комиссии присутствовали представители СМИ.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Социальная сфера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Социальная защита. Пенсионное обеспечение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области социальной защиты населения проводится целенаправленная работа по повышению уровня жизни населения и улучшению положения социально уязвимых граждан.</w:t>
      </w:r>
    </w:p>
    <w:p>
      <w:pPr>
        <w:spacing w:after="120"/>
        <w:jc w:val="both"/>
      </w:pPr>
      <w:r>
        <w:rPr>
          <w:rFonts w:ascii="Arial" w:cs="Arial" w:eastAsia="Arial" w:hAnsi="Arial"/>
          <w:sz w:val="24"/>
          <w:szCs w:val="24"/>
        </w:rPr>
        <w:t xml:space="preserve">Государственные пособия. Численность получателей государственных пособий, по состоянию на 1 июля 2012 года, составляет 442,9 тыс. чел., из них: получатели ежемесячных пособий малообеспеченным семьям, имеющим детей, (ЕПМС) - 371,5 тыс. чел. или 6,6% от постоянного населения; получатели ежемесячных социальных пособий (ЕСП) - 71,4 тыс. чел. или 1,2% от постоянного населения.</w:t>
      </w:r>
    </w:p>
    <w:p>
      <w:pPr>
        <w:spacing w:after="120"/>
        <w:jc w:val="both"/>
      </w:pPr>
      <w:r>
        <w:rPr>
          <w:rFonts w:ascii="Arial" w:cs="Arial" w:eastAsia="Arial" w:hAnsi="Arial"/>
          <w:sz w:val="24"/>
          <w:szCs w:val="24"/>
        </w:rPr>
        <w:t xml:space="preserve">В целом по республике на 1 июля 2012 года средний размер ЕПМС увеличился на 25,1% и составил 309,5 сома, ЕСП - на 36,4% и составил 2006,9 сома.</w:t>
      </w:r>
    </w:p>
    <w:p>
      <w:pPr>
        <w:spacing w:after="120"/>
        <w:jc w:val="both"/>
      </w:pPr>
      <w:r>
        <w:rPr>
          <w:rFonts w:ascii="Arial" w:cs="Arial" w:eastAsia="Arial" w:hAnsi="Arial"/>
          <w:sz w:val="24"/>
          <w:szCs w:val="24"/>
        </w:rPr>
        <w:t xml:space="preserve">За отчетный период на выплату государственных пособий из средств республиканского бюджета профинансированы денежные средства на общую сумму 1575,7 млн.сомов, где рост составил 24,9%.</w:t>
      </w:r>
    </w:p>
    <w:p>
      <w:pPr>
        <w:spacing w:after="120"/>
        <w:jc w:val="both"/>
      </w:pPr>
      <w:r>
        <w:rPr>
          <w:rFonts w:ascii="Arial" w:cs="Arial" w:eastAsia="Arial" w:hAnsi="Arial"/>
          <w:sz w:val="24"/>
          <w:szCs w:val="24"/>
        </w:rPr>
        <w:t xml:space="preserve">Предоставление социальных гарантий и компенсаций. По состоянию на 1 июля 2012 года, численность получателей ежемесячных денежных компенсаций взамен льгот составляет 55,9 тыс. человек, что на 2,5% (1,4 тыс. человек) больше аналогичного периода 2011 года, что связано с ростом численности инвалидов по слуху и зрению.</w:t>
      </w:r>
    </w:p>
    <w:p>
      <w:pPr>
        <w:spacing w:after="120"/>
        <w:jc w:val="both"/>
      </w:pPr>
      <w:r>
        <w:rPr>
          <w:rFonts w:ascii="Arial" w:cs="Arial" w:eastAsia="Arial" w:hAnsi="Arial"/>
          <w:sz w:val="24"/>
          <w:szCs w:val="24"/>
        </w:rPr>
        <w:t xml:space="preserve">В целях оказания дополнительной социальной поддержки ветеранам Великой Отечественной войны производятся выплаты ежемесячной пожизненной стипендии Президента Кыргызской Республики в размере 3000 сомов. По состоянию на 1 июля 2012 года, стипендии в среднем получили 2,2 тыс. человек на общую сумму 41,7 млн.сомов. Численность получателей сокращается в связи с естественной убылью.</w:t>
      </w:r>
    </w:p>
    <w:p>
      <w:pPr>
        <w:spacing w:after="120"/>
        <w:jc w:val="both"/>
      </w:pPr>
      <w:r>
        <w:rPr>
          <w:rFonts w:ascii="Arial" w:cs="Arial" w:eastAsia="Arial" w:hAnsi="Arial"/>
          <w:sz w:val="24"/>
          <w:szCs w:val="24"/>
        </w:rPr>
        <w:t xml:space="preserve">Социальное обеспечение работающих. На 1 июля 2012 года общая численность получателей пособий по беременности и родам, пособий на погребение составила 11,0 тыс. человек. Сумма начисленных пособий составила 70,7 млн.сомов, что на 37,2% (19,2 млн.сом.) больше аналогичного периода прошлого года.</w:t>
      </w:r>
    </w:p>
    <w:p>
      <w:pPr>
        <w:spacing w:after="120"/>
        <w:jc w:val="both"/>
      </w:pPr>
      <w:r>
        <w:rPr>
          <w:rFonts w:ascii="Arial" w:cs="Arial" w:eastAsia="Arial" w:hAnsi="Arial"/>
          <w:sz w:val="24"/>
          <w:szCs w:val="24"/>
        </w:rPr>
        <w:t xml:space="preserve">Пособие по беременности и родам выплачено 9623 человек на сумму 67,4 млн.сомов, пособие на погребение - 1412 чел. на сумму 3,3 млн.сомов.</w:t>
      </w:r>
    </w:p>
    <w:p>
      <w:pPr>
        <w:spacing w:after="120"/>
        <w:jc w:val="both"/>
      </w:pPr>
      <w:r>
        <w:rPr>
          <w:rFonts w:ascii="Arial" w:cs="Arial" w:eastAsia="Arial" w:hAnsi="Arial"/>
          <w:sz w:val="24"/>
          <w:szCs w:val="24"/>
        </w:rPr>
        <w:t xml:space="preserve">Средний размер пособия по беременности и родам увеличился на 50,2% и составил 1750 сомов, пособия на погребение - на 66,5% и составил 2358 сомов.</w:t>
      </w:r>
    </w:p>
    <w:p>
      <w:pPr>
        <w:spacing w:after="120"/>
        <w:jc w:val="both"/>
      </w:pPr>
      <w:r>
        <w:rPr>
          <w:rFonts w:ascii="Arial" w:cs="Arial" w:eastAsia="Arial" w:hAnsi="Arial"/>
          <w:sz w:val="24"/>
          <w:szCs w:val="24"/>
        </w:rPr>
        <w:t xml:space="preserve">По состоянию на 2 июля 2012 года(8), семьям погибших и пропавших граждан в результате трагических событий 2010 года выделена единовременная материальная помощь (ЕМП) в размере 1,0 млн.сомов. Всего такую помощь получили 527 семей на общую сумму 527,0 млн.сомов.</w:t>
      </w:r>
    </w:p>
    <w:p>
      <w:pPr>
        <w:spacing w:after="120"/>
        <w:jc w:val="both"/>
      </w:pPr>
      <w:r>
        <w:rPr>
          <w:rFonts w:ascii="Arial" w:cs="Arial" w:eastAsia="Arial" w:hAnsi="Arial"/>
          <w:sz w:val="24"/>
          <w:szCs w:val="24"/>
        </w:rPr>
        <w:t xml:space="preserve">Единовременное денежное пособие (ЕДП) в размере 20,0 тыс.сомов выделено 412 семьям погибших, на общую сумму 8,2 млн.сомов. Единовременная материальная помощь (ЕМП) в размере от 50,0 до 100,0 тыс.сомов выделена 2228 пострадавшим на общую сумму 128,2 млн.сомов.</w:t>
      </w:r>
    </w:p>
    <w:p>
      <w:pPr>
        <w:spacing w:after="120"/>
        <w:jc w:val="both"/>
      </w:pPr>
      <w:r>
        <w:rPr>
          <w:rFonts w:ascii="Arial" w:cs="Arial" w:eastAsia="Arial" w:hAnsi="Arial"/>
          <w:sz w:val="24"/>
          <w:szCs w:val="24"/>
        </w:rPr>
        <w:t xml:space="preserve">Членам семей погибших, а также пострадавшим гражданам, выплачены дополнительные ежемесячные социальные пособия (ДЕСП) в размере 3700 сомов. Всего на выплату ДЕСП по апрельским, майским и июньским событиям из средств республиканского бюджета выделено 61,8 млн.сомов (819 чел.).</w:t>
      </w:r>
    </w:p>
    <w:p>
      <w:pPr>
        <w:spacing w:after="120"/>
        <w:jc w:val="both"/>
      </w:pPr>
      <w:r>
        <w:rPr>
          <w:rFonts w:ascii="Arial" w:cs="Arial" w:eastAsia="Arial" w:hAnsi="Arial"/>
          <w:sz w:val="24"/>
          <w:szCs w:val="24"/>
        </w:rPr>
        <w:t xml:space="preserve">Социальное обслуживание. В системе Министерства социального развития Кыргызской Республики функционирует 15 домов-интернатов, из которых 14 финансируется из средств республиканского бюджета. Бишкекский дом-интернат для престарелых - из средств местного бюджета. В данное время в домах-интернатах содержатся 2320 подопечных, в том числе престарелых и ЛОВЗ - 777, с психоневрологическим диагнозом - 1137 взрослых и 406 ребенка.</w:t>
      </w:r>
    </w:p>
    <w:p>
      <w:pPr>
        <w:spacing w:after="120"/>
        <w:jc w:val="both"/>
      </w:pPr>
      <w:r>
        <w:rPr>
          <w:rFonts w:ascii="Arial" w:cs="Arial" w:eastAsia="Arial" w:hAnsi="Arial"/>
          <w:sz w:val="24"/>
          <w:szCs w:val="24"/>
        </w:rPr>
        <w:t xml:space="preserve">За отчетный период дома-интернаты профинансированы на общую сумму 95,6 млн.сомов, что на 7,2% больше аналогичного периода 2011 года.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Таблица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развития социальной сферы</w:t>
      </w:r>
    </w:p>
    <w:p>
      <w:pPr>
        <w:spacing w:after="120"/>
        <w:jc w:val="both"/>
      </w:pPr>
      <w:r>
        <w:rPr>
          <w:rFonts w:ascii="Arial" w:cs="Arial" w:eastAsia="Arial" w:hAnsi="Arial"/>
          <w:sz w:val="24"/>
          <w:szCs w:val="24"/>
        </w:rPr>
        <w:t xml:space="preserve">за январь-июнь 2012 года(9)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показателя   │ Ед. изм. │Январь-│Январь- │Отклон.│</w:t>
      </w:r>
    </w:p>
    <w:p>
      <w:pPr>
        <w:spacing w:after="120"/>
        <w:jc w:val="both"/>
      </w:pPr>
      <w:r>
        <w:rPr>
          <w:rFonts w:ascii="Arial" w:cs="Arial" w:eastAsia="Arial" w:hAnsi="Arial"/>
          <w:sz w:val="24"/>
          <w:szCs w:val="24"/>
        </w:rPr>
        <w:t xml:space="preserve">│  │                              │          │ июнь  │ июнь   │(+, -) │</w:t>
      </w:r>
    </w:p>
    <w:p>
      <w:pPr>
        <w:spacing w:after="120"/>
        <w:jc w:val="both"/>
      </w:pPr>
      <w:r>
        <w:rPr>
          <w:rFonts w:ascii="Arial" w:cs="Arial" w:eastAsia="Arial" w:hAnsi="Arial"/>
          <w:sz w:val="24"/>
          <w:szCs w:val="24"/>
        </w:rPr>
        <w:t xml:space="preserve">│  │                              │          │2011 г.│2012 г.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│Среднемесячный размер         │сом.      │7825   │10291,0 │ 2466,0│</w:t>
      </w:r>
    </w:p>
    <w:p>
      <w:pPr>
        <w:spacing w:after="120"/>
        <w:jc w:val="both"/>
      </w:pPr>
      <w:r>
        <w:rPr>
          <w:rFonts w:ascii="Arial" w:cs="Arial" w:eastAsia="Arial" w:hAnsi="Arial"/>
          <w:sz w:val="24"/>
          <w:szCs w:val="24"/>
        </w:rPr>
        <w:t xml:space="preserve">│  │номинальной заработной        │          │       │        │       │</w:t>
      </w:r>
    </w:p>
    <w:p>
      <w:pPr>
        <w:spacing w:after="120"/>
        <w:jc w:val="both"/>
      </w:pPr>
      <w:r>
        <w:rPr>
          <w:rFonts w:ascii="Arial" w:cs="Arial" w:eastAsia="Arial" w:hAnsi="Arial"/>
          <w:sz w:val="24"/>
          <w:szCs w:val="24"/>
        </w:rPr>
        <w:t xml:space="preserve">│  │платы(10)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│Прожиточный минимум           │сом./месяц│4609,04│ 4298,95│ -310,1│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│Прожиточный минимум           │сом./месяц│5183,17│ 4810,41│ -372,8│</w:t>
      </w:r>
    </w:p>
    <w:p>
      <w:pPr>
        <w:spacing w:after="120"/>
        <w:jc w:val="both"/>
      </w:pPr>
      <w:r>
        <w:rPr>
          <w:rFonts w:ascii="Arial" w:cs="Arial" w:eastAsia="Arial" w:hAnsi="Arial"/>
          <w:sz w:val="24"/>
          <w:szCs w:val="24"/>
        </w:rPr>
        <w:t xml:space="preserve">│  │трудоспособного населения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│Численность получателей государственных пособий(11)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│ЕПМС                          │тыс. чел. │ 376,8 │  371,5 │   -5,3│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│ЕСП                           │тыс. чел. │  69,4 │   71,4 │    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│Средние размеры государственных пособий(12)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│ЕПМС                          │сом.      │ 247,4 │  309,5 │   62,1│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│ЕСП                           │сом.      │1471,0 │ 2006,9 │  535,9│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│Соотношение среднего размера государственных пособий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│ЕПМС к прожиточному минимуму  │    %     │   6,4 │    8,5 │    2,1│</w:t>
      </w:r>
    </w:p>
    <w:p>
      <w:pPr>
        <w:spacing w:after="120"/>
        <w:jc w:val="both"/>
      </w:pPr>
      <w:r>
        <w:rPr>
          <w:rFonts w:ascii="Arial" w:cs="Arial" w:eastAsia="Arial" w:hAnsi="Arial"/>
          <w:sz w:val="24"/>
          <w:szCs w:val="24"/>
        </w:rPr>
        <w:t xml:space="preserve">│  │на детей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│ЕСП к прожиточному минимуму   │    %     │  31,9 │   46,6 │   14,7│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│Финансирование социальных выплат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│Государственных пособий (ЕПМС,│млн.сом.  │1260,6 │ 1575,7 │  315,1│</w:t>
      </w:r>
    </w:p>
    <w:p>
      <w:pPr>
        <w:spacing w:after="120"/>
        <w:jc w:val="both"/>
      </w:pPr>
      <w:r>
        <w:rPr>
          <w:rFonts w:ascii="Arial" w:cs="Arial" w:eastAsia="Arial" w:hAnsi="Arial"/>
          <w:sz w:val="24"/>
          <w:szCs w:val="24"/>
        </w:rPr>
        <w:t xml:space="preserve">│  │ЕСП)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│Денежных компенсаций взамен   │млн.сом.  │ 707,1 │  666,9 │  -40,2│</w:t>
      </w:r>
    </w:p>
    <w:p>
      <w:pPr>
        <w:spacing w:after="120"/>
        <w:jc w:val="both"/>
      </w:pPr>
      <w:r>
        <w:rPr>
          <w:rFonts w:ascii="Arial" w:cs="Arial" w:eastAsia="Arial" w:hAnsi="Arial"/>
          <w:sz w:val="24"/>
          <w:szCs w:val="24"/>
        </w:rPr>
        <w:t xml:space="preserve">│  │льгот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Среднемесячная номинальная заработная плата одного работника в январе-мае 2012 года (без учета малых предприятий) составила 10291,0 сомов. По сравнению с январем-маем 2011 года увеличилась на 31,5%, а ее реальный размер, исчисленный с учетом индекса потребительских цен, возрос на 29,9%. Рост заработной платы в январе-мае 2012 года в значительной мере обеспечен ее увеличением в бюджетной сфере на 46,3%.</w:t>
      </w:r>
    </w:p>
    <w:p>
      <w:pPr>
        <w:spacing w:after="120"/>
        <w:jc w:val="both"/>
      </w:pPr>
      <w:r>
        <w:rPr>
          <w:rFonts w:ascii="Arial" w:cs="Arial" w:eastAsia="Arial" w:hAnsi="Arial"/>
          <w:sz w:val="24"/>
          <w:szCs w:val="24"/>
        </w:rPr>
        <w:t xml:space="preserve">Увеличение размера заработной платы в январе-мае 2012 года, по сравнению с соответствующим периодом прошлого года, наблюдалось во всех видах экономической деятельности, но наиболее значительное - в образовании (на 54,8%) и здравоохранении (на 87,8%). В январе-мае 2012 года значительно превысила среднереспубликанский уровень заработная плата работников финансовой деятельности, транспорта и связи, в сфере производства и распределения электроэнергии, газа и воды. Наименьший ее уровень сложился в сельском хозяйстве, образовании, сфере предоставления коммунальных, социальных и персональных услуг.</w:t>
      </w:r>
    </w:p>
    <w:p>
      <w:pPr>
        <w:spacing w:after="120"/>
        <w:jc w:val="both"/>
      </w:pPr>
      <w:r>
        <w:rPr>
          <w:rFonts w:ascii="Arial" w:cs="Arial" w:eastAsia="Arial" w:hAnsi="Arial"/>
          <w:sz w:val="24"/>
          <w:szCs w:val="24"/>
        </w:rPr>
        <w:t xml:space="preserve">Сумма общей задолженности по выплате заработной платы в целом по республике на 1 июня 2012 года, по сравнению с аналогичной датой 2011 года увеличилась на 0,8%, а по сравнению с аналогичной датой предыдущего месяца - на 13,6%.</w:t>
      </w:r>
    </w:p>
    <w:p>
      <w:pPr>
        <w:spacing w:after="120"/>
        <w:jc w:val="both"/>
      </w:pPr>
      <w:r>
        <w:rPr>
          <w:rFonts w:ascii="Arial" w:cs="Arial" w:eastAsia="Arial" w:hAnsi="Arial"/>
          <w:sz w:val="24"/>
          <w:szCs w:val="24"/>
        </w:rPr>
        <w:t xml:space="preserve">Величина прожиточного минимума во II квартале 2012 года составила 4298,95 сома. По сравнению с соответствующим периодом прошлого года снизилась на 6,7%, что связано со снижением цен на продовольственные товары (в структуре прожиточного минимума доля продовольственных товаров составляет 65%, непродовольственных - 16%, услуг - 17%, налогов 2%).</w:t>
      </w:r>
    </w:p>
    <w:p>
      <w:pPr>
        <w:spacing w:after="120"/>
        <w:jc w:val="both"/>
      </w:pPr>
      <w:r>
        <w:rPr>
          <w:rFonts w:ascii="Arial" w:cs="Arial" w:eastAsia="Arial" w:hAnsi="Arial"/>
          <w:sz w:val="24"/>
          <w:szCs w:val="24"/>
        </w:rPr>
        <w:t xml:space="preserve">Социальное обслуживание пенсионеров. Всего общая сумма доходов Социального фонда за январь-июнь 2012 года, по предварительным итогам, составила 14537,6 млн.сомов или 104,1% от установленного планового значения. По сравнению с аналогичным периодом предыдущего года доходы Социального фонда выросли на 39,2% или на 4096,2 сома.</w:t>
      </w:r>
    </w:p>
    <w:p>
      <w:pPr>
        <w:spacing w:after="120"/>
        <w:jc w:val="both"/>
      </w:pPr>
      <w:r>
        <w:rPr>
          <w:rFonts w:ascii="Arial" w:cs="Arial" w:eastAsia="Arial" w:hAnsi="Arial"/>
          <w:sz w:val="24"/>
          <w:szCs w:val="24"/>
        </w:rPr>
        <w:t xml:space="preserve">Потребность на выплату пенсий и пособий, составившая 12849,4 млн.сомов профинансирована в полном объеме и задолженности по выплате пенсий и иных социальных выплат не имеется.</w:t>
      </w:r>
    </w:p>
    <w:p>
      <w:pPr>
        <w:spacing w:after="120"/>
        <w:jc w:val="both"/>
      </w:pPr>
      <w:r>
        <w:rPr>
          <w:rFonts w:ascii="Arial" w:cs="Arial" w:eastAsia="Arial" w:hAnsi="Arial"/>
          <w:sz w:val="24"/>
          <w:szCs w:val="24"/>
        </w:rPr>
        <w:t xml:space="preserve">За январь-июнь 2012 года Фонд обязательного медицинского страхования профинансирован в сумме 511,7 млн.сомов, а Фонд оздоровления трудящихся - в сумме 60,5 млн.сомов.</w:t>
      </w:r>
    </w:p>
    <w:p>
      <w:pPr>
        <w:spacing w:after="120"/>
        <w:jc w:val="both"/>
      </w:pPr>
      <w:r>
        <w:rPr>
          <w:rFonts w:ascii="Arial" w:cs="Arial" w:eastAsia="Arial" w:hAnsi="Arial"/>
          <w:sz w:val="24"/>
          <w:szCs w:val="24"/>
        </w:rPr>
        <w:t xml:space="preserve">На 1 июля 2012 года численность пенсионеров по республике составила 553753 чел., что на 18944 чел. больше по сравнению с 2011 годом.</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Таблица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пенсионного обеспечения</w:t>
      </w:r>
    </w:p>
    <w:p>
      <w:pPr>
        <w:spacing w:after="120"/>
        <w:jc w:val="both"/>
      </w:pPr>
      <w:r>
        <w:rPr>
          <w:rFonts w:ascii="Arial" w:cs="Arial" w:eastAsia="Arial" w:hAnsi="Arial"/>
          <w:sz w:val="24"/>
          <w:szCs w:val="24"/>
        </w:rPr>
        <w:t xml:space="preserve">за январь-июнь 2011-2012 гг.(13)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Ед. │ Январь- │ Январь- │Темп  │Январь-│  %  │</w:t>
      </w:r>
    </w:p>
    <w:p>
      <w:pPr>
        <w:spacing w:after="120"/>
        <w:jc w:val="both"/>
      </w:pPr>
      <w:r>
        <w:rPr>
          <w:rFonts w:ascii="Arial" w:cs="Arial" w:eastAsia="Arial" w:hAnsi="Arial"/>
          <w:sz w:val="24"/>
          <w:szCs w:val="24"/>
        </w:rPr>
        <w:t xml:space="preserve">│ │     показателя     │ изм.│  июнь   │  июнь   │роста,│ июнь  │ вы- │</w:t>
      </w:r>
    </w:p>
    <w:p>
      <w:pPr>
        <w:spacing w:after="120"/>
        <w:jc w:val="both"/>
      </w:pPr>
      <w:r>
        <w:rPr>
          <w:rFonts w:ascii="Arial" w:cs="Arial" w:eastAsia="Arial" w:hAnsi="Arial"/>
          <w:sz w:val="24"/>
          <w:szCs w:val="24"/>
        </w:rPr>
        <w:t xml:space="preserve">│ │                    │     │ 2011 г. │ 2012 г. │  %   │2012 г.│полн.│</w:t>
      </w:r>
    </w:p>
    <w:p>
      <w:pPr>
        <w:spacing w:after="120"/>
        <w:jc w:val="both"/>
      </w:pPr>
      <w:r>
        <w:rPr>
          <w:rFonts w:ascii="Arial" w:cs="Arial" w:eastAsia="Arial" w:hAnsi="Arial"/>
          <w:sz w:val="24"/>
          <w:szCs w:val="24"/>
        </w:rPr>
        <w:t xml:space="preserve">│ │                    │     │         │         │      │прогноз│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│1│Всего доходов:      │млн. │ 10441,41│ 14537,6 │ 139,2│13534,5│107,4│</w:t>
      </w:r>
    </w:p>
    <w:p>
      <w:pPr>
        <w:spacing w:after="120"/>
        <w:jc w:val="both"/>
      </w:pPr>
      <w:r>
        <w:rPr>
          <w:rFonts w:ascii="Arial" w:cs="Arial" w:eastAsia="Arial" w:hAnsi="Arial"/>
          <w:sz w:val="24"/>
          <w:szCs w:val="24"/>
        </w:rPr>
        <w:t xml:space="preserve">│ │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│поступления         │млн. │  6575,5 │  8909,5 │ 135,5│ 7967,0│111,8│</w:t>
      </w:r>
    </w:p>
    <w:p>
      <w:pPr>
        <w:spacing w:after="120"/>
        <w:jc w:val="both"/>
      </w:pPr>
      <w:r>
        <w:rPr>
          <w:rFonts w:ascii="Arial" w:cs="Arial" w:eastAsia="Arial" w:hAnsi="Arial"/>
          <w:sz w:val="24"/>
          <w:szCs w:val="24"/>
        </w:rPr>
        <w:t xml:space="preserve">│ │страховых взносов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│поступления из      │млн. │  3794,4 │  5440,6 │ 143,4│ 5440,6│100,0│</w:t>
      </w:r>
    </w:p>
    <w:p>
      <w:pPr>
        <w:spacing w:after="120"/>
        <w:jc w:val="both"/>
      </w:pPr>
      <w:r>
        <w:rPr>
          <w:rFonts w:ascii="Arial" w:cs="Arial" w:eastAsia="Arial" w:hAnsi="Arial"/>
          <w:sz w:val="24"/>
          <w:szCs w:val="24"/>
        </w:rPr>
        <w:t xml:space="preserve">│ │республиканского    │сомов│         │         │      │       │     │</w:t>
      </w:r>
    </w:p>
    <w:p>
      <w:pPr>
        <w:spacing w:after="120"/>
        <w:jc w:val="both"/>
      </w:pPr>
      <w:r>
        <w:rPr>
          <w:rFonts w:ascii="Arial" w:cs="Arial" w:eastAsia="Arial" w:hAnsi="Arial"/>
          <w:sz w:val="24"/>
          <w:szCs w:val="24"/>
        </w:rPr>
        <w:t xml:space="preserve">│ │бюджета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│прочие доходы       │млн. │    55,1 │    75,9 │ 137,7│   57,4│132,2│</w:t>
      </w:r>
    </w:p>
    <w:p>
      <w:pPr>
        <w:spacing w:after="120"/>
        <w:jc w:val="both"/>
      </w:pPr>
      <w:r>
        <w:rPr>
          <w:rFonts w:ascii="Arial" w:cs="Arial" w:eastAsia="Arial" w:hAnsi="Arial"/>
          <w:sz w:val="24"/>
          <w:szCs w:val="24"/>
        </w:rPr>
        <w:t xml:space="preserve">│ │(дивиденды по акциям│сомов│         │         │      │       │     │</w:t>
      </w:r>
    </w:p>
    <w:p>
      <w:pPr>
        <w:spacing w:after="120"/>
        <w:jc w:val="both"/>
      </w:pPr>
      <w:r>
        <w:rPr>
          <w:rFonts w:ascii="Arial" w:cs="Arial" w:eastAsia="Arial" w:hAnsi="Arial"/>
          <w:sz w:val="24"/>
          <w:szCs w:val="24"/>
        </w:rPr>
        <w:t xml:space="preserve">│ │и др.)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│доходы от           │млн. │    16,4 │   111,6 │ 680,4│   69,5│160,5│</w:t>
      </w:r>
    </w:p>
    <w:p>
      <w:pPr>
        <w:spacing w:after="120"/>
        <w:jc w:val="both"/>
      </w:pPr>
      <w:r>
        <w:rPr>
          <w:rFonts w:ascii="Arial" w:cs="Arial" w:eastAsia="Arial" w:hAnsi="Arial"/>
          <w:sz w:val="24"/>
          <w:szCs w:val="24"/>
        </w:rPr>
        <w:t xml:space="preserve">│ │инвестирования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│2│Всего расходов:     │млн. │ 10251,5 │ 14587,3 │ 142,3│13482,7│108,2│</w:t>
      </w:r>
    </w:p>
    <w:p>
      <w:pPr>
        <w:spacing w:after="120"/>
        <w:jc w:val="both"/>
      </w:pPr>
      <w:r>
        <w:rPr>
          <w:rFonts w:ascii="Arial" w:cs="Arial" w:eastAsia="Arial" w:hAnsi="Arial"/>
          <w:sz w:val="24"/>
          <w:szCs w:val="24"/>
        </w:rPr>
        <w:t xml:space="preserve">│ │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 средствам        │млн. │  9941,1 │ 14015,1 │ 141,0│12910,5│108,6│</w:t>
      </w:r>
    </w:p>
    <w:p>
      <w:pPr>
        <w:spacing w:after="120"/>
        <w:jc w:val="both"/>
      </w:pPr>
      <w:r>
        <w:rPr>
          <w:rFonts w:ascii="Arial" w:cs="Arial" w:eastAsia="Arial" w:hAnsi="Arial"/>
          <w:sz w:val="24"/>
          <w:szCs w:val="24"/>
        </w:rPr>
        <w:t xml:space="preserve">│ │Пенсионного фонда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 средствам фонда  │млн. │   253,1 │   511,7 │ 202,2│  511,7│100,0│</w:t>
      </w:r>
    </w:p>
    <w:p>
      <w:pPr>
        <w:spacing w:after="120"/>
        <w:jc w:val="both"/>
      </w:pPr>
      <w:r>
        <w:rPr>
          <w:rFonts w:ascii="Arial" w:cs="Arial" w:eastAsia="Arial" w:hAnsi="Arial"/>
          <w:sz w:val="24"/>
          <w:szCs w:val="24"/>
        </w:rPr>
        <w:t xml:space="preserve">│ │ОМС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Фонд оздоровления │млн. │    57,3 │    60,5 │ 105,6│   60,5│100,0│</w:t>
      </w:r>
    </w:p>
    <w:p>
      <w:pPr>
        <w:spacing w:after="120"/>
        <w:jc w:val="both"/>
      </w:pPr>
      <w:r>
        <w:rPr>
          <w:rFonts w:ascii="Arial" w:cs="Arial" w:eastAsia="Arial" w:hAnsi="Arial"/>
          <w:sz w:val="24"/>
          <w:szCs w:val="24"/>
        </w:rPr>
        <w:t xml:space="preserve">│ │трудящихся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│3│Общее количество    │чел. │534809   │553753   │ 103,5│   -   │     │</w:t>
      </w:r>
    </w:p>
    <w:p>
      <w:pPr>
        <w:spacing w:after="120"/>
        <w:jc w:val="both"/>
      </w:pPr>
      <w:r>
        <w:rPr>
          <w:rFonts w:ascii="Arial" w:cs="Arial" w:eastAsia="Arial" w:hAnsi="Arial"/>
          <w:sz w:val="24"/>
          <w:szCs w:val="24"/>
        </w:rPr>
        <w:t xml:space="preserve">│ │пенсионеров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│4│Профинансированы и  │млн. │  9271,5 │ 12849,4 │ 138,6│   -   │     │</w:t>
      </w:r>
    </w:p>
    <w:p>
      <w:pPr>
        <w:spacing w:after="120"/>
        <w:jc w:val="both"/>
      </w:pPr>
      <w:r>
        <w:rPr>
          <w:rFonts w:ascii="Arial" w:cs="Arial" w:eastAsia="Arial" w:hAnsi="Arial"/>
          <w:sz w:val="24"/>
          <w:szCs w:val="24"/>
        </w:rPr>
        <w:t xml:space="preserve">│ │выплачены пенсии и  │сомов│         │         │      │       │     │</w:t>
      </w:r>
    </w:p>
    <w:p>
      <w:pPr>
        <w:spacing w:after="120"/>
        <w:jc w:val="both"/>
      </w:pPr>
      <w:r>
        <w:rPr>
          <w:rFonts w:ascii="Arial" w:cs="Arial" w:eastAsia="Arial" w:hAnsi="Arial"/>
          <w:sz w:val="24"/>
          <w:szCs w:val="24"/>
        </w:rPr>
        <w:t xml:space="preserve">│ │иные соц. выплаты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│5│Среднемесячный      │сомов│  3093   │  4070   │ 131,6│   -   │     │</w:t>
      </w:r>
    </w:p>
    <w:p>
      <w:pPr>
        <w:spacing w:after="120"/>
        <w:jc w:val="both"/>
      </w:pPr>
      <w:r>
        <w:rPr>
          <w:rFonts w:ascii="Arial" w:cs="Arial" w:eastAsia="Arial" w:hAnsi="Arial"/>
          <w:sz w:val="24"/>
          <w:szCs w:val="24"/>
        </w:rPr>
        <w:t xml:space="preserve">│ │размер пенсий(14)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│6│Прожиточный минимум │сомов│  4155,41│  3824,16│  92,0│   -   │     │</w:t>
      </w:r>
    </w:p>
    <w:p>
      <w:pPr>
        <w:spacing w:after="120"/>
        <w:jc w:val="both"/>
      </w:pPr>
      <w:r>
        <w:rPr>
          <w:rFonts w:ascii="Arial" w:cs="Arial" w:eastAsia="Arial" w:hAnsi="Arial"/>
          <w:sz w:val="24"/>
          <w:szCs w:val="24"/>
        </w:rPr>
        <w:t xml:space="preserve">│ │пенсионера(15)      │в    │         │         │      │       │     │</w:t>
      </w:r>
    </w:p>
    <w:p>
      <w:pPr>
        <w:spacing w:after="120"/>
        <w:jc w:val="both"/>
      </w:pPr>
      <w:r>
        <w:rPr>
          <w:rFonts w:ascii="Arial" w:cs="Arial" w:eastAsia="Arial" w:hAnsi="Arial"/>
          <w:sz w:val="24"/>
          <w:szCs w:val="24"/>
        </w:rPr>
        <w:t xml:space="preserve">│ │                    │месяц│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Средний размер пенсии после майского повышения составляет 4070 сомов, с учетом компенсационных выплат за электроэнергию. По сравнению с аналогичным периодом 2011 года средний размер пенсии увеличился на 31,6% или на 977 сомов. Данный уровень пенсии сложился в результате повышения с 1 мая 2012 года страховых частей пенсии в зависимости от размера пенсии: на 150 сомов для низких пенсий и до 1500 сомов - для высоких.</w:t>
      </w:r>
    </w:p>
    <w:p>
      <w:pPr>
        <w:spacing w:after="120"/>
        <w:jc w:val="both"/>
      </w:pPr>
      <w:r>
        <w:rPr>
          <w:rFonts w:ascii="Arial" w:cs="Arial" w:eastAsia="Arial" w:hAnsi="Arial"/>
          <w:sz w:val="24"/>
          <w:szCs w:val="24"/>
        </w:rPr>
        <w:t xml:space="preserve">Основным результатом мер, принятых за 1-е полугодие 2012 года, в области пенсионного обеспечения стало превышение размера пенсии над уровнем прожиточного минимума и соотношение среднего размера пенсии к прожиточному минимуму составило 106,4%.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Рынок труда и миграция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результате естественных и миграционных процессов численность населения республики в январе-мае 2012 года увеличилась на 46,5 тыс. человек, или на 0,8%. По оценочным данным, численность постоянного населения на 1 июня 2012 года составила 5598 тыс. человек.</w:t>
      </w:r>
    </w:p>
    <w:p>
      <w:pPr>
        <w:spacing w:after="120"/>
        <w:jc w:val="both"/>
      </w:pPr>
      <w:r>
        <w:rPr>
          <w:rFonts w:ascii="Arial" w:cs="Arial" w:eastAsia="Arial" w:hAnsi="Arial"/>
          <w:sz w:val="24"/>
          <w:szCs w:val="24"/>
        </w:rPr>
        <w:t xml:space="preserve">Основным фактором роста численности населения является естественный прирост, который составил 48,4 тыс. человек (20,9 на 1000 населения, 19,3 - в январе-мае 2011 года). В январе-мае 2012 года родилось 64,0 тыс. детей (27,6 на 1000 населения, 26,1 - в январе-мае 2011 года). Умерло 15,6 тыс. человек (6,7 на 1000 населения, 6,8 - в январе-мае 2011 года). Умерло 1288 детей в возрасте до одного года, или 20,1 на 1000 родившихся (20,5 - в январе-мае 2011 года).</w:t>
      </w:r>
    </w:p>
    <w:p>
      <w:pPr>
        <w:spacing w:after="120"/>
        <w:jc w:val="both"/>
      </w:pPr>
      <w:r>
        <w:rPr>
          <w:rFonts w:ascii="Arial" w:cs="Arial" w:eastAsia="Arial" w:hAnsi="Arial"/>
          <w:sz w:val="24"/>
          <w:szCs w:val="24"/>
        </w:rPr>
        <w:t xml:space="preserve">Демографическая ситуация в январе-мае 2012 года характеризовалась значительным снижением внешней миграционной активности населения. Так, в январе-мае 2012 года в республику на постоянное место жительства прибыло 2,6 тыс. человек., выбыло 4,5 тыс. человек, миграционный отток населения составил - 1,9 тыс. человек (-17,2 тыс. человек - в январе-мае 2011 года). По-прежнему, наиболее высокая интенсивность выбытия по внешней миграции наблюдалась из гор. Бишкек и Таласской области (по 11 человек на 10 тыс. жителей), а также Чуйской области (20 человек на 10 тыс. жителей).</w:t>
      </w:r>
    </w:p>
    <w:p>
      <w:pPr>
        <w:spacing w:after="120"/>
        <w:jc w:val="both"/>
      </w:pPr>
      <w:r>
        <w:rPr>
          <w:rFonts w:ascii="Arial" w:cs="Arial" w:eastAsia="Arial" w:hAnsi="Arial"/>
          <w:sz w:val="24"/>
          <w:szCs w:val="24"/>
        </w:rPr>
        <w:t xml:space="preserve">Занятость населения. Численность незанятого населения, состоящего на учете в органах государственной службы занятости в поисках работы, на 1 июля 2012 года по сравнению с аналогичной датой 2011 года увеличилась на 0,2%, а численность безработных уменьшилась на 1,3%. Уровень официальной безработицы составил 2,6% от экономически активного населения.</w:t>
      </w:r>
    </w:p>
    <w:p>
      <w:pPr>
        <w:spacing w:after="120"/>
        <w:jc w:val="both"/>
      </w:pPr>
      <w:r>
        <w:rPr>
          <w:rFonts w:ascii="Arial" w:cs="Arial" w:eastAsia="Arial" w:hAnsi="Arial"/>
          <w:sz w:val="24"/>
          <w:szCs w:val="24"/>
        </w:rPr>
        <w:t xml:space="preserve">Число обратившихся в службы занятости за 1 полугодие т.г. составило 83652 чел., что на 5616 чел., или на 7% больше, чем за аналогичный период 2011 года. Зарегистрировались в службах занятости, как ищущие работу, 43780 человек, что на 4874 человека, или на 12,5% больше, чем за аналогичный период 2011 года.</w:t>
      </w:r>
    </w:p>
    <w:p>
      <w:pPr>
        <w:spacing w:after="120"/>
        <w:jc w:val="both"/>
      </w:pPr>
      <w:r>
        <w:rPr>
          <w:rFonts w:ascii="Arial" w:cs="Arial" w:eastAsia="Arial" w:hAnsi="Arial"/>
          <w:sz w:val="24"/>
          <w:szCs w:val="24"/>
        </w:rPr>
        <w:t xml:space="preserve">По состоянию на 1 июля 2012 года, в службах занятости состоят на учете 101880 чел., 43% из которых составляет молодежь в возрасте до 29 лет. Имеют официальный статус безработных имеют 64220 чел., что на уровне аналогичного периода прошлого года. Из числа безработных 50% (32238) составляют женщины, около 20% (13051) являются молодыми людьми до 29 лет.</w:t>
      </w:r>
    </w:p>
    <w:p>
      <w:pPr>
        <w:spacing w:after="120"/>
        <w:jc w:val="both"/>
      </w:pPr>
      <w:r>
        <w:rPr>
          <w:rFonts w:ascii="Arial" w:cs="Arial" w:eastAsia="Arial" w:hAnsi="Arial"/>
          <w:sz w:val="24"/>
          <w:szCs w:val="24"/>
        </w:rPr>
        <w:t xml:space="preserve">В целях оказания содействия занятости на рынке труда проводились активные мероприятия, в числе которых: предложения по обучению, переобучению, временному трудоустройству (проекты общественных оплачиваемых работ), обеспечение льготными микрокредитами безработных граждан. Так, за 1 полугодие т.г. активными мерами на рынке труда было охвачено 38092 безработных, что практически на уровне прошлого года.</w:t>
      </w:r>
    </w:p>
    <w:p>
      <w:pPr>
        <w:spacing w:after="120"/>
        <w:jc w:val="both"/>
      </w:pPr>
      <w:r>
        <w:rPr>
          <w:rFonts w:ascii="Arial" w:cs="Arial" w:eastAsia="Arial" w:hAnsi="Arial"/>
          <w:sz w:val="24"/>
          <w:szCs w:val="24"/>
        </w:rPr>
        <w:t xml:space="preserve">На общественные оплачиваемые работы было направлены 13686 человек, что больше на 515 человек, или на 4%, чем в прошлом году.</w:t>
      </w:r>
    </w:p>
    <w:p>
      <w:pPr>
        <w:spacing w:after="120"/>
        <w:jc w:val="both"/>
      </w:pPr>
      <w:r>
        <w:rPr>
          <w:rFonts w:ascii="Arial" w:cs="Arial" w:eastAsia="Arial" w:hAnsi="Arial"/>
          <w:sz w:val="24"/>
          <w:szCs w:val="24"/>
        </w:rPr>
        <w:t xml:space="preserve">Обучение, переобучение востребованным на рынке труда профессиям было предложено 5308 безработным, что на 6% больше, чем в прошлый период.</w:t>
      </w:r>
    </w:p>
    <w:p>
      <w:pPr>
        <w:spacing w:after="120"/>
        <w:jc w:val="both"/>
      </w:pPr>
      <w:r>
        <w:rPr>
          <w:rFonts w:ascii="Arial" w:cs="Arial" w:eastAsia="Arial" w:hAnsi="Arial"/>
          <w:sz w:val="24"/>
          <w:szCs w:val="24"/>
        </w:rPr>
        <w:t xml:space="preserve">Льготные микрокредиты получили 1315 человек, что больше на 424 человек, или на 48%, чем за аналогичный период прошлого года.</w:t>
      </w:r>
    </w:p>
    <w:p>
      <w:pPr>
        <w:spacing w:after="120"/>
        <w:jc w:val="both"/>
      </w:pPr>
      <w:r>
        <w:rPr>
          <w:rFonts w:ascii="Arial" w:cs="Arial" w:eastAsia="Arial" w:hAnsi="Arial"/>
          <w:sz w:val="24"/>
          <w:szCs w:val="24"/>
        </w:rPr>
        <w:t xml:space="preserve">Миграция. В Кыргызстане экспорт рабочей силы является распространенным явлением. По предварительным данным, чистый приток денежных переводов физических лиц за январь-май составил 605,6 млн.долл. США, что на 21,1% превысило показатель за соответствующий период 2011 года. При этом, как и прежде, подавляющий объем притока денежных средств приходился на Российскую Федерацию и составил 667,4 млн.долл. США (95,9%)(16).</w:t>
      </w:r>
    </w:p>
    <w:p>
      <w:pPr>
        <w:spacing w:after="120"/>
        <w:jc w:val="both"/>
      </w:pPr>
      <w:r>
        <w:rPr>
          <w:rFonts w:ascii="Arial" w:cs="Arial" w:eastAsia="Arial" w:hAnsi="Arial"/>
          <w:sz w:val="24"/>
          <w:szCs w:val="24"/>
        </w:rPr>
        <w:t xml:space="preserve">Кроме этого, в рамках Программы Правительства Кыргызской Республики "Стабильность и достойная жизнь" в настоящее время межведомственной рабочей группой осуществляется разработка новой редакции Трудового кодекса Кыргызской Республики. Главная отличительная черта новой версии заключается в том, что трудовые правоотношения будут строиться исключительно на основе контракта, независимо в государственной, частной, или иной сферах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Здравоохранение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Демографическая ситуация за 1 полугодие 2012 года характеризовалась тенденцией роста показателя рождаемости, который составил 27,6 на 1000 населения, по предварительным данным (1 полугодие 2011 года 26,1). Продолжает сохраняться тенденция к росту показателя естественного прироста населения, составив по итогам 1 полугодия 2012 года 20,9 на 1000 населения (1 полугодие 2011 года - 19,3).</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Таблица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здравоохранения(17)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показателя     │ Ед. изм.  │Январь-│Январь-│ Откл.  │</w:t>
      </w:r>
    </w:p>
    <w:p>
      <w:pPr>
        <w:spacing w:after="120"/>
        <w:jc w:val="both"/>
      </w:pPr>
      <w:r>
        <w:rPr>
          <w:rFonts w:ascii="Arial" w:cs="Arial" w:eastAsia="Arial" w:hAnsi="Arial"/>
          <w:sz w:val="24"/>
          <w:szCs w:val="24"/>
        </w:rPr>
        <w:t xml:space="preserve">│                                │           │ июнь  │ июнь  │от факт.│</w:t>
      </w:r>
    </w:p>
    <w:p>
      <w:pPr>
        <w:spacing w:after="120"/>
        <w:jc w:val="both"/>
      </w:pPr>
      <w:r>
        <w:rPr>
          <w:rFonts w:ascii="Arial" w:cs="Arial" w:eastAsia="Arial" w:hAnsi="Arial"/>
          <w:sz w:val="24"/>
          <w:szCs w:val="24"/>
        </w:rPr>
        <w:t xml:space="preserve">│                                │           │2011 г.│2012 г.│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│Рождаемость                     │На 1 тыс.  │  26,1 │  27,6 │   1,5  │</w:t>
      </w:r>
    </w:p>
    <w:p>
      <w:pPr>
        <w:spacing w:after="120"/>
        <w:jc w:val="both"/>
      </w:pPr>
      <w:r>
        <w:rPr>
          <w:rFonts w:ascii="Arial" w:cs="Arial" w:eastAsia="Arial" w:hAnsi="Arial"/>
          <w:sz w:val="24"/>
          <w:szCs w:val="24"/>
        </w:rPr>
        <w:t xml:space="preserve">│                                │населения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│Показатель естественного        │На 1 тыс.  │  19,3 │  20,9 │   1,6  │</w:t>
      </w:r>
    </w:p>
    <w:p>
      <w:pPr>
        <w:spacing w:after="120"/>
        <w:jc w:val="both"/>
      </w:pPr>
      <w:r>
        <w:rPr>
          <w:rFonts w:ascii="Arial" w:cs="Arial" w:eastAsia="Arial" w:hAnsi="Arial"/>
          <w:sz w:val="24"/>
          <w:szCs w:val="24"/>
        </w:rPr>
        <w:t xml:space="preserve">│прироста                        │населения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│Показатель общей смертности     │На 1 тыс.  │   6,8 │   6,7 │  -0,1  │</w:t>
      </w:r>
    </w:p>
    <w:p>
      <w:pPr>
        <w:spacing w:after="120"/>
        <w:jc w:val="both"/>
      </w:pPr>
      <w:r>
        <w:rPr>
          <w:rFonts w:ascii="Arial" w:cs="Arial" w:eastAsia="Arial" w:hAnsi="Arial"/>
          <w:sz w:val="24"/>
          <w:szCs w:val="24"/>
        </w:rPr>
        <w:t xml:space="preserve">│                                │населения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│Показатель младенческой         │На 1000    │  20,5 │  20,1 │  -0,4  │</w:t>
      </w:r>
    </w:p>
    <w:p>
      <w:pPr>
        <w:spacing w:after="120"/>
        <w:jc w:val="both"/>
      </w:pPr>
      <w:r>
        <w:rPr>
          <w:rFonts w:ascii="Arial" w:cs="Arial" w:eastAsia="Arial" w:hAnsi="Arial"/>
          <w:sz w:val="24"/>
          <w:szCs w:val="24"/>
        </w:rPr>
        <w:t xml:space="preserve">│смертности                      │родившихся │       │       │        │</w:t>
      </w:r>
    </w:p>
    <w:p>
      <w:pPr>
        <w:spacing w:after="120"/>
        <w:jc w:val="both"/>
      </w:pPr>
      <w:r>
        <w:rPr>
          <w:rFonts w:ascii="Arial" w:cs="Arial" w:eastAsia="Arial" w:hAnsi="Arial"/>
          <w:sz w:val="24"/>
          <w:szCs w:val="24"/>
        </w:rPr>
        <w:t xml:space="preserve">│                                │живыми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│Коэффициент детской смертности  │На 1000    │  23,1 │  22,3 │  -0,8  │</w:t>
      </w:r>
    </w:p>
    <w:p>
      <w:pPr>
        <w:spacing w:after="120"/>
        <w:jc w:val="both"/>
      </w:pPr>
      <w:r>
        <w:rPr>
          <w:rFonts w:ascii="Arial" w:cs="Arial" w:eastAsia="Arial" w:hAnsi="Arial"/>
          <w:sz w:val="24"/>
          <w:szCs w:val="24"/>
        </w:rPr>
        <w:t xml:space="preserve">│                                │родившихся │       │       │        │</w:t>
      </w:r>
    </w:p>
    <w:p>
      <w:pPr>
        <w:spacing w:after="120"/>
        <w:jc w:val="both"/>
      </w:pPr>
      <w:r>
        <w:rPr>
          <w:rFonts w:ascii="Arial" w:cs="Arial" w:eastAsia="Arial" w:hAnsi="Arial"/>
          <w:sz w:val="24"/>
          <w:szCs w:val="24"/>
        </w:rPr>
        <w:t xml:space="preserve">│                                │живыми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│Показатель материнской          │На 100000  │  50,4 │  50,8 │   0,4  │</w:t>
      </w:r>
    </w:p>
    <w:p>
      <w:pPr>
        <w:spacing w:after="120"/>
        <w:jc w:val="both"/>
      </w:pPr>
      <w:r>
        <w:rPr>
          <w:rFonts w:ascii="Arial" w:cs="Arial" w:eastAsia="Arial" w:hAnsi="Arial"/>
          <w:sz w:val="24"/>
          <w:szCs w:val="24"/>
        </w:rPr>
        <w:t xml:space="preserve">│смертности                      │родившихся │       │       │        │</w:t>
      </w:r>
    </w:p>
    <w:p>
      <w:pPr>
        <w:spacing w:after="120"/>
        <w:jc w:val="both"/>
      </w:pPr>
      <w:r>
        <w:rPr>
          <w:rFonts w:ascii="Arial" w:cs="Arial" w:eastAsia="Arial" w:hAnsi="Arial"/>
          <w:sz w:val="24"/>
          <w:szCs w:val="24"/>
        </w:rPr>
        <w:t xml:space="preserve">│                                │живыми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 рассматриваемый период отмечается снижение показателей детской, младенческой смертности. Показатель материнской смертности остается высоким, каждый случай подвергается экспертизе.</w:t>
      </w:r>
    </w:p>
    <w:p>
      <w:pPr>
        <w:spacing w:after="120"/>
        <w:jc w:val="both"/>
      </w:pPr>
      <w:r>
        <w:rPr>
          <w:rFonts w:ascii="Arial" w:cs="Arial" w:eastAsia="Arial" w:hAnsi="Arial"/>
          <w:sz w:val="24"/>
          <w:szCs w:val="24"/>
        </w:rPr>
        <w:t xml:space="preserve">Снижение показателей детской и младенческой смертности связано со снижением перинатальной смертности и внедрением эффективных перинатальных услуг - рациональное ведение родов, раннее прикладывание к груди, тепловая цепь, своевременная реанимация новорожденных. Анализ случаев материнской смертности показал многообразие ее причин, выходящих за рамки сектора здравоохранения и обусловленных рядом экономических, социальных и культурных факторов, поведенческими навыками, санитарной грамотностью населения.</w:t>
      </w:r>
    </w:p>
    <w:p>
      <w:pPr>
        <w:spacing w:after="120"/>
        <w:jc w:val="both"/>
      </w:pPr>
      <w:r>
        <w:rPr>
          <w:rFonts w:ascii="Arial" w:cs="Arial" w:eastAsia="Arial" w:hAnsi="Arial"/>
          <w:sz w:val="24"/>
          <w:szCs w:val="24"/>
        </w:rPr>
        <w:t xml:space="preserve">За 1 полугодие 2012 года показатель общей смертности на 1000 населения, по предварительным данным составил 6,7 на 1000 населения (1 полугодие 2011 года - 6,8).</w:t>
      </w:r>
    </w:p>
    <w:p>
      <w:pPr>
        <w:spacing w:after="120"/>
        <w:jc w:val="both"/>
      </w:pPr>
      <w:r>
        <w:rPr>
          <w:rFonts w:ascii="Arial" w:cs="Arial" w:eastAsia="Arial" w:hAnsi="Arial"/>
          <w:sz w:val="24"/>
          <w:szCs w:val="24"/>
        </w:rPr>
        <w:t xml:space="preserve">Показатель младенческой смертности за январь-июнь 2012 года снизился на 0,4 по сравнению с аналогичным периодом 2011 года и сложился на уровне 20,1 на 1000 родившихся живыми. Коэффициент детской смертности за 1 полугодие 2012 года имеет тенденцию к снижению, составив, по предварительным данным, 22,3 на 1000 родившихся живыми. Показатель материнской смертности за 1 полугодие 2012 года, по предварительным данным, составил 50,8 на 100000 родившихся живыми (1 полугодие 2011 года 50,4).</w:t>
      </w:r>
    </w:p>
    <w:p>
      <w:pPr>
        <w:spacing w:after="120"/>
        <w:jc w:val="both"/>
      </w:pPr>
      <w:r>
        <w:rPr>
          <w:rFonts w:ascii="Arial" w:cs="Arial" w:eastAsia="Arial" w:hAnsi="Arial"/>
          <w:sz w:val="24"/>
          <w:szCs w:val="24"/>
        </w:rPr>
        <w:t xml:space="preserve">Заболеваемость. За июнь 2012 года(17) в республике зарегистрировано 15,6 тыс. случаев инфекционных и паразитарных болезней. В структуре инфекционных и паразитарных болезней 53,2% приходится на острые респираторно-вирусные инфекции, на острые кишечные инфекции - 20,1%, туберкулез - 3,4%, вирусные гепатиты - 3,1%, бруцеллез - 1,8.</w:t>
      </w:r>
    </w:p>
    <w:p>
      <w:pPr>
        <w:spacing w:after="120"/>
        <w:jc w:val="both"/>
      </w:pPr>
      <w:r>
        <w:rPr>
          <w:rFonts w:ascii="Arial" w:cs="Arial" w:eastAsia="Arial" w:hAnsi="Arial"/>
          <w:sz w:val="24"/>
          <w:szCs w:val="24"/>
        </w:rPr>
        <w:t xml:space="preserve">В июне 2012 года, по сравнению с аналогичным месяцем 2011 года, наблюдалось снижение заболеваемости (в расчете на 100 тыс. населения) педикулезом - в 4,5 раза, сифилисом - в 3,4 раза, бруцеллезом, бактериальным менингитом и чесоткой - в 2,2 раза, гонореей - в 1,8 раза, аскаридозом - на 12,4%, туберкулезом - на 1,8%.</w:t>
      </w:r>
    </w:p>
    <w:p>
      <w:pPr>
        <w:spacing w:after="120"/>
        <w:jc w:val="both"/>
      </w:pPr>
      <w:r>
        <w:rPr>
          <w:rFonts w:ascii="Arial" w:cs="Arial" w:eastAsia="Arial" w:hAnsi="Arial"/>
          <w:sz w:val="24"/>
          <w:szCs w:val="24"/>
        </w:rPr>
        <w:t xml:space="preserve">При этом, остается высокой заболеваемость острыми кишечными инфекциями, ВИЧ-инфекцией, чесоткой, эхинококком, туберкулезом, вирусным гепатитом А. При финансовой поддержке проекта Глобального фонда "Программа элиминации малярии в Кыргызской Республике на 2011-2015 гг." закуплено 2140 кг инсектицида, 19 холодильников для паразитологических лабораторий территориальных центров государственного санитарно-эпидемиологического надзора (далее - ЦГСЭН).</w:t>
      </w:r>
    </w:p>
    <w:p>
      <w:pPr>
        <w:spacing w:after="120"/>
        <w:jc w:val="both"/>
      </w:pPr>
      <w:r>
        <w:rPr>
          <w:rFonts w:ascii="Arial" w:cs="Arial" w:eastAsia="Arial" w:hAnsi="Arial"/>
          <w:sz w:val="24"/>
          <w:szCs w:val="24"/>
        </w:rPr>
        <w:t xml:space="preserve">ЦГСЭН продолжается контроль качества ввозимой, производимой и реализуемой в республике пищевой соли, который включает лабораторное исследование на содержание йода. За 1 полугодие 2012 года ЦГСЭН республики проведено исследование 5899 проб соли, из них отклонения выявлены в 23,2% проб.</w:t>
      </w:r>
    </w:p>
    <w:p>
      <w:pPr>
        <w:spacing w:after="120"/>
        <w:jc w:val="both"/>
      </w:pPr>
      <w:r>
        <w:rPr>
          <w:rFonts w:ascii="Arial" w:cs="Arial" w:eastAsia="Arial" w:hAnsi="Arial"/>
          <w:sz w:val="24"/>
          <w:szCs w:val="24"/>
        </w:rPr>
        <w:t xml:space="preserve">В соответствии с </w:t>
      </w:r>
      <w:hyperlink w:history="1" r:id="rIds4rfzzfnnqvl-rfby4fh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иммунопрофилактике" неукоснительно выполняется основной принцип Закона о бесплатной иммунизации детей в рамках календаря профилактических прививок. Так, за 1 полугодие 2012 года охват всеми видами профилактических прививок составил выше 48,8%, что стало возможным благодаря бесперебойному поступлению вакцинных препаратов в республику, соблюдению холодовой цепи и правильной организации прививочной работы.</w:t>
      </w:r>
    </w:p>
    <w:p>
      <w:pPr>
        <w:spacing w:after="120"/>
        <w:jc w:val="both"/>
      </w:pPr>
      <w:r>
        <w:rPr>
          <w:rFonts w:ascii="Arial" w:cs="Arial" w:eastAsia="Arial" w:hAnsi="Arial"/>
          <w:sz w:val="24"/>
          <w:szCs w:val="24"/>
        </w:rPr>
        <w:t xml:space="preserve">Проводится работа по электронному слежению за случаями ВИЧ. На 1 июля 2012 года зарегистрировано 4307 ВИЧ-инфицированных, из них 4121 граждане Кыргызской Республики, АРВ препаратами обеспечены в полном объеме. АРВ - терапия назначена 868 лицам, живущим с ВИЧ (ЛЖВ). АРВ терапию получают 591 ЛЖВ, взрослых - 382 (муж. - 228; жен. - 154); детей - 209 (мал. - 141; дев. - 68).</w:t>
      </w:r>
    </w:p>
    <w:p>
      <w:pPr>
        <w:spacing w:after="120"/>
        <w:jc w:val="both"/>
      </w:pPr>
      <w:r>
        <w:rPr>
          <w:rFonts w:ascii="Arial" w:cs="Arial" w:eastAsia="Arial" w:hAnsi="Arial"/>
          <w:sz w:val="24"/>
          <w:szCs w:val="24"/>
        </w:rPr>
        <w:t xml:space="preserve">Кроме этого, существуют проблемы, выходящие за рамки сектора здравоохранения, к ним относятся: рост внутренней и внешней миграции, детская бедность, доступ к дошкольным учреждениям, ранние браки и ранние роды. Рост внутренней миграции приводит к появлению категории не прописанных по месту жительства женщин, соответственно, они не становятся на медицинский учет. А с ростом внешней миграции, беременные женщины с осложнениями не наблюдаются и приезжают на роды домой в преддверии родов. Тяжелые трудовые нагрузки, которые несут на себе беременные женщины (ведение домашнего хозяйства и уход за членами семьи, деятельность в неформальном секторе занятости), и неэффективная система государственной поддержки материнства, работающих матерей, оказывают влияние на рост материнской смертности и состояние репродуктивного здоровья.</w:t>
      </w:r>
    </w:p>
    <w:p>
      <w:pPr>
        <w:spacing w:after="120"/>
        <w:jc w:val="both"/>
      </w:pPr>
      <w:r>
        <w:rPr>
          <w:rFonts w:ascii="Arial" w:cs="Arial" w:eastAsia="Arial" w:hAnsi="Arial"/>
          <w:sz w:val="24"/>
          <w:szCs w:val="24"/>
        </w:rPr>
        <w:t xml:space="preserve">За январь-июнь 2012 года расходы по сектору "Здравоохранение" составили 4404,4 млн.сомов, с учетом капитальных вложений.</w:t>
      </w:r>
    </w:p>
    <w:p>
      <w:pPr>
        <w:spacing w:after="120"/>
        <w:jc w:val="both"/>
      </w:pPr>
      <w:r>
        <w:rPr>
          <w:rFonts w:ascii="Arial" w:cs="Arial" w:eastAsia="Arial" w:hAnsi="Arial"/>
          <w:sz w:val="24"/>
          <w:szCs w:val="24"/>
        </w:rPr>
        <w:t xml:space="preserve">Исполнение республиканского бюджета по подведомственным учреждениям Министерства здравоохранения Кыргызской Республики составило 1075,9 млн.сомов, при запланированных 1103,7 млн.сомов, или исполнение составило 97,5%. Из них расходы на заработную плату, отчисления в Социальный фонд, питание и медикаменты профинансированы на 100 процентов.</w:t>
      </w:r>
    </w:p>
    <w:p>
      <w:pPr>
        <w:spacing w:after="120"/>
        <w:jc w:val="both"/>
      </w:pPr>
      <w:r>
        <w:rPr>
          <w:rFonts w:ascii="Arial" w:cs="Arial" w:eastAsia="Arial" w:hAnsi="Arial"/>
          <w:sz w:val="24"/>
          <w:szCs w:val="24"/>
        </w:rPr>
        <w:t xml:space="preserve">Исполнение Программы государственных гарантий по обеспечению граждан республики медико-санитарной помощью (ФОМС - Единый плательщик) профинансировано в объеме 2978,4 млн.сомов. Средства обязательного медицинского страхования, выплачиваемые из республиканского бюджета на медстрахование детей, лиц, получающих пособие, и пенсионеров, профинансированы в объеме 126,8 млн.сомов.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 Образование и наука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состоянию на 1 июля 2012 года в стране функционирует: 741 дошкольная организация, которые посещают 98,7 тыс. детей, 2204 школы с 1015,2 тыс. учащимися; 126 образовательных организаций среднего профессионального образования, численностью 72,3 тыс. студентов, и 54 образовательных организации высшего профессионального образования с контингентом 239,2 тыс. студентов.</w:t>
      </w:r>
    </w:p>
    <w:p>
      <w:pPr>
        <w:spacing w:after="120"/>
        <w:jc w:val="both"/>
      </w:pPr>
      <w:r>
        <w:rPr>
          <w:rFonts w:ascii="Arial" w:cs="Arial" w:eastAsia="Arial" w:hAnsi="Arial"/>
          <w:sz w:val="24"/>
          <w:szCs w:val="24"/>
        </w:rPr>
        <w:t xml:space="preserve">Проведена работа над Программой обязательной предшкольной подготовки детей к школе, и методическими рекомендациями к Программе из расчета 240 часов обучения.</w:t>
      </w:r>
    </w:p>
    <w:p>
      <w:pPr>
        <w:spacing w:after="120"/>
        <w:jc w:val="both"/>
      </w:pPr>
      <w:r>
        <w:rPr>
          <w:rFonts w:ascii="Arial" w:cs="Arial" w:eastAsia="Arial" w:hAnsi="Arial"/>
          <w:sz w:val="24"/>
          <w:szCs w:val="24"/>
        </w:rPr>
        <w:t xml:space="preserve">Ведется организационная работа для обеспечения проведения предшкольной подготовки для детей, которые не имеют возможности посещать детские сады и намерены пойти в школу с 2012-2013 учебного года. За отчетный период проведено общереспубликанское тестирование абитуриентов.</w:t>
      </w:r>
    </w:p>
    <w:p>
      <w:pPr>
        <w:spacing w:after="120"/>
        <w:jc w:val="both"/>
      </w:pPr>
      <w:r>
        <w:rPr>
          <w:rFonts w:ascii="Arial" w:cs="Arial" w:eastAsia="Arial" w:hAnsi="Arial"/>
          <w:sz w:val="24"/>
          <w:szCs w:val="24"/>
        </w:rPr>
        <w:t xml:space="preserve">С целью формирования плана приема студентов на 2012-2013 учебный год на основе государственных образовательных грантов в вузах и на бюджетные места в спузы осуществлен сбор заявок министерств, ведомств и областных государственных администраций о потребности в специалистах с высшим и средним профессиональным образованием и утвержден план приема в образовательные организации высшего профессионального образования постановлением Правительства Кыргызской Республики от 4 июля 2012 года № 469.</w:t>
      </w:r>
    </w:p>
    <w:p>
      <w:pPr>
        <w:spacing w:after="120"/>
        <w:jc w:val="both"/>
      </w:pPr>
      <w:r>
        <w:rPr>
          <w:rFonts w:ascii="Arial" w:cs="Arial" w:eastAsia="Arial" w:hAnsi="Arial"/>
          <w:sz w:val="24"/>
          <w:szCs w:val="24"/>
        </w:rPr>
        <w:t xml:space="preserve">В рамках реформирования системы финансирования образования проделана следующая работа.</w:t>
      </w:r>
    </w:p>
    <w:p>
      <w:pPr>
        <w:spacing w:after="120"/>
        <w:jc w:val="both"/>
      </w:pPr>
      <w:r>
        <w:rPr>
          <w:rFonts w:ascii="Arial" w:cs="Arial" w:eastAsia="Arial" w:hAnsi="Arial"/>
          <w:sz w:val="24"/>
          <w:szCs w:val="24"/>
        </w:rPr>
        <w:t xml:space="preserve">В рамках внедрения подушевого финансирования - на основе базы данных по численности учащихся, а также данных по доходам и расходам местного бюджета на 2012 год в разрезе городов Бишкек и Ош произведены расчеты: потребности в средствах государственного бюджета общеобразовательных учреждений по минимальному стандарту; норматива покрытия потребности общеобразовательных учреждений по минимальному стандарту на 2011 год; доли собственных доходов местных бюджетов городов, подлежащих направлению на образование в 2012-2013 годах.</w:t>
      </w:r>
    </w:p>
    <w:p>
      <w:pPr>
        <w:spacing w:after="120"/>
        <w:jc w:val="both"/>
      </w:pPr>
      <w:r>
        <w:rPr>
          <w:rFonts w:ascii="Arial" w:cs="Arial" w:eastAsia="Arial" w:hAnsi="Arial"/>
          <w:sz w:val="24"/>
          <w:szCs w:val="24"/>
        </w:rPr>
        <w:t xml:space="preserve">В рамках модели подушевого финансирования (МПФ) для объективного оценивания работы учителя и вычисления коэффициента трудового участия разработаны стандартные критерии оценивания эффективности деятельности учителей.</w:t>
      </w:r>
    </w:p>
    <w:p>
      <w:pPr>
        <w:spacing w:after="120"/>
        <w:jc w:val="both"/>
      </w:pPr>
      <w:r>
        <w:rPr>
          <w:rFonts w:ascii="Arial" w:cs="Arial" w:eastAsia="Arial" w:hAnsi="Arial"/>
          <w:sz w:val="24"/>
          <w:szCs w:val="24"/>
        </w:rPr>
        <w:t xml:space="preserve">В апреле 2012 года Правительством Кыргызской Республики одобрены Стратегии развития образования в Кыргызской Республике до 2020 года, одноименная Концепция, Среднесрочная программа развития образования Кыргызской Республики на 2012-2014 годы.</w:t>
      </w:r>
    </w:p>
    <w:p>
      <w:pPr>
        <w:spacing w:after="120"/>
        <w:jc w:val="both"/>
      </w:pPr>
      <w:r>
        <w:rPr>
          <w:rFonts w:ascii="Arial" w:cs="Arial" w:eastAsia="Arial" w:hAnsi="Arial"/>
          <w:sz w:val="24"/>
          <w:szCs w:val="24"/>
        </w:rPr>
        <w:t xml:space="preserve">Основной целью стратегических документов является создание условий для устойчивого развития системы образования через эффективное использование ресурсов и повышение качества предоставляемых образовательных услуг. Основными проблемными зонами, требующими решения на всех уровнях системы, определены - управление и финансирование, работа с кадрами и создание системы мониторинга и оценки. Всего с 2012 года по 2020 год включительно предстоит реализовать три трехлетних плана действий: 2012-2014 годы, 2015-2017 годы, 2018-2020 годы (в соответствии с принципом трехлетнего прогноза бюджета Кыргызской Республики).</w:t>
      </w:r>
    </w:p>
    <w:p>
      <w:pPr>
        <w:spacing w:after="120"/>
        <w:jc w:val="both"/>
      </w:pPr>
      <w:r>
        <w:rPr>
          <w:rFonts w:ascii="Arial" w:cs="Arial" w:eastAsia="Arial" w:hAnsi="Arial"/>
          <w:sz w:val="24"/>
          <w:szCs w:val="24"/>
        </w:rPr>
        <w:t xml:space="preserve">Проводится работа по апробации "Комплекта учебно-программной документации по модульной технологии обучения, основанной на компетенциях, для подготовки рабочих кадров из числа взрослого безработного населения в профессионально-технических учебных заведениях системы НПО".</w:t>
      </w:r>
    </w:p>
    <w:p>
      <w:pPr>
        <w:spacing w:after="120"/>
        <w:jc w:val="both"/>
      </w:pPr>
      <w:r>
        <w:rPr>
          <w:rFonts w:ascii="Arial" w:cs="Arial" w:eastAsia="Arial" w:hAnsi="Arial"/>
          <w:sz w:val="24"/>
          <w:szCs w:val="24"/>
        </w:rPr>
        <w:t xml:space="preserve">Систематически пополняется книжный фонд через Книжную палату Кыргызской Республики. За 1 квартал 2012 года из Книжной палаты Кыргызской Республики получено 190 ед. различных учебников, учебно-методической литературы, художественных изданий и периодической печати.</w:t>
      </w:r>
    </w:p>
    <w:p>
      <w:pPr>
        <w:spacing w:after="120"/>
        <w:jc w:val="both"/>
      </w:pPr>
      <w:r>
        <w:rPr>
          <w:rFonts w:ascii="Arial" w:cs="Arial" w:eastAsia="Arial" w:hAnsi="Arial"/>
          <w:sz w:val="24"/>
          <w:szCs w:val="24"/>
        </w:rPr>
        <w:t xml:space="preserve">Продолжается сотрудничество с Общественным фондом "SOS Детские деревни Кыргызстана" и в рамках этого сотрудничества ведется работа по разработке рекомендаций "Анализ законодательства в сфере трудоустройства детей-сирот и детей, лишенных родительского попечения", направленных на способствование эффективной социальной интеграции молодежи, покидающей систему опеки.</w:t>
      </w:r>
    </w:p>
    <w:p>
      <w:pPr>
        <w:spacing w:after="120"/>
        <w:jc w:val="both"/>
      </w:pPr>
      <w:r>
        <w:rPr>
          <w:rFonts w:ascii="Arial" w:cs="Arial" w:eastAsia="Arial" w:hAnsi="Arial"/>
          <w:sz w:val="24"/>
          <w:szCs w:val="24"/>
        </w:rPr>
        <w:t xml:space="preserve">На сегодняшний день заключено соглашение с проектом МОМ (Международная Организация по Миграции) о реализации проекта "На пути к улучшенной системе ПТО Кыргызстана", который будет направлен на укрепление учебно-материальной базы (ремонт, оснащение оборудованием, обеспечение учебными методическими материалами и повышение квалификации преподавателей и мастеров производственного обучения) 5-ти учебных заведений системы ПТО.</w:t>
      </w:r>
    </w:p>
    <w:p>
      <w:pPr>
        <w:spacing w:after="120"/>
        <w:jc w:val="both"/>
      </w:pPr>
      <w:r>
        <w:rPr>
          <w:rFonts w:ascii="Arial" w:cs="Arial" w:eastAsia="Arial" w:hAnsi="Arial"/>
          <w:sz w:val="24"/>
          <w:szCs w:val="24"/>
        </w:rPr>
        <w:t xml:space="preserve">В марте т.г. в соответствии с договором между Министерством молодежи, труда и занятости Кыргызской Республики и Кыргызско-Турецким университетом "Манас" состоялось открытие учебного центра на базе профессионального лицея № 91 г.Бишкек по 9 направлениям в области туризма. После окончания выпускники смогут трудоустроиться в Турции и других странах.</w:t>
      </w:r>
    </w:p>
    <w:p>
      <w:pPr>
        <w:spacing w:after="120"/>
        <w:jc w:val="both"/>
      </w:pPr>
      <w:r>
        <w:rPr>
          <w:rFonts w:ascii="Arial" w:cs="Arial" w:eastAsia="Arial" w:hAnsi="Arial"/>
          <w:sz w:val="24"/>
          <w:szCs w:val="24"/>
        </w:rPr>
        <w:t xml:space="preserve">В рамках программы ЕС "Поддержка системе образования в Кыргызской Республике" начали работать пять проектов:</w:t>
      </w:r>
    </w:p>
    <w:p>
      <w:pPr>
        <w:spacing w:after="120"/>
        <w:jc w:val="both"/>
      </w:pPr>
      <w:r>
        <w:rPr>
          <w:rFonts w:ascii="Arial" w:cs="Arial" w:eastAsia="Arial" w:hAnsi="Arial"/>
          <w:sz w:val="24"/>
          <w:szCs w:val="24"/>
        </w:rPr>
        <w:t xml:space="preserve">- "Улучшение доступа к современному и инновационному профессиональному обучению для лучшей занятости и повышение дохода сельских жителей";</w:t>
      </w:r>
    </w:p>
    <w:p>
      <w:pPr>
        <w:spacing w:after="120"/>
        <w:jc w:val="both"/>
      </w:pPr>
      <w:r>
        <w:rPr>
          <w:rFonts w:ascii="Arial" w:cs="Arial" w:eastAsia="Arial" w:hAnsi="Arial"/>
          <w:sz w:val="24"/>
          <w:szCs w:val="24"/>
        </w:rPr>
        <w:t xml:space="preserve">- "Обеспечение широкого доступа к начальному профессиональному образованию и профессиональной подготовке";</w:t>
      </w:r>
    </w:p>
    <w:p>
      <w:pPr>
        <w:spacing w:after="120"/>
        <w:jc w:val="both"/>
      </w:pPr>
      <w:r>
        <w:rPr>
          <w:rFonts w:ascii="Arial" w:cs="Arial" w:eastAsia="Arial" w:hAnsi="Arial"/>
          <w:sz w:val="24"/>
          <w:szCs w:val="24"/>
        </w:rPr>
        <w:t xml:space="preserve">- "Усиление развития социального партнерства в профессиональном образовании и обучении в Кыргызстане";</w:t>
      </w:r>
    </w:p>
    <w:p>
      <w:pPr>
        <w:spacing w:after="120"/>
        <w:jc w:val="both"/>
      </w:pPr>
      <w:r>
        <w:rPr>
          <w:rFonts w:ascii="Arial" w:cs="Arial" w:eastAsia="Arial" w:hAnsi="Arial"/>
          <w:sz w:val="24"/>
          <w:szCs w:val="24"/>
        </w:rPr>
        <w:t xml:space="preserve">- "Инклюзивное профессиональное образование и обучение: создание возможностей трудоустройства для лиц с ограниченными возможностями и других уязвимых групп через улучшение сотрудничества между профессионально-техническими учебными заведениями и работодателями";</w:t>
      </w:r>
    </w:p>
    <w:p>
      <w:pPr>
        <w:spacing w:after="120"/>
        <w:jc w:val="both"/>
      </w:pPr>
      <w:r>
        <w:rPr>
          <w:rFonts w:ascii="Arial" w:cs="Arial" w:eastAsia="Arial" w:hAnsi="Arial"/>
          <w:sz w:val="24"/>
          <w:szCs w:val="24"/>
        </w:rPr>
        <w:t xml:space="preserve">- "По пути к улучшенной системе профессионально-технического образования в Кыргызстане".</w:t>
      </w:r>
    </w:p>
    <w:p>
      <w:pPr>
        <w:spacing w:after="120"/>
        <w:jc w:val="both"/>
      </w:pPr>
      <w:r>
        <w:rPr>
          <w:rFonts w:ascii="Arial" w:cs="Arial" w:eastAsia="Arial" w:hAnsi="Arial"/>
          <w:sz w:val="24"/>
          <w:szCs w:val="24"/>
        </w:rPr>
        <w:t xml:space="preserve">Расходы на образование и науку за январь-июнь 2012 года составили 2437,1 млн.сомов, с учетом капитальных вложений. По состоянию на 1 июля 2012 года, расходы Министерства образования и науки Кыргызской Республики по подведомственным образовательным организациям профинансированы в целом в сумме 1328,0 млн.сомов, исполнение плана составило 97,2%(18).</w:t>
      </w:r>
    </w:p>
    <w:p>
      <w:pPr>
        <w:spacing w:after="120"/>
        <w:jc w:val="both"/>
      </w:pPr>
      <w:r>
        <w:rPr>
          <w:rFonts w:ascii="Arial" w:cs="Arial" w:eastAsia="Arial" w:hAnsi="Arial"/>
          <w:sz w:val="24"/>
          <w:szCs w:val="24"/>
        </w:rPr>
        <w:t xml:space="preserve">По статье "Приобретение прочих услуг" профинансировано 22,5 млн.сомов или 92,4% от плана. Из них 2,0 млн.сомов республиканскому центру по спортивно-массовой и оздоровительной работе "Жаштык" на проведение спортивной универсиады, 1000,0 тыс. сомов - на проведение республиканской олимпиады школьников.</w:t>
      </w:r>
    </w:p>
    <w:p>
      <w:pPr>
        <w:spacing w:after="120"/>
        <w:jc w:val="both"/>
      </w:pPr>
      <w:r>
        <w:rPr>
          <w:rFonts w:ascii="Arial" w:cs="Arial" w:eastAsia="Arial" w:hAnsi="Arial"/>
          <w:sz w:val="24"/>
          <w:szCs w:val="24"/>
        </w:rPr>
        <w:t xml:space="preserve">На текущий ремонт школ профинансированы расходы на сумму 31,9 млн.сомов при плане 100 млн.сомов, остатки средств будут профинансированы в июле и августе 2012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Разработка и реализация стратегических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стабилизации социально-экономической ситуации в Кыргызской Республике, создания благоприятных условий для развития предпринимательской деятельности, выполнения социальных обязательств государства перед населением, а также во исполнение программы Правительства Кыргызской Республики "Стабильность и достойная жизнь", утвержден постановлением Правительства Кыргызской Республики от 25 января 2012 года № 55 План мероприятий по реализации программы Правительства Кыргызской Республики "Стабильность и достойная жизнь".</w:t>
      </w:r>
    </w:p>
    <w:p>
      <w:pPr>
        <w:spacing w:after="120"/>
        <w:jc w:val="both"/>
      </w:pPr>
      <w:r>
        <w:rPr>
          <w:rFonts w:ascii="Arial" w:cs="Arial" w:eastAsia="Arial" w:hAnsi="Arial"/>
          <w:sz w:val="24"/>
          <w:szCs w:val="24"/>
        </w:rPr>
        <w:t xml:space="preserve">Планом мероприятий на 2012 год по реализации Среднесрочной программы Правительства Кыргызской Республики "Стабильность и достойная жизнь" утверждено 162 задачи, из них 83 задачи запланировано к выполнению в первом полугодии.</w:t>
      </w:r>
    </w:p>
    <w:p>
      <w:pPr>
        <w:spacing w:after="120"/>
        <w:jc w:val="both"/>
      </w:pPr>
      <w:r>
        <w:rPr>
          <w:rFonts w:ascii="Arial" w:cs="Arial" w:eastAsia="Arial" w:hAnsi="Arial"/>
          <w:sz w:val="24"/>
          <w:szCs w:val="24"/>
        </w:rPr>
        <w:t xml:space="preserve">Мониторинг и оценка исполнения Плана мероприятий на 2012 год показывает, что по состоянию на 30 июня 2012 года, обеспечено решение 47 поставленных задач, что составляет 57% от общего количества задач. Частичное выполнение органы государственной власти обеспечили по 25 задачам, что составляет 30% от общего количества задач, запланированных к выполнению до 30 июня 2012 года. Не решено 5 задач, что составляет 6% от общего количества задач, в том числе не обеспечено решение задач следующими государственными органами:</w:t>
      </w:r>
    </w:p>
    <w:p>
      <w:pPr>
        <w:spacing w:after="120"/>
        <w:jc w:val="both"/>
      </w:pPr>
      <w:r>
        <w:rPr>
          <w:rFonts w:ascii="Arial" w:cs="Arial" w:eastAsia="Arial" w:hAnsi="Arial"/>
          <w:sz w:val="24"/>
          <w:szCs w:val="24"/>
        </w:rPr>
        <w:t xml:space="preserve">- Министерство образования и науки Кыргызской Республики;</w:t>
      </w:r>
    </w:p>
    <w:p>
      <w:pPr>
        <w:spacing w:after="120"/>
        <w:jc w:val="both"/>
      </w:pPr>
      <w:r>
        <w:rPr>
          <w:rFonts w:ascii="Arial" w:cs="Arial" w:eastAsia="Arial" w:hAnsi="Arial"/>
          <w:sz w:val="24"/>
          <w:szCs w:val="24"/>
        </w:rPr>
        <w:t xml:space="preserve">- Министерство внутренних дел Кыргызской Республики;</w:t>
      </w:r>
    </w:p>
    <w:p>
      <w:pPr>
        <w:spacing w:after="120"/>
        <w:jc w:val="both"/>
      </w:pPr>
      <w:r>
        <w:rPr>
          <w:rFonts w:ascii="Arial" w:cs="Arial" w:eastAsia="Arial" w:hAnsi="Arial"/>
          <w:sz w:val="24"/>
          <w:szCs w:val="24"/>
        </w:rPr>
        <w:t xml:space="preserve">- Министерство транспорта и коммуникаций Кыргызской Республики;</w:t>
      </w:r>
    </w:p>
    <w:p>
      <w:pPr>
        <w:spacing w:after="120"/>
        <w:jc w:val="both"/>
      </w:pPr>
      <w:r>
        <w:rPr>
          <w:rFonts w:ascii="Arial" w:cs="Arial" w:eastAsia="Arial" w:hAnsi="Arial"/>
          <w:sz w:val="24"/>
          <w:szCs w:val="24"/>
        </w:rPr>
        <w:t xml:space="preserve">- Государственное агентство геологии и минеральных ресурсов при Правительстве Кыргызской Республики;</w:t>
      </w:r>
    </w:p>
    <w:p>
      <w:pPr>
        <w:spacing w:after="120"/>
        <w:jc w:val="both"/>
      </w:pPr>
      <w:r>
        <w:rPr>
          <w:rFonts w:ascii="Arial" w:cs="Arial" w:eastAsia="Arial" w:hAnsi="Arial"/>
          <w:sz w:val="24"/>
          <w:szCs w:val="24"/>
        </w:rPr>
        <w:t xml:space="preserve">- Национальный институт стратегических исследований.</w:t>
      </w:r>
    </w:p>
    <w:p>
      <w:pPr>
        <w:spacing w:after="120"/>
        <w:jc w:val="both"/>
      </w:pPr>
      <w:r>
        <w:rPr>
          <w:rFonts w:ascii="Arial" w:cs="Arial" w:eastAsia="Arial" w:hAnsi="Arial"/>
          <w:sz w:val="24"/>
          <w:szCs w:val="24"/>
        </w:rPr>
        <w:t xml:space="preserve">Частично выполненные и не выполненные в установленный срок задачи, в виду потери актуальности признаны утратившими силу в соответствии с </w:t>
      </w:r>
      <w:hyperlink w:history="1" r:id="rIddfz1zsnbn2y1jigdkioo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июля 2012 года № 494. В соответствии с данным постановлением сроки выполнения задач, требующих более длительного времени для реализации, перенесены на второе полугодие текущего года.</w:t>
      </w:r>
    </w:p>
    <w:p>
      <w:pPr>
        <w:spacing w:after="120"/>
        <w:jc w:val="both"/>
      </w:pPr>
      <w:r>
        <w:rPr>
          <w:rFonts w:ascii="Arial" w:cs="Arial" w:eastAsia="Arial" w:hAnsi="Arial"/>
          <w:sz w:val="24"/>
          <w:szCs w:val="24"/>
        </w:rPr>
        <w:t xml:space="preserve">Доработан проект Среднесрочной программы развития Кыргызской Республики на 2012-2014 годы, с учетом предложений и замечаний от международных донорских организаций, комитетов Жогорку Кенеша Кыргызской Республики и одобрен </w:t>
      </w:r>
      <w:hyperlink w:history="1" r:id="rIdca2mzpredbocewyelygn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одобрении проекта Среднесрочной программы развития Кыргызской Республики на 2012-2014 годы" от 12 апреля 2012 года № 239. Программа нацелена на выведение экономики страны на устойчивый вектор развития и улучшение состояния бюджета для преодоления социальных последствий, повышения качества жизни и сокращения бедности в стране. В данном документе сделан акцент на следующих направлениях развития: (i) реформа системы государственного управления и борьба с коррупцией; (ii) ускоренное продвижение экономических приоритетов через запуск и реализацию крупных национальных проектов; (iii) обновление политики управления государственными активами; (iv) повышение эффективности политики социального развития и сокращение бедности.</w:t>
      </w:r>
    </w:p>
    <w:p>
      <w:pPr>
        <w:spacing w:after="120"/>
        <w:jc w:val="both"/>
      </w:pPr>
      <w:r>
        <w:rPr>
          <w:rFonts w:ascii="Arial" w:cs="Arial" w:eastAsia="Arial" w:hAnsi="Arial"/>
          <w:sz w:val="24"/>
          <w:szCs w:val="24"/>
        </w:rPr>
        <w:t xml:space="preserve">Выполнение предусмотренных Программой реформ позволит сократить дефицит государственного бюджета, усилить борьбу с коррупцией, повысить уровень жизни населения и снизить социальную напряженность в обществе. Бизнес-среда будет ориентирована на восстановление и укрепление здорового инвестиционного климата в стране, дебюрократизацию государственного регулирования и предоставление экономической свободы хозяйствующим субъектам.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Основные задачи на II полугодие 2012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Постоянный мониторинг макроэкономических показателей в целях своевременного выявления угроз и предупреждения рисков.</w:t>
      </w:r>
    </w:p>
    <w:p>
      <w:pPr>
        <w:spacing w:after="120"/>
        <w:jc w:val="both"/>
      </w:pPr>
      <w:r>
        <w:rPr>
          <w:rFonts w:ascii="Arial" w:cs="Arial" w:eastAsia="Arial" w:hAnsi="Arial"/>
          <w:sz w:val="24"/>
          <w:szCs w:val="24"/>
        </w:rPr>
        <w:t xml:space="preserve">2. Оперативный мониторинг и оценка факторов, влияющих на изменение потребительских цен. Выработка пакета превентивных мер/рекомендаций, направленных на предотвращение резких колебаний цен на наиболее значимые товары.</w:t>
      </w:r>
    </w:p>
    <w:p>
      <w:pPr>
        <w:spacing w:after="120"/>
        <w:jc w:val="both"/>
      </w:pPr>
      <w:r>
        <w:rPr>
          <w:rFonts w:ascii="Arial" w:cs="Arial" w:eastAsia="Arial" w:hAnsi="Arial"/>
          <w:sz w:val="24"/>
          <w:szCs w:val="24"/>
        </w:rPr>
        <w:t xml:space="preserve">3. Оперативный мониторинг выполнения прогнозных показателей социально-экономического развития Кыргызской Республики. Подготовка Отчета результатов мониторинга. Рекомендации по внесению изменений в экономический прогноз/бюджет.</w:t>
      </w:r>
    </w:p>
    <w:p>
      <w:pPr>
        <w:spacing w:after="120"/>
        <w:jc w:val="both"/>
      </w:pPr>
      <w:r>
        <w:rPr>
          <w:rFonts w:ascii="Arial" w:cs="Arial" w:eastAsia="Arial" w:hAnsi="Arial"/>
          <w:sz w:val="24"/>
          <w:szCs w:val="24"/>
        </w:rPr>
        <w:t xml:space="preserve">Своевременное исполнение министерствами, ведомствами и местными государственными администрациями мероприятий, предусмотренных Планом мероприятий на 2012 год по реализации Программы Правительства Кыргызской Республики "Стабильность и достойная жизнь" (постановление Правительства Кыргызской Республики от 25 января 2012 года № 55).</w:t>
      </w:r>
    </w:p>
    <w:p>
      <w:pPr>
        <w:spacing w:after="120"/>
        <w:jc w:val="both"/>
      </w:pPr>
      <w:r>
        <w:rPr>
          <w:rFonts w:ascii="Arial" w:cs="Arial" w:eastAsia="Arial" w:hAnsi="Arial"/>
          <w:sz w:val="24"/>
          <w:szCs w:val="24"/>
        </w:rPr>
        <w:t xml:space="preserve">4. Особый контроль вопросов по достаточной заготовке кормов для животноводства на предстоящую зиму и по предотвращению потери урожая при уборке, переработке и хранении.</w:t>
      </w:r>
    </w:p>
    <w:p>
      <w:pPr>
        <w:spacing w:after="120"/>
        <w:jc w:val="both"/>
      </w:pPr>
      <w:r>
        <w:rPr>
          <w:rFonts w:ascii="Arial" w:cs="Arial" w:eastAsia="Arial" w:hAnsi="Arial"/>
          <w:sz w:val="24"/>
          <w:szCs w:val="24"/>
        </w:rPr>
        <w:t xml:space="preserve">5. Принятие мер по закупке зерна в госматрезерв в объемах, обеспечивающих согласно законодательству продовольственную безопасность.</w:t>
      </w:r>
    </w:p>
    <w:p>
      <w:pPr>
        <w:spacing w:after="120"/>
        <w:jc w:val="both"/>
      </w:pPr>
      <w:r>
        <w:rPr>
          <w:rFonts w:ascii="Arial" w:cs="Arial" w:eastAsia="Arial" w:hAnsi="Arial"/>
          <w:sz w:val="24"/>
          <w:szCs w:val="24"/>
        </w:rPr>
        <w:t xml:space="preserve">6. Обеспечение поступлений доходов в соответствии с установленными параметрами на 2012 год.</w:t>
      </w:r>
    </w:p>
    <w:p>
      <w:pPr>
        <w:spacing w:after="120"/>
        <w:jc w:val="both"/>
      </w:pPr>
      <w:r>
        <w:rPr>
          <w:rFonts w:ascii="Arial" w:cs="Arial" w:eastAsia="Arial" w:hAnsi="Arial"/>
          <w:sz w:val="24"/>
          <w:szCs w:val="24"/>
        </w:rPr>
        <w:t xml:space="preserve">7. Недопущение снижения уровня сбора страховых взносов Социальным фондом Кыргызской Республики.</w:t>
      </w:r>
    </w:p>
    <w:p>
      <w:pPr>
        <w:spacing w:after="120"/>
        <w:jc w:val="both"/>
      </w:pPr>
      <w:r>
        <w:rPr>
          <w:rFonts w:ascii="Arial" w:cs="Arial" w:eastAsia="Arial" w:hAnsi="Arial"/>
          <w:sz w:val="24"/>
          <w:szCs w:val="24"/>
        </w:rPr>
        <w:t xml:space="preserve">8. Продвижение вопросов в Правительстве Кыргызской Республики и Жогорку Кенеше Кыргызской Республики по принятию внесенных проектов нормативных правовых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Данные аналитического баланса банковской системы включают в себя только депозиты физических и юридических лиц, а также депозиты других финансово-кредитных учреждений, при этом исключаются депозиты Правительства и депозиты нерезидентов.</w:t>
      </w:r>
    </w:p>
    <w:p>
      <w:pPr>
        <w:spacing w:after="120"/>
        <w:jc w:val="both"/>
      </w:pPr>
      <w:r>
        <w:rPr>
          <w:rFonts w:ascii="Arial" w:cs="Arial" w:eastAsia="Arial" w:hAnsi="Arial"/>
          <w:sz w:val="24"/>
          <w:szCs w:val="24"/>
        </w:rPr>
        <w:t xml:space="preserve">(2) В данную категорию включаются депозиты предприятий и населения, депозиты банков и других ФКУ, а также депозиты органов власти.</w:t>
      </w:r>
    </w:p>
    <w:p>
      <w:pPr>
        <w:spacing w:after="120"/>
        <w:jc w:val="both"/>
      </w:pPr>
      <w:r>
        <w:rPr>
          <w:rFonts w:ascii="Arial" w:cs="Arial" w:eastAsia="Arial" w:hAnsi="Arial"/>
          <w:sz w:val="24"/>
          <w:szCs w:val="24"/>
        </w:rPr>
        <w:t xml:space="preserve">(3) Без учета стоимости давальческого сырья.</w:t>
      </w:r>
    </w:p>
    <w:p>
      <w:pPr>
        <w:spacing w:after="120"/>
        <w:jc w:val="both"/>
      </w:pPr>
      <w:r>
        <w:rPr>
          <w:rFonts w:ascii="Arial" w:cs="Arial" w:eastAsia="Arial" w:hAnsi="Arial"/>
          <w:sz w:val="24"/>
          <w:szCs w:val="24"/>
        </w:rPr>
        <w:t xml:space="preserve">(4) Продовольственная безопасность Кыргызской Республики законодательно считается обеспеченной, если уровень запасов государственного материального резерва покрывает не менее 90-дневную потребность социально уязвимых слоев населения в основных продуктах питания.</w:t>
      </w:r>
    </w:p>
    <w:p>
      <w:pPr>
        <w:spacing w:after="120"/>
        <w:jc w:val="both"/>
      </w:pPr>
      <w:r>
        <w:rPr>
          <w:rFonts w:ascii="Arial" w:cs="Arial" w:eastAsia="Arial" w:hAnsi="Arial"/>
          <w:sz w:val="24"/>
          <w:szCs w:val="24"/>
        </w:rPr>
        <w:t xml:space="preserve">(5) Согласно методике, применяемой Министерством финансов Кыргызской Республики, вычисляется как отношение фактически сложившихся данных за 1 полугодие к прогнозируемому годовому объему ВВП.</w:t>
      </w:r>
    </w:p>
    <w:p>
      <w:pPr>
        <w:spacing w:after="120"/>
        <w:jc w:val="both"/>
      </w:pPr>
      <w:r>
        <w:rPr>
          <w:rFonts w:ascii="Arial" w:cs="Arial" w:eastAsia="Arial" w:hAnsi="Arial"/>
          <w:sz w:val="24"/>
          <w:szCs w:val="24"/>
        </w:rPr>
        <w:t xml:space="preserve">(6) Данные по поступлениям ПИИ за январь-июнь 2012 г. НСК представляются на 55 день после отчетного квартала.</w:t>
      </w:r>
    </w:p>
    <w:p>
      <w:pPr>
        <w:spacing w:after="120"/>
        <w:jc w:val="both"/>
      </w:pPr>
      <w:r>
        <w:rPr>
          <w:rFonts w:ascii="Arial" w:cs="Arial" w:eastAsia="Arial" w:hAnsi="Arial"/>
          <w:sz w:val="24"/>
          <w:szCs w:val="24"/>
        </w:rPr>
        <w:t xml:space="preserve">(7) Отчетность за квартал/год НСК представляется на 60-й день после отчетного периода.</w:t>
      </w:r>
    </w:p>
    <w:p>
      <w:pPr>
        <w:spacing w:after="120"/>
        <w:jc w:val="both"/>
      </w:pPr>
      <w:r>
        <w:rPr>
          <w:rFonts w:ascii="Arial" w:cs="Arial" w:eastAsia="Arial" w:hAnsi="Arial"/>
          <w:sz w:val="24"/>
          <w:szCs w:val="24"/>
        </w:rPr>
        <w:t xml:space="preserve">(8) Данные по нарастанию.</w:t>
      </w:r>
    </w:p>
    <w:p>
      <w:pPr>
        <w:spacing w:after="120"/>
        <w:jc w:val="both"/>
      </w:pPr>
      <w:r>
        <w:rPr>
          <w:rFonts w:ascii="Arial" w:cs="Arial" w:eastAsia="Arial" w:hAnsi="Arial"/>
          <w:sz w:val="24"/>
          <w:szCs w:val="24"/>
        </w:rPr>
        <w:t xml:space="preserve">(9) По данным Министерства социального развития Кыргызской Республики и Национального статистического комитета Кыргызской Республики.</w:t>
      </w:r>
    </w:p>
    <w:p>
      <w:pPr>
        <w:spacing w:after="120"/>
        <w:jc w:val="both"/>
      </w:pPr>
      <w:r>
        <w:rPr>
          <w:rFonts w:ascii="Arial" w:cs="Arial" w:eastAsia="Arial" w:hAnsi="Arial"/>
          <w:sz w:val="24"/>
          <w:szCs w:val="24"/>
        </w:rPr>
        <w:t xml:space="preserve">(10) Январь-май, без учета малых предприятий.</w:t>
      </w:r>
    </w:p>
    <w:p>
      <w:pPr>
        <w:spacing w:after="120"/>
        <w:jc w:val="both"/>
      </w:pPr>
      <w:r>
        <w:rPr>
          <w:rFonts w:ascii="Arial" w:cs="Arial" w:eastAsia="Arial" w:hAnsi="Arial"/>
          <w:sz w:val="24"/>
          <w:szCs w:val="24"/>
        </w:rPr>
        <w:t xml:space="preserve">(11) От наличного населения.</w:t>
      </w:r>
    </w:p>
    <w:p>
      <w:pPr>
        <w:spacing w:after="120"/>
        <w:jc w:val="both"/>
      </w:pPr>
      <w:r>
        <w:rPr>
          <w:rFonts w:ascii="Arial" w:cs="Arial" w:eastAsia="Arial" w:hAnsi="Arial"/>
          <w:sz w:val="24"/>
          <w:szCs w:val="24"/>
        </w:rPr>
        <w:t xml:space="preserve">(12) От прожиточного минимума.</w:t>
      </w:r>
    </w:p>
    <w:p>
      <w:pPr>
        <w:spacing w:after="120"/>
        <w:jc w:val="both"/>
      </w:pPr>
      <w:r>
        <w:rPr>
          <w:rFonts w:ascii="Arial" w:cs="Arial" w:eastAsia="Arial" w:hAnsi="Arial"/>
          <w:sz w:val="24"/>
          <w:szCs w:val="24"/>
        </w:rPr>
        <w:t xml:space="preserve">(13) По данным Социального фонда КР.</w:t>
      </w:r>
    </w:p>
    <w:p>
      <w:pPr>
        <w:spacing w:after="120"/>
        <w:jc w:val="both"/>
      </w:pPr>
      <w:r>
        <w:rPr>
          <w:rFonts w:ascii="Arial" w:cs="Arial" w:eastAsia="Arial" w:hAnsi="Arial"/>
          <w:sz w:val="24"/>
          <w:szCs w:val="24"/>
        </w:rPr>
        <w:t xml:space="preserve">(14) С учетом компенсационных выплат.</w:t>
      </w:r>
    </w:p>
    <w:p>
      <w:pPr>
        <w:spacing w:after="120"/>
        <w:jc w:val="both"/>
      </w:pPr>
      <w:r>
        <w:rPr>
          <w:rFonts w:ascii="Arial" w:cs="Arial" w:eastAsia="Arial" w:hAnsi="Arial"/>
          <w:sz w:val="24"/>
          <w:szCs w:val="24"/>
        </w:rPr>
        <w:t xml:space="preserve">(15) С 2009 г. по данным НСК КР.</w:t>
      </w:r>
    </w:p>
    <w:p>
      <w:pPr>
        <w:spacing w:after="120"/>
        <w:jc w:val="both"/>
      </w:pPr>
      <w:r>
        <w:rPr>
          <w:rFonts w:ascii="Arial" w:cs="Arial" w:eastAsia="Arial" w:hAnsi="Arial"/>
          <w:sz w:val="24"/>
          <w:szCs w:val="24"/>
        </w:rPr>
        <w:t xml:space="preserve">(16) По оперативным данным НБКР.</w:t>
      </w:r>
    </w:p>
    <w:p>
      <w:pPr>
        <w:spacing w:after="120"/>
        <w:jc w:val="both"/>
      </w:pPr>
      <w:r>
        <w:rPr>
          <w:rFonts w:ascii="Arial" w:cs="Arial" w:eastAsia="Arial" w:hAnsi="Arial"/>
          <w:sz w:val="24"/>
          <w:szCs w:val="24"/>
        </w:rPr>
        <w:t xml:space="preserve">(17) По данным Министерства здравоохранения КР.</w:t>
      </w:r>
    </w:p>
    <w:p>
      <w:pPr>
        <w:spacing w:after="120"/>
        <w:jc w:val="both"/>
      </w:pPr>
      <w:r>
        <w:rPr>
          <w:rFonts w:ascii="Arial" w:cs="Arial" w:eastAsia="Arial" w:hAnsi="Arial"/>
          <w:sz w:val="24"/>
          <w:szCs w:val="24"/>
        </w:rPr>
        <w:t xml:space="preserve">(18) По данным Министерства финансов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7u6359_md08nfrwsehc8">
      <w:r>
        <w:rPr>
          <w:rFonts w:ascii="Arial" w:cs="Arial" w:eastAsia="Arial" w:hAnsi="Arial"/>
          <w:color w:val="132D3F"/>
          <w:sz w:val="16"/>
          <w:szCs w:val="16"/>
          <w:u w:val="single"/>
        </w:rPr>
        <w:t xml:space="preserve">dalil.kg/document/93656</w:t>
      </w:r>
    </w:hyperlink>
  </w:p>
  <w:p>
    <w:pPr>
      <w:spacing w:after="0" w:before="40"/>
      <w:jc w:val="center"/>
    </w:pPr>
    <w:hyperlink w:history="1" r:id="rIdwa8s7uzjsncnygkos-mu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kba6-sp0yprogxbwm1iz" Type="http://schemas.openxmlformats.org/officeDocument/2006/relationships/hyperlink" Target="https://dalil.kg/document/158975" TargetMode="External"/><Relationship Id="rIdiilzjtq-howg8dg2yionn" Type="http://schemas.openxmlformats.org/officeDocument/2006/relationships/hyperlink" Target="https://dalil.kg/document/93559" TargetMode="External"/><Relationship Id="rIduk0bsv-oa7xjfrsa3efa0" Type="http://schemas.openxmlformats.org/officeDocument/2006/relationships/hyperlink" Target="https://dalil.kg/document/94083" TargetMode="External"/><Relationship Id="rIdhxgioxwluhd_uhmuzb8lo" Type="http://schemas.openxmlformats.org/officeDocument/2006/relationships/hyperlink" Target="https://dalil.kg/document/203641" TargetMode="External"/><Relationship Id="rId1wzaclnm9vdqkz3c2trlp" Type="http://schemas.openxmlformats.org/officeDocument/2006/relationships/hyperlink" Target="https://dalil.kg/document/203607" TargetMode="External"/><Relationship Id="rIdtgwhi6fseahj4pckl4e0t" Type="http://schemas.openxmlformats.org/officeDocument/2006/relationships/hyperlink" Target="https://dalil.kg/document/203721" TargetMode="External"/><Relationship Id="rIdss8r7fcu5bppm61yrmzsl" Type="http://schemas.openxmlformats.org/officeDocument/2006/relationships/hyperlink" Target="https://dalil.kg/document/202266" TargetMode="External"/><Relationship Id="rId724jhs9obedqurzuhd62d" Type="http://schemas.openxmlformats.org/officeDocument/2006/relationships/hyperlink" Target="https://dalil.kg/document/92989" TargetMode="External"/><Relationship Id="rIdutk3mpziqacjujfrq57_x" Type="http://schemas.openxmlformats.org/officeDocument/2006/relationships/hyperlink" Target="https://dalil.kg/document/512" TargetMode="External"/><Relationship Id="rIdote3jnahatn5qkf5-0eeq" Type="http://schemas.openxmlformats.org/officeDocument/2006/relationships/hyperlink" Target="https://dalil.kg/document/202105" TargetMode="External"/><Relationship Id="rId3g4loc-bmx7vsahjbdqgr" Type="http://schemas.openxmlformats.org/officeDocument/2006/relationships/hyperlink" Target="https://dalil.kg/document/93470" TargetMode="External"/><Relationship Id="rId3ask4ygkcljm2er1hhq1x" Type="http://schemas.openxmlformats.org/officeDocument/2006/relationships/hyperlink" Target="https://dalil.kg/document/92977" TargetMode="External"/><Relationship Id="rId1u6uaahsk4tfmupyg22bw" Type="http://schemas.openxmlformats.org/officeDocument/2006/relationships/hyperlink" Target="https://dalil.kg/document/92508" TargetMode="External"/><Relationship Id="rIdvt66udm4cmi4vevuxgrda" Type="http://schemas.openxmlformats.org/officeDocument/2006/relationships/hyperlink" Target="https://dalil.kg/document/202445" TargetMode="External"/><Relationship Id="rIdu7kqqiirnevhx9brqksdp" Type="http://schemas.openxmlformats.org/officeDocument/2006/relationships/hyperlink" Target="https://dalil.kg/document/203655" TargetMode="External"/><Relationship Id="rIdrvuxq2s--aj2pomhj1hqq" Type="http://schemas.openxmlformats.org/officeDocument/2006/relationships/hyperlink" Target="https://dalil.kg/document/203669" TargetMode="External"/><Relationship Id="rIdx0-dk4zphqz4satmyuca-" Type="http://schemas.openxmlformats.org/officeDocument/2006/relationships/hyperlink" Target="https://dalil.kg/document/203724" TargetMode="External"/><Relationship Id="rIdomwpi4woxkvo2kiqfpnkn" Type="http://schemas.openxmlformats.org/officeDocument/2006/relationships/hyperlink" Target="https://dalil.kg/document/92983" TargetMode="External"/><Relationship Id="rIdcnk0_qrp_fqrvkiyxleml" Type="http://schemas.openxmlformats.org/officeDocument/2006/relationships/hyperlink" Target="https://dalil.kg/document/202711" TargetMode="External"/><Relationship Id="rIdggnzxwym3_i9glc0brlqu" Type="http://schemas.openxmlformats.org/officeDocument/2006/relationships/hyperlink" Target="https://dalil.kg/document/93281" TargetMode="External"/><Relationship Id="rIdf8dslxcyqt-0dagmrvw_m" Type="http://schemas.openxmlformats.org/officeDocument/2006/relationships/hyperlink" Target="https://dalil.kg/document/93316" TargetMode="External"/><Relationship Id="rIdopkctxu5t8b8oof7higuc" Type="http://schemas.openxmlformats.org/officeDocument/2006/relationships/hyperlink" Target="https://dalil.kg/document/203298" TargetMode="External"/><Relationship Id="rIdjd1t9zci9zrfrpc-z-cix" Type="http://schemas.openxmlformats.org/officeDocument/2006/relationships/hyperlink" Target="https://dalil.kg/document/978" TargetMode="External"/><Relationship Id="rIdt6y6i7ot6nq5lmgsa663l" Type="http://schemas.openxmlformats.org/officeDocument/2006/relationships/hyperlink" Target="https://dalil.kg/document/92928" TargetMode="External"/><Relationship Id="rIdyt_8pl7qnb3fxj6sc44ro" Type="http://schemas.openxmlformats.org/officeDocument/2006/relationships/hyperlink" Target="https://dalil.kg/document/71659" TargetMode="External"/><Relationship Id="rIds4rfzzfnnqvl-rfby4fhn" Type="http://schemas.openxmlformats.org/officeDocument/2006/relationships/hyperlink" Target="https://dalil.kg/document/463" TargetMode="External"/><Relationship Id="rIddfz1zsnbn2y1jigdkioom" Type="http://schemas.openxmlformats.org/officeDocument/2006/relationships/hyperlink" Target="https://dalil.kg/document/95479" TargetMode="External"/><Relationship Id="rIdca2mzpredbocewyelygnh" Type="http://schemas.openxmlformats.org/officeDocument/2006/relationships/hyperlink" Target="https://dalil.kg/document/95379" TargetMode="External"/><Relationship Id="rId8" Type="http://schemas.openxmlformats.org/officeDocument/2006/relationships/image" Target="media/8de64316e95979c063c17bcd5380dc052a2594e9.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7u6359_md08nfrwsehc8" Type="http://schemas.openxmlformats.org/officeDocument/2006/relationships/hyperlink" Target="https://dalil.kg/document/93656" TargetMode="External"/><Relationship Id="rIdwa8s7uzjsncnygkos-mu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2026-09-24T23:53:44.555Z</dcterms:created>
  <dcterms:modified xsi:type="dcterms:W3CDTF">2026-09-24T23:53:44.556Z</dcterms:modified>
</cp:coreProperties>
</file>

<file path=docProps/custom.xml><?xml version="1.0" encoding="utf-8"?>
<Properties xmlns="http://schemas.openxmlformats.org/officeDocument/2006/custom-properties" xmlns:vt="http://schemas.openxmlformats.org/officeDocument/2006/docPropsVTypes"/>
</file>