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adownfb2awo_kf0vydku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августа 2012 года № 558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курултаях",
 инициированный депутатами Жогорку Кенеша Кыргызской Республики Иманалиевым К. и Бокоевым К.</w:t>
      </w:r>
    </w:p>
    <w:p>
      <w:pPr>
        <w:spacing w:after="120"/>
        <w:jc w:val="both"/>
      </w:pPr>
      <w:r>
        <w:rPr>
          <w:rFonts w:ascii="Arial" w:cs="Arial" w:eastAsia="Arial" w:hAnsi="Arial"/>
          <w:sz w:val="24"/>
          <w:szCs w:val="24"/>
        </w:rPr>
        <w:t xml:space="preserve">В соответствии со статьей 79 </w:t>
      </w:r>
      <w:hyperlink w:history="1" r:id="rIdimzwb14_g70g0qxbkqpu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курултаях", инициированный депутатами Жогорку Кенеша Кыргызской Республики Иманалиевым К. и Бокоевым 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курултаях", инициированный депутатами Жогорку Кенеша Кыргызской Республики Иманалиевым К. и Бокоевым 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79 Конституции Кыргызской Республики, рассмотрев проект Закона Кыргызской Республики "О курултаях", инициированный депутатами Жогорку Кенеша Кыргызской Республики Иманалиевым К. и Бокоевым К., дает согласие на его принятие с учетом следующих замечаний и предложений.</w:t>
      </w:r>
    </w:p>
    <w:p>
      <w:pPr>
        <w:spacing w:after="120"/>
        <w:jc w:val="both"/>
      </w:pPr>
      <w:r>
        <w:rPr>
          <w:rFonts w:ascii="Arial" w:cs="Arial" w:eastAsia="Arial" w:hAnsi="Arial"/>
          <w:sz w:val="24"/>
          <w:szCs w:val="24"/>
        </w:rPr>
        <w:t xml:space="preserve">Учитывая, что согласно пункту 2 статьи 12 </w:t>
      </w:r>
      <w:hyperlink w:history="1" r:id="rIdh2yfw9krrmqoovkurnxa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включение нормативных предписаний в преамбулу не допускается, а также, поскольку предмет регулирования законопроекта раскрыт в статье 1 проекта, предлагаем часть 2 преамбулы исключить.</w:t>
      </w:r>
    </w:p>
    <w:p>
      <w:pPr>
        <w:spacing w:after="120"/>
        <w:jc w:val="both"/>
      </w:pPr>
      <w:r>
        <w:rPr>
          <w:rFonts w:ascii="Arial" w:cs="Arial" w:eastAsia="Arial" w:hAnsi="Arial"/>
          <w:sz w:val="24"/>
          <w:szCs w:val="24"/>
        </w:rPr>
        <w:t xml:space="preserve">Во избежание незапланированных расходов бюджета, а также проведения хаотичных курултаев, предлагаем в части 2 статьи 8 проекта Закона словосочетание "в случае возникновения необходимости" изложить с учетом необходимости наличия перечня конкретных случаев целесообразности созыва.</w:t>
      </w:r>
    </w:p>
    <w:p>
      <w:pPr>
        <w:spacing w:after="120"/>
        <w:jc w:val="both"/>
      </w:pPr>
      <w:r>
        <w:rPr>
          <w:rFonts w:ascii="Arial" w:cs="Arial" w:eastAsia="Arial" w:hAnsi="Arial"/>
          <w:sz w:val="24"/>
          <w:szCs w:val="24"/>
        </w:rPr>
        <w:t xml:space="preserve">В целях открытого обсуждения вопросов, в части 6 статьи 12 проекта слова "как правило," предлагаем исключить.</w:t>
      </w:r>
    </w:p>
    <w:p>
      <w:pPr>
        <w:spacing w:after="120"/>
        <w:jc w:val="both"/>
      </w:pPr>
      <w:r>
        <w:rPr>
          <w:rFonts w:ascii="Arial" w:cs="Arial" w:eastAsia="Arial" w:hAnsi="Arial"/>
          <w:sz w:val="24"/>
          <w:szCs w:val="24"/>
        </w:rPr>
        <w:t xml:space="preserve">Предметом регулирования части 6 статьи 9 и части 7 статьи 18 проекта Закона является установление ограничений, в соответствии с которыми ряд субъектов не могут быть делегатами курултаев местного сообщества и Курултая народа Кыргызстана. В связи с чем, предлагаем указанные нормы статей проекта объединить и выделить их в одну самостоятельную статью, а также в целях предупреждения и ограждения от участия преступных элементов в процедуре избрания делегатов на курултаи дополнить ее словами "а также лица, имеющие судимость".</w:t>
      </w:r>
    </w:p>
    <w:p>
      <w:pPr>
        <w:spacing w:after="120"/>
        <w:jc w:val="both"/>
      </w:pPr>
      <w:r>
        <w:rPr>
          <w:rFonts w:ascii="Arial" w:cs="Arial" w:eastAsia="Arial" w:hAnsi="Arial"/>
          <w:sz w:val="24"/>
          <w:szCs w:val="24"/>
        </w:rPr>
        <w:t xml:space="preserve">Аналогичное замечание по части 10 статьи 11 и части 8 статьи 18 проекта Закона, устанавливающих случаи прекращения полномочий делегатов курултаев местного сообщества и Курултая народа Кыргызстана.</w:t>
      </w:r>
    </w:p>
    <w:p>
      <w:pPr>
        <w:spacing w:after="120"/>
        <w:jc w:val="both"/>
      </w:pPr>
      <w:r>
        <w:rPr>
          <w:rFonts w:ascii="Arial" w:cs="Arial" w:eastAsia="Arial" w:hAnsi="Arial"/>
          <w:sz w:val="24"/>
          <w:szCs w:val="24"/>
        </w:rPr>
        <w:t xml:space="preserve">Относительно пункта 5 части 1 статьи 13 проекта Закона, предусматривающего, что народный курултай вправе заслушивать отчеты глав местного самоуправления, а также глав местных государственных администраций о деятельности исполнительных органов, сообщаем, что в соответствии со статьей 2 </w:t>
      </w:r>
      <w:hyperlink w:history="1" r:id="rIdnu2knhzjldwzeeu1hjdd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местная государственная администрация в своей деятельности подотчетна Правительству, а также Президенту Кыргызской Республики по вопросам, входящим в его компетенцию.</w:t>
      </w:r>
    </w:p>
    <w:p>
      <w:pPr>
        <w:spacing w:after="120"/>
        <w:jc w:val="both"/>
      </w:pPr>
      <w:r>
        <w:rPr>
          <w:rFonts w:ascii="Arial" w:cs="Arial" w:eastAsia="Arial" w:hAnsi="Arial"/>
          <w:sz w:val="24"/>
          <w:szCs w:val="24"/>
        </w:rPr>
        <w:t xml:space="preserve">Также, относительно пунктов 6 и 7 части 1 обозначенной статьи проекта, которыми предусмотрено, что народный курултай вправе устанавливать основные правила и меры по охране общественного порядка, соблюдению экологических и санитарных требований и устанавливать обязательные нормы по несению службы по охране общественного порядка членами местного сообщества в чрезвычайных ситуациях, отмечаем, что в соответствии со статьей 52 Конституции Кыргызской Республики решения курултаев носят рекомендательный характер.</w:t>
      </w:r>
    </w:p>
    <w:p>
      <w:pPr>
        <w:spacing w:after="120"/>
        <w:jc w:val="both"/>
      </w:pPr>
      <w:r>
        <w:rPr>
          <w:rFonts w:ascii="Arial" w:cs="Arial" w:eastAsia="Arial" w:hAnsi="Arial"/>
          <w:sz w:val="24"/>
          <w:szCs w:val="24"/>
        </w:rPr>
        <w:t xml:space="preserve">Кроме того, отмечаем, что обязательным характером обладают только нормативные правовые акты, при этом статьей 5 Закона Кыргызской Республики "О нормативных правовых актах Кыргызской Республики" определен исчерпывающий круг субъектов, наделенных правом принимать нормативные правовые акты, который не включает в себя курултаи.</w:t>
      </w:r>
    </w:p>
    <w:p>
      <w:pPr>
        <w:spacing w:after="120"/>
        <w:jc w:val="both"/>
      </w:pPr>
      <w:r>
        <w:rPr>
          <w:rFonts w:ascii="Arial" w:cs="Arial" w:eastAsia="Arial" w:hAnsi="Arial"/>
          <w:sz w:val="24"/>
          <w:szCs w:val="24"/>
        </w:rPr>
        <w:t xml:space="preserve">Также, пунктом 7 статьи 9 Закона Кыргызской Республики "О местной государственной администрации" предусмотрено, что местная государственная администрация координирует и осуществляет мероприятия по предотвращению чрезвычайных ситуаций, стихийных бедствий и ликвидации их последствий.</w:t>
      </w:r>
    </w:p>
    <w:p>
      <w:pPr>
        <w:spacing w:after="120"/>
        <w:jc w:val="both"/>
      </w:pPr>
      <w:r>
        <w:rPr>
          <w:rFonts w:ascii="Arial" w:cs="Arial" w:eastAsia="Arial" w:hAnsi="Arial"/>
          <w:sz w:val="24"/>
          <w:szCs w:val="24"/>
        </w:rPr>
        <w:t xml:space="preserve">Необходимо также отметить, что статья 13 и часть 3 статьи 14 проекта нуждаются в доработке, поскольку, как отмечалось ранее, решения курултаев носят рекомендательный характер.</w:t>
      </w:r>
    </w:p>
    <w:p>
      <w:pPr>
        <w:spacing w:after="120"/>
        <w:jc w:val="both"/>
      </w:pPr>
      <w:r>
        <w:rPr>
          <w:rFonts w:ascii="Arial" w:cs="Arial" w:eastAsia="Arial" w:hAnsi="Arial"/>
          <w:sz w:val="24"/>
          <w:szCs w:val="24"/>
        </w:rPr>
        <w:t xml:space="preserve">Статьей 15 законопроекта предусмотрено, что решения курултая местного сообщества, противоречащие законодательству Кыргызской Республики, могут быть обжалованы, опротестованы в суде. До принятия решения суда реализация решения народного курултая местного сообщества приостанавливается. В этой связи повторно отмечаем, что в соответствии со статьей 52 Конституции Кыргызской Республики решения народного курултая направляются в соответствующие органы в качестве рекомендаций.</w:t>
      </w:r>
    </w:p>
    <w:p>
      <w:pPr>
        <w:spacing w:after="120"/>
        <w:jc w:val="both"/>
      </w:pPr>
      <w:r>
        <w:rPr>
          <w:rFonts w:ascii="Arial" w:cs="Arial" w:eastAsia="Arial" w:hAnsi="Arial"/>
          <w:sz w:val="24"/>
          <w:szCs w:val="24"/>
        </w:rPr>
        <w:t xml:space="preserve">Частью 3 статьи 19 проекта предусматривается, что в работе Курултая народа Кыргызстана вправе участвовать с совещательным голосом Президент Кыргызской Республики, депутаты Жогорку Кенеша, Премьер-министр и члены Правительства Кыргызской Республики.</w:t>
      </w:r>
    </w:p>
    <w:p>
      <w:pPr>
        <w:spacing w:after="120"/>
        <w:jc w:val="both"/>
      </w:pPr>
      <w:r>
        <w:rPr>
          <w:rFonts w:ascii="Arial" w:cs="Arial" w:eastAsia="Arial" w:hAnsi="Arial"/>
          <w:sz w:val="24"/>
          <w:szCs w:val="24"/>
        </w:rPr>
        <w:t xml:space="preserve">При этом отмечаем, что проведение курултаев, в соответствии со статьей 52 Конституции Кыргызской Республики, является правом граждан. В связи с чем, по нашему мнению, наделение правом совещательного голоса вышеназванных лиц будет ущемлять права граждан при принятии решения курултаем.</w:t>
      </w:r>
    </w:p>
    <w:p>
      <w:pPr>
        <w:spacing w:after="120"/>
        <w:jc w:val="both"/>
      </w:pPr>
      <w:r>
        <w:rPr>
          <w:rFonts w:ascii="Arial" w:cs="Arial" w:eastAsia="Arial" w:hAnsi="Arial"/>
          <w:sz w:val="24"/>
          <w:szCs w:val="24"/>
        </w:rPr>
        <w:t xml:space="preserve">Предлагаем в пункте 4 части 4 статьи 20 проекта определить форму избрания членов Президиума поименно, либо списком.</w:t>
      </w:r>
    </w:p>
    <w:p>
      <w:pPr>
        <w:spacing w:after="120"/>
        <w:jc w:val="both"/>
      </w:pPr>
      <w:r>
        <w:rPr>
          <w:rFonts w:ascii="Arial" w:cs="Arial" w:eastAsia="Arial" w:hAnsi="Arial"/>
          <w:sz w:val="24"/>
          <w:szCs w:val="24"/>
        </w:rPr>
        <w:t xml:space="preserve">Частью 8 статьи 20 проекта Закона организационно-методическое и иное обеспечение курултая предлагается возложить на Секретариат Курултая народа Кыргызстана. Так в частности, названный орган будет проводить работу по составлению списков делегатов и обеспечению их мандатами. В связи с чем, полагаем целесообразным предусмотреть в проекте Закона, кем и каким образом будет определяться правовой статус и порядок создания Секретариата.</w:t>
      </w:r>
    </w:p>
    <w:p>
      <w:pPr>
        <w:spacing w:after="120"/>
        <w:jc w:val="both"/>
      </w:pPr>
      <w:r>
        <w:rPr>
          <w:rFonts w:ascii="Arial" w:cs="Arial" w:eastAsia="Arial" w:hAnsi="Arial"/>
          <w:sz w:val="24"/>
          <w:szCs w:val="24"/>
        </w:rPr>
        <w:t xml:space="preserve">Кроме того, в порядке информации сообщаем, что согласно статье 22 Закона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подлежат общественному обсуждению посредством размещения на официальном сайте нормотворческого органа. Итоговая информация отражается в справке-обосновании к проекту нормативного правового акта.</w:t>
      </w:r>
    </w:p>
    <w:p>
      <w:pPr>
        <w:spacing w:after="120"/>
        <w:jc w:val="both"/>
      </w:pPr>
      <w:r>
        <w:rPr>
          <w:rFonts w:ascii="Arial" w:cs="Arial" w:eastAsia="Arial" w:hAnsi="Arial"/>
          <w:sz w:val="24"/>
          <w:szCs w:val="24"/>
        </w:rPr>
        <w:t xml:space="preserve">Также, законопроектом предлагается установить, что он вступит в силу со дня официального опубликования. Ввиду чего отмечаем, что в соответствии с частью 1 статьи 9 Закона Кыргызской Республики "О нормативных правовых актах Кыргызской Республики" со дня вступления в силу Закон будет подлежать обязательному исполнению.</w:t>
      </w:r>
    </w:p>
    <w:p>
      <w:pPr>
        <w:spacing w:after="120"/>
        <w:jc w:val="both"/>
      </w:pPr>
      <w:r>
        <w:rPr>
          <w:rFonts w:ascii="Arial" w:cs="Arial" w:eastAsia="Arial" w:hAnsi="Arial"/>
          <w:sz w:val="24"/>
          <w:szCs w:val="24"/>
        </w:rPr>
        <w:t xml:space="preserve">Вместе с тем, учитывая, что реализация норм проекта будет зависеть от наличия финансового ресурса, отмечаем, что в соответствии со статьей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Однако отмечаем, что на реализацию законопроекта в 2012 году потребуется 1,0 млн. сомов, которые в </w:t>
      </w:r>
      <w:hyperlink w:history="1" r:id="rId0phite68vaewt0rjjgyvi">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республиканском бюджете на 2012 год и прогнозе на 2012 и 2014 годы" не предусмотрены.</w:t>
      </w:r>
    </w:p>
    <w:p>
      <w:pPr>
        <w:spacing w:after="120"/>
        <w:jc w:val="both"/>
      </w:pPr>
      <w:r>
        <w:rPr>
          <w:rFonts w:ascii="Arial" w:cs="Arial" w:eastAsia="Arial" w:hAnsi="Arial"/>
          <w:sz w:val="24"/>
          <w:szCs w:val="24"/>
        </w:rPr>
        <w:t xml:space="preserve">Одновременно отмечаем о необходимости доработки редакции проекта Закона в соответствии с требованиями нормотворческой техники, изложенными в главе 3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2i_lprxssw5pkok9y6xb">
      <w:r>
        <w:rPr>
          <w:rFonts w:ascii="Arial" w:cs="Arial" w:eastAsia="Arial" w:hAnsi="Arial"/>
          <w:color w:val="132D3F"/>
          <w:sz w:val="16"/>
          <w:szCs w:val="16"/>
          <w:u w:val="single"/>
        </w:rPr>
        <w:t xml:space="preserve">dalil.kg/document/93658</w:t>
      </w:r>
    </w:hyperlink>
  </w:p>
  <w:p>
    <w:pPr>
      <w:spacing w:after="0" w:before="40"/>
      <w:jc w:val="center"/>
    </w:pPr>
    <w:hyperlink w:history="1" r:id="rIdl-j4lnro5ej6sebqkme4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ownfb2awo_kf0vydkud" Type="http://schemas.openxmlformats.org/officeDocument/2006/relationships/hyperlink" Target="https://dalil.kg/document/159126" TargetMode="External"/><Relationship Id="rIdimzwb14_g70g0qxbkqpud" Type="http://schemas.openxmlformats.org/officeDocument/2006/relationships/hyperlink" Target="https://dalil.kg/document/202913" TargetMode="External"/><Relationship Id="rIdh2yfw9krrmqoovkurnxa_" Type="http://schemas.openxmlformats.org/officeDocument/2006/relationships/hyperlink" Target="https://dalil.kg/document/202591" TargetMode="External"/><Relationship Id="rIdnu2knhzjldwzeeu1hjddq" Type="http://schemas.openxmlformats.org/officeDocument/2006/relationships/hyperlink" Target="https://dalil.kg/document/203101" TargetMode="External"/><Relationship Id="rId0phite68vaewt0rjjgyvi" Type="http://schemas.openxmlformats.org/officeDocument/2006/relationships/hyperlink" Target="https://dalil.kg/document/20364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2i_lprxssw5pkok9y6xb" Type="http://schemas.openxmlformats.org/officeDocument/2006/relationships/hyperlink" Target="https://dalil.kg/document/93658" TargetMode="External"/><Relationship Id="rIdl-j4lnro5ej6sebqkme4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2026-09-23T22:50:35.472Z</dcterms:created>
  <dcterms:modified xsi:type="dcterms:W3CDTF">2026-09-23T22:50:35.472Z</dcterms:modified>
</cp:coreProperties>
</file>

<file path=docProps/custom.xml><?xml version="1.0" encoding="utf-8"?>
<Properties xmlns="http://schemas.openxmlformats.org/officeDocument/2006/custom-properties" xmlns:vt="http://schemas.openxmlformats.org/officeDocument/2006/docPropsVTypes"/>
</file>