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 Правительства Кыргызской Республики от </w:t>
      </w:r>
      <w:hyperlink w:history="1" r:id="rId8we4cuz7vjbb8o9bgxb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2013 года № 181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порядке проведения общегосударственного конкурса на звание "Самый лучший айыл окмоту"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mtqk4nuam1zdjbl4nx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марта 2022 года № 142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pyajwi3r5w5yow3i8_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стимулирования деятельности айыл окмоту в создании наилучших условий проживания населения, благоустройства, улучшения облика села, улучшения состояния учреждений культуры и сохранения культурного наследия, наращивания объемов производства сельскохозяйственной и промышленной продукции, развития предприятий по переработке сельхозпродукции, создания рабочих мест; развития предпринимательства и сельскохозяйственных кооперативов; формирования доходной части местного бюджета, сокращения дотационных выплат, привлечения инвестиций; улучшения инженерного обустройства и санитарно-эпидемиологического состояния, а также определяет порядок проведения общегосударственного конкурса на звание "Самый лучший айыл окмоту" (далее - конкурс), порядок определения победителей в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fnicr9h_jokkvhaq25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 проводится ежегодно. В конкурсе может участвовать каждый айыл окмоту, путем подачи заявки в конкурсную комиссию района, на территории которого расположен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конкурсных комиссий ежегодно обновляется до начала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Конкурс начинается с первого рабочего дня четвертого месяца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fvjymiwv3vzuqrjboy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Общую координацию проведения и подведения итогов конкурса на районных и областных уровнях осуществляет общегосударственная конкурсная комиссия, образуемая Премьер-министром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Конкурсные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Конкурс проводится конкурсными комиссиями, образуемыми на уровне районов и областей. Конкурсная комиссия района образуется главой государственной администрации - акимом района, а конкурсная комиссия области - полномочным представителем Правительства Кыргызской Республики в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Конкурсная комиссия района образуется в количестве не менее пяти человек из числа представителей учреждений образования, здравоохранения, культуры, спорта, аппарата государственной администрации района, органов местного самоуправления, землеустройства, а также, жилищно-коммунального хозяйства, гражданского общества, неправительственных организаций, политических партий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Конкурсная комиссия области образуется в количестве не менее пяти человек из числа представителей учреждений образования, здравоохранения, гражданского общества, неправительственных организаций, политических партий, а также представителей аппаратов полномочных представителей Правительства Кыргызской Республики в областях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Конкурсные комиссии проводят свою работу путем проведения заседаний, осмотра территории соответствующего айылного аймака, посещения учреждений жилищно-коммунального хозяйства, учреждений образования, здравоохранения, культуры и спорта, а также опроса населения, изучения документации айыл окмоту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Конкурсные комиссии рассматривают айыл окмоту по следующим группам: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группа - айыл окмоту с отдаленными, труднодоступными высокогорными селами и селами, имеющими особый приграничный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группа - айыл окмоту, не входящие в 1 группу.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_1m5gldwlhlfyptvab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конкурсных комиссий являются правомочными, если на них присутствует не менее 2/3 членов комиссии. Решения конкурсных комиссий принимаются большинством голосов присутствующих на заседании членов комиссии. При равенстве голосов голос председателя конкурсной комиссии является решающим. Протокол итогового заседания конкурсной комиссии подписывается председателем и секретарем.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проведения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Конкурс проводится в три этапа, включая проведение информационной кампании.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первом этапе рассматриваются заявки айыл окмоту на участие в общегосударственном конкурсе. Заявка подается в течение десяти дней со дня, указанного в пункте 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Заявки подаются по форме согласно </w:t>
      </w:r>
      <w:hyperlink w:history="1" r:id="rIdvzm_8z20pkrspmkkawi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К заявке должны быть приложены: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матрица оценки критериев деятельности айыл окмоту для проведение конкурсного отбора на звание "Самый лучший айыл окмоту" согласно </w:t>
      </w:r>
      <w:hyperlink w:history="1" r:id="rIdspfa0f_dpn6ih5pc3uh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значение индикаторов оценочных критериев.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 и приложенные к ним документы рассматривается конкурсной комиссией района в месячный срок, по истечении дня, указанного в пункте 12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этапе конкурса конкурсной комиссией района изучается полный пакет представленных к заявке документов. Документы рассматриваются и оцениваются согласно матрице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первого этапа конкурса отбирается по одному претенденту (айыл окмоту) от каждой группы, указанном в пункте 9.1 настоящего Положения, от каждого района, набравшему наивысший бал, проставленный комиссией, и решение (протокол) об отборе претендента направляется в адрес конкурсной комиссии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stxhiwhxda3wxnfzxo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втором этапе конкурсная комиссия области отбирает одного претендента от каждой группы, указанной в пункте 9.1. настоящего Положения. Решение (протокол) об определении претендентов направляется в адрес общегосударственной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yy8wouqq5ri94csqk2x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апреля 2017 года № 216)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конкурса проводится в месячный срок, по истечении десяти дней после окончания первого этапа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ivaue4po01sj7mvqq3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Общегосударственная конкурсная комиссия рассматривает материалы, представленные из областей, и определяет победителей общегосударственного конкурса среди айыл окмоту на звание "Самый лучший айыл окмоту".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Определение победителей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Определение победителей конкурса проводится согласно матрице критериев оценки деятельности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Общая оценка деятельности айыл окмоту определяется путем суммирования значений индикаторов по каждому направлению. Победителями третьего этапа конкурса являются айыл окмоту, набравшие наивысшие баллы, проставленные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подведении итогов конкурса определяются лучший айыл окмоту из каждой группы, указанной в пункте 9.1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Призовой фонд конкурса распределяется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группа: за 1 место - 3,0 млн. сомов; за 2 место - 2,0 млн. сомов; за 3 место - 1,0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группа: за 1 место - 3,0 млн. сомов; за 2 место - 2,0 млн. сомов; за 3 место - 1,0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g7mw84_up2gjckcrpz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2023 года № 258)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 награждении победителей общегосударственного конкурса на звание "Самый лучший айыл окмоту" утверждается распоряжением Правительства Кыргызской Республики по предложению общегосударственной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
 к Положению о порядке проведения общегосударственного конкурса на звание "Самый лучший айыл окмоту"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заявки 
 на участие айыл окмоту в конкурсе "Самый лучший айыл окмоту"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f-vqedgas8xlwhn6vo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 группа (согласно пункту 9.1 Положения) айылного аймака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айыл окмоту ___________________________________________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населения: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Ответственное лицо ___________________________________________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 Электронная почта: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 айыл окмоту: 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айыл окмоту: ______________________ 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
 к Положению о порядке проведения общегосударственного конкурса на звание "Самый лучший айыл окмоту"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 
 оценки критериев деятельности айыл окмоту для проведение конкурсного отбора на звание "Самый лучший айыл окмоту"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wjlza0tijqgkkwltzw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cts0flvl__ucxaqnwm8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565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Критерии и индикаторы по вопросам местного значения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услуги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904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</w:t>
            </w:r>
            <w:hyperlink w:history="1" r:id="rId0ufxvcd892rqtguqer0c2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13 апреля 2017 года № 216)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обеспеченности населения питьевой водой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населения, имеющего доступ к питьевой воде, 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70%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100%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снижения уровня бедности по сравнению с предыдущим годом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снижения количества малоимущих семей, % (в сумме по ГМУП+КЧБ+ЧБ)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рост количества малоимущих семей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динамики уменьшения количества малоимущих семей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количества малоимущих семей до 5%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количества малоимущих семей до 10%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количества малоимущих семей свыше 10%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озеленение мест общественного пользования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мест общего пользования (парки, зоны отдыха, спортивные сооружения)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Отсутствуют места общественного пользования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 общественного пользования не функционируют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 общего пользования частично функционируют, озеленение фрагментарное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 общего пользования функционируют, состояние парковой зоны удовлетворительное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 общего пользования функционируют, парковая зона и озеленение находятся в надлежащем состоянии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сбора, вывоза и утилизации бытовых отходов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качество исполнения услуг по сбору ТБО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Отсутствуют службы по сбору и утилизации ТБО, отсутствие свалки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ТБО производится нерегулярно, свалки стихийные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ТБО производится регулярно, свалки стихийные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ТБО производится регулярно, мусорный полигон не соответствует нормам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специализированная служба по сбору и утилизации ТБО, сбор ТБО производится на регулярной основе, мусорный полигон соответствует нормам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1252"/>
        <w:gridCol w:w="1293"/>
        <w:gridCol w:w="1401"/>
        <w:gridCol w:w="1401"/>
        <w:gridCol w:w="1401"/>
        <w:gridCol w:w="1401"/>
        <w:gridCol w:w="1401"/>
        <w:gridCol w:w="405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1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700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4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услуги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услуг в сфере культурно-досуговых и спортивных мероприятий, поддержка в развитии народного художественного творчества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Наличие, состояние объектов культуры и степень функционирования кружков, секций народного художественного творчества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культуры, кружки, секции народного художественного творчества отсутствуют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культуры, кружки, секции народного художественного творчества не функционируют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культуры функционируют частично, здания и сооружения в неудовлетворительном состоянии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культуры функционируют в достаточной мере, здания и сооружения в удовлетворительном состоянии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культуры функционируют в полной мере, имеются кружки по интересам, здания содержатся в надлежащем состоянии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общественного порядка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показателей общего уровня преступности, %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динамики снижения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5%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10%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20%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20%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генпланов населенных пунктов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генпланов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генплана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Генплан не обновлен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Генплан разработан, но не утвержден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Генплан утвержден, но не реализуется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Генплан реализуется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"/>
        <w:gridCol w:w="1193"/>
        <w:gridCol w:w="1303"/>
        <w:gridCol w:w="1403"/>
        <w:gridCol w:w="1403"/>
        <w:gridCol w:w="1403"/>
        <w:gridCol w:w="1403"/>
        <w:gridCol w:w="1403"/>
        <w:gridCol w:w="397"/>
      </w:tblGrid>
      <w:tr>
        <w:tc>
          <w:tcPr>
            <w:tcW w:type="dxa" w:w="2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701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3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услуги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освещением мест общего пользования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освещением мест общего пользования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10%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20%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50%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70%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70%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муниципальных дорог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муниципальных дорог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муниципальных дорог неудовлетворительное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дорог неудовлетворительное, ремонтные работы не проводятся (до 20%)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дорог удовлетворительное, ремонтные работы на стадии исполнения (до 50%)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дороги функционируют, ремонтные работы выполнены (до 70%)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дороги функционируют, состояние муниципальных дорог в надлежащем состоянии (свыше 70%)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7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оценка индикаторов по социальным услугам: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экономики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активности предпринимательства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роста новых предприятий, 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динамики роста числа новых предприятий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новых предприятий (до 10%)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новых предприятий (до 20%)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новых предприятий (до 50%)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новых предприятий (свыше 50%)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активности предпринимательства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роста числа новых частных или индивидуальных предпринимателей по сравнению с предыдущим годом, 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динамики роста числа новых частных и индивидуальных предпринимателей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новых частных и индивидуальных предпринимателей (до 5%)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новых частных и индивидуальных предпринимателей (до 10%)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новых частных и индивидуальных предпринимателей (до 20%)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новых частных и индивидуальных предпринимателей (свыше 20%)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управление муниципальной собственностью, включая муниципальные земли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роста доходов местного бюджета от эффективного управления МС, 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динамики роста доходов местного бюджета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местно- го бюджета повысился (на 5%)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местного бюджета повысился (на 15%)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местного бюджета повысился (на 25%)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местного бюджета повысился (свыше 25%)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привлечения инвестиций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роста объема привлеченных инвестиций в социальную сферу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динамики роста социальных инвестиций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социальных инвестиций повысился (на 5%)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социальных инвестиций повысился (на 10%)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социальных инвестиций повысился (на 20%)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социальных инвестиций повысился (свыше 20%)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оценка индикаторов по экономическим вопросам: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финансовое управление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эффективности финансирования расходных обязательств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собственных доходов местного бюджета (за исключением трансфертов), 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динамики роста собственных доходов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собственных доходов (до 10%)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собственных доходов (до 20%)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собственных доходов (до 30%)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собственных доходов (свыше 30%)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прозрачности финансового управления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используемых механизмов обеспечения прозрачности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доступа к информации о текущем бюджете, проекте бюджета, исполнении бюджета, сведения о результатах проверок, проведенных государственными органами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 на стенде о текущем бюджете, проекте бюджета, исполнении бюджета, результатах проверок (частичное)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 на стендах, разработка и распространение КОБ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 на стендах, разработка и распространение КОБ, проведение общественных слушаний по бюджету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 на стендах, разработка и распространение КОБ, проведение общественных слушаний по бюджету (проект, исполнение), разработка бюджета по результатам изучения потребностей местных сообществ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оценки о финансовых индикаторах: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участия граждан в процессе принятия решений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вовлечения граждан в вопросы управления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роста мероприятий, предусматривающих вовлечению граждан в процессы принятия решений (сельские сходы, общественные слушания, курултаи и т.д.), в 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не проводятся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 не изменилось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 увеличилось (до 10%)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 увеличилось (до 20%)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 увеличилось (свыше 20%)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1252"/>
        <w:gridCol w:w="1291"/>
        <w:gridCol w:w="1379"/>
        <w:gridCol w:w="1379"/>
        <w:gridCol w:w="1379"/>
        <w:gridCol w:w="1379"/>
        <w:gridCol w:w="1379"/>
        <w:gridCol w:w="519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68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5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участия граждан в процессе принятия решений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обеспечения доступа к информации, находящейся в ведении ОМСУ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информированности населения о деятельности ОМСУ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стенды отсутствуют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стенды имеются, но нет информации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стенды имеются, информация не обновляется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стенды имеются, но информация неактуальная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стенды в надлежащем состоянии, информация обновляется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постановлений местного кенеша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опубликование постановлений местного кенеша и внесение их в государственный реестр нормативных правовых актов Кыргызской Республики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учета принятых решений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публикуется и не включается в государственный реестр нормативных правовых актов Кыргызской Республики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Публикуется, но не включается в государственный реестр нормативно правовых актов Кыргызской Республики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Публикуется и включается в государственный реестр нормативных правовых актов Кыргызской Республики с нарушением сроков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Публикуется и включается в государственный реестр нормативных правовых актов Кыргызской Республики с соблюдением установленных сроков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1262"/>
        <w:gridCol w:w="1293"/>
        <w:gridCol w:w="1391"/>
        <w:gridCol w:w="1391"/>
        <w:gridCol w:w="1391"/>
        <w:gridCol w:w="1391"/>
        <w:gridCol w:w="1391"/>
        <w:gridCol w:w="458"/>
      </w:tblGrid>
      <w:tr>
        <w:tc>
          <w:tcPr>
            <w:tcW w:type="dxa" w:w="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1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695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4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участия граждан в процессе принятия решений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АИС "Санарип аймак"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интеграции, заполнения и актуализации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10%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20%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50%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70%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100%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АИС "е-Kyzmat"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полноты и достоверности данных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10%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20%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50%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70%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100%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7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оценки индикаторов по уровню взаимодействия с населением: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Критерии и индикаторы по делегированным государственным полномочиям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экономики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управление государственными землями (ГФСУ + пастбища)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объема инвестиций в реабилитацию земель, 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динамики роста объема инвестиций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объема инвестиций (на 10%)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объема инвестиций (на 20%)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объема инвестиций (на 30%)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объема инвестиций (свыше 30%)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оценки индикаторов по экономическим вопросам: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оценка деятельности айыл окмоту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некоторых айыл окмоту с низкой численностью населения (по объективным причинам) существующая инфраструктура не в полной мере соответствует требуемым критериям. В связи с этим, в целях выравнивания диспропорций в критериях членам комиссии предоставляется возможность скорректировать выставленные в заявке баллы с применением повышающего коэффициента, равного 1,5. При этом общий балл по критерию не должен превышать 5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коэффициент применяется для айыл окмоту с численностью населения не более 5000 человек, а также для оценки следующих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благоустройство и озеленение мест общественного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сбора, вывоза и утилизации бытовых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управление муниципальной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подведении итогов конкурса учитываются особые условия айыл окмоту (природно-климатические, отдаленность) и по каждому оценочному критерию вводятся поправочные коэффициенты.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Глоссарий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ГМУП</w:t>
      </w:r>
      <w:r>
        <w:rPr>
          <w:rFonts w:ascii="Arial" w:cs="Arial" w:eastAsia="Arial" w:hAnsi="Arial"/>
          <w:sz w:val="24"/>
          <w:szCs w:val="24"/>
        </w:rPr>
        <w:t xml:space="preserve"> - гарантированный минимальный уровень потребления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ЧБ</w:t>
      </w:r>
      <w:r>
        <w:rPr>
          <w:rFonts w:ascii="Arial" w:cs="Arial" w:eastAsia="Arial" w:hAnsi="Arial"/>
          <w:sz w:val="24"/>
          <w:szCs w:val="24"/>
        </w:rPr>
        <w:t xml:space="preserve"> - черта бедности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КЧБ</w:t>
      </w:r>
      <w:r>
        <w:rPr>
          <w:rFonts w:ascii="Arial" w:cs="Arial" w:eastAsia="Arial" w:hAnsi="Arial"/>
          <w:sz w:val="24"/>
          <w:szCs w:val="24"/>
        </w:rPr>
        <w:t xml:space="preserve"> - крайняя черта бедности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ТБО</w:t>
      </w:r>
      <w:r>
        <w:rPr>
          <w:rFonts w:ascii="Arial" w:cs="Arial" w:eastAsia="Arial" w:hAnsi="Arial"/>
          <w:sz w:val="24"/>
          <w:szCs w:val="24"/>
        </w:rPr>
        <w:t xml:space="preserve"> - твердые бытовые отходы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КОБ</w:t>
      </w:r>
      <w:r>
        <w:rPr>
          <w:rFonts w:ascii="Arial" w:cs="Arial" w:eastAsia="Arial" w:hAnsi="Arial"/>
          <w:sz w:val="24"/>
          <w:szCs w:val="24"/>
        </w:rPr>
        <w:t xml:space="preserve"> - краткое описание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СИНС</w:t>
      </w:r>
      <w:r>
        <w:rPr>
          <w:rFonts w:ascii="Arial" w:cs="Arial" w:eastAsia="Arial" w:hAnsi="Arial"/>
          <w:sz w:val="24"/>
          <w:szCs w:val="24"/>
        </w:rPr>
        <w:t xml:space="preserve"> - совместное изучение нужд села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 - органы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ГФСУ</w:t>
      </w:r>
      <w:r>
        <w:rPr>
          <w:rFonts w:ascii="Arial" w:cs="Arial" w:eastAsia="Arial" w:hAnsi="Arial"/>
          <w:sz w:val="24"/>
          <w:szCs w:val="24"/>
        </w:rPr>
        <w:t xml:space="preserve"> - Государственный фонд сельскохозяйственных угодий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</w:t>
      </w:r>
      <w:r>
        <w:rPr>
          <w:rFonts w:ascii="Arial" w:cs="Arial" w:eastAsia="Arial" w:hAnsi="Arial"/>
          <w:sz w:val="24"/>
          <w:szCs w:val="24"/>
        </w:rPr>
        <w:t xml:space="preserve"> - муниципальная собственность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z7cdeh81aznk_nidl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dalil.kg/document/93767</w:t>
      </w:r>
    </w:hyperlink>
  </w:p>
  <w:p>
    <w:pPr>
      <w:spacing w:after="0" w:before="40"/>
      <w:jc w:val="center"/>
    </w:pPr>
    <w:hyperlink w:history="1" r:id="rIdevipskbtf08y33hp3hn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e4cuz7vjbb8o9bgxb3z" Type="http://schemas.openxmlformats.org/officeDocument/2006/relationships/hyperlink" Target="https://dalil.kg/document/94301" TargetMode="External"/><Relationship Id="rIdymtqk4nuam1zdjbl4nxe0" Type="http://schemas.openxmlformats.org/officeDocument/2006/relationships/hyperlink" Target="https://dalil.kg/document/99927" TargetMode="External"/><Relationship Id="rIdgpyajwi3r5w5yow3i8_mk" Type="http://schemas.openxmlformats.org/officeDocument/2006/relationships/hyperlink" Target="https://dalil.kg/document/160151" TargetMode="External"/><Relationship Id="rIdqfnicr9h_jokkvhaq25ux" Type="http://schemas.openxmlformats.org/officeDocument/2006/relationships/hyperlink" Target="https://dalil.kg/document/99927" TargetMode="External"/><Relationship Id="rIdhfvjymiwv3vzuqrjboyci" Type="http://schemas.openxmlformats.org/officeDocument/2006/relationships/hyperlink" Target="https://dalil.kg/document/99927" TargetMode="External"/><Relationship Id="rIdc_1m5gldwlhlfyptvabzb" Type="http://schemas.openxmlformats.org/officeDocument/2006/relationships/hyperlink" Target="https://dalil.kg/document/99927" TargetMode="External"/><Relationship Id="rIdvzm_8z20pkrspmkkawisb" Type="http://schemas.openxmlformats.org/officeDocument/2006/relationships/hyperlink" Target="https://dalil.kg/document/93767#&#1088;1" TargetMode="External"/><Relationship Id="rIdspfa0f_dpn6ih5pc3uhlz" Type="http://schemas.openxmlformats.org/officeDocument/2006/relationships/hyperlink" Target="https://dalil.kg/document/93767" TargetMode="External"/><Relationship Id="rIdqstxhiwhxda3wxnfzxopd" Type="http://schemas.openxmlformats.org/officeDocument/2006/relationships/hyperlink" Target="https://dalil.kg/document/99927" TargetMode="External"/><Relationship Id="rIdyy8wouqq5ri94csqk2xwz" Type="http://schemas.openxmlformats.org/officeDocument/2006/relationships/hyperlink" Target="https://dalil.kg/document/99927" TargetMode="External"/><Relationship Id="rIdjivaue4po01sj7mvqq3_l" Type="http://schemas.openxmlformats.org/officeDocument/2006/relationships/hyperlink" Target="https://dalil.kg/document/99927" TargetMode="External"/><Relationship Id="rIdjg7mw84_up2gjckcrpzog" Type="http://schemas.openxmlformats.org/officeDocument/2006/relationships/hyperlink" Target="https://dalil.kg/document/160151" TargetMode="External"/><Relationship Id="rIdbf-vqedgas8xlwhn6vodh" Type="http://schemas.openxmlformats.org/officeDocument/2006/relationships/hyperlink" Target="https://dalil.kg/document/99927" TargetMode="External"/><Relationship Id="rIdqwjlza0tijqgkkwltzwq7" Type="http://schemas.openxmlformats.org/officeDocument/2006/relationships/hyperlink" Target="https://dalil.kg/document/99927" TargetMode="External"/><Relationship Id="rIdcts0flvl__ucxaqnwm8vt" Type="http://schemas.openxmlformats.org/officeDocument/2006/relationships/hyperlink" Target="https://dalil.kg/document/160151" TargetMode="External"/><Relationship Id="rId0ufxvcd892rqtguqer0c2" Type="http://schemas.openxmlformats.org/officeDocument/2006/relationships/hyperlink" Target="https://dalil.kg/document/99927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z7cdeh81aznk_nidl2n" Type="http://schemas.openxmlformats.org/officeDocument/2006/relationships/hyperlink" Target="https://dalil.kg/document/93767" TargetMode="External"/><Relationship Id="rIdevipskbtf08y33hp3hn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2026-09-24T13:58:08.956Z</dcterms:created>
  <dcterms:modified xsi:type="dcterms:W3CDTF">2026-09-24T13:58:08.956Z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