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afzrxehgnyenbff3ntdk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7 августа 2014 года № 451</w:t>
      </w:r>
    </w:p>
    <w:p>
      <w:pPr>
        <w:spacing w:after="120"/>
        <w:jc w:val="right"/>
      </w:pPr>
      <w:r>
        <w:rPr>
          <w:rFonts w:ascii="Arial" w:cs="Arial" w:eastAsia="Arial" w:hAnsi="Arial"/>
          <w:sz w:val="24"/>
          <w:szCs w:val="24"/>
        </w:rPr>
        <w:t xml:space="preserve">Утвержден</w:t>
      </w:r>
    </w:p>
    <w:p>
      <w:pPr>
        <w:spacing w:after="480"/>
        <w:jc w:val="center"/>
      </w:pPr>
      <w:r>
        <w:rPr>
          <w:rFonts w:ascii="Arial" w:cs="Arial" w:eastAsia="Arial" w:hAnsi="Arial"/>
          <w:b/>
          <w:bCs/>
          <w:sz w:val="28"/>
          <w:szCs w:val="28"/>
        </w:rPr>
        <w:t xml:space="preserve">ВРЕМЕННЫЙ ПОРЯДОК</w:t>
      </w:r>
      <w:r>
        <w:rPr>
          <w:rFonts w:ascii="Arial" w:cs="Arial" w:eastAsia="Arial" w:hAnsi="Arial"/>
          <w:b/>
          <w:bCs/>
          <w:sz w:val="28"/>
          <w:szCs w:val="28"/>
        </w:rPr>
        <w:t xml:space="preserve">
 ввоза в Кыргызскую Республику и вывоза из Кыргызской Республики специальных технических
 средств, предназначенных для негласного получения информации в процессе осуществления
 оперативно-розыскной деятельности</w:t>
      </w:r>
    </w:p>
    <w:p>
      <w:pPr>
        <w:spacing w:after="120"/>
        <w:jc w:val="both"/>
      </w:pPr>
      <w:r>
        <w:rPr>
          <w:rFonts w:ascii="Arial" w:cs="Arial" w:eastAsia="Arial" w:hAnsi="Arial"/>
          <w:sz w:val="24"/>
          <w:szCs w:val="24"/>
        </w:rPr>
        <w:t xml:space="preserve">1. Настоящий Временный порядок ввоза в Кыргызскую Республику и вывоза из Кыргызской Республики специальных технических средств, предназначенных для негласного получения информации в процессе осуществления оперативно-розыскной деятельности (далее - Порядок), регулирует порядок ввоза и вывоза специальных технических средств (далее - СТС).</w:t>
      </w:r>
    </w:p>
    <w:p>
      <w:pPr>
        <w:spacing w:after="120"/>
        <w:jc w:val="both"/>
      </w:pPr>
      <w:r>
        <w:rPr>
          <w:rFonts w:ascii="Arial" w:cs="Arial" w:eastAsia="Arial" w:hAnsi="Arial"/>
          <w:sz w:val="24"/>
          <w:szCs w:val="24"/>
        </w:rPr>
        <w:t xml:space="preserve">2. Ввоз в Кыргызскую Республику и вывоз из Кыргызской Республики СТС осуществляются по согласованию с уполномоченным государственным органом, ведающим вопросами национальной безопасности Кыргызской Республики (далее - уполномоченный орган).</w:t>
      </w:r>
    </w:p>
    <w:p>
      <w:pPr>
        <w:spacing w:after="120"/>
        <w:jc w:val="both"/>
      </w:pPr>
      <w:r>
        <w:rPr>
          <w:rFonts w:ascii="Arial" w:cs="Arial" w:eastAsia="Arial" w:hAnsi="Arial"/>
          <w:sz w:val="24"/>
          <w:szCs w:val="24"/>
        </w:rPr>
        <w:t xml:space="preserve">В этих целях уполномоченным органом проводится на безвозмездной основе экспертное исследование СТС. В случае отсутствия оснований для отказа в ввозе или вывозе СТС физическому или юридическому лицу согласно установленному порядку и срокам направляется письменное уведомление для выполнения необходимых процедур.</w:t>
      </w:r>
    </w:p>
    <w:p>
      <w:pPr>
        <w:spacing w:after="120"/>
        <w:jc w:val="both"/>
      </w:pPr>
      <w:r>
        <w:rPr>
          <w:rFonts w:ascii="Arial" w:cs="Arial" w:eastAsia="Arial" w:hAnsi="Arial"/>
          <w:sz w:val="24"/>
          <w:szCs w:val="24"/>
        </w:rPr>
        <w:t xml:space="preserve">3. В целях ввоза в Кыргызскую Республику и вывоза из Кыргызской Республики СТС заявитель для проведения экспертного исследования представляет в уполномоченный орган соответствующее заявление, с указанием информации о целях и причинах ввоза/вывоза СТС, а также:</w:t>
      </w:r>
    </w:p>
    <w:p>
      <w:pPr>
        <w:spacing w:after="120"/>
        <w:jc w:val="both"/>
      </w:pPr>
      <w:r>
        <w:rPr>
          <w:rFonts w:ascii="Arial" w:cs="Arial" w:eastAsia="Arial" w:hAnsi="Arial"/>
          <w:sz w:val="24"/>
          <w:szCs w:val="24"/>
        </w:rPr>
        <w:t xml:space="preserve">- полную техническую документацию на СТС;</w:t>
      </w:r>
    </w:p>
    <w:p>
      <w:pPr>
        <w:spacing w:after="120"/>
        <w:jc w:val="both"/>
      </w:pPr>
      <w:r>
        <w:rPr>
          <w:rFonts w:ascii="Arial" w:cs="Arial" w:eastAsia="Arial" w:hAnsi="Arial"/>
          <w:sz w:val="24"/>
          <w:szCs w:val="24"/>
        </w:rPr>
        <w:t xml:space="preserve">- образцы СТС (до принятия решения образцы временно хранятся в уполномоченном органе);</w:t>
      </w:r>
    </w:p>
    <w:p>
      <w:pPr>
        <w:spacing w:after="120"/>
        <w:jc w:val="both"/>
      </w:pPr>
      <w:r>
        <w:rPr>
          <w:rFonts w:ascii="Arial" w:cs="Arial" w:eastAsia="Arial" w:hAnsi="Arial"/>
          <w:sz w:val="24"/>
          <w:szCs w:val="24"/>
        </w:rPr>
        <w:t xml:space="preserve">- сертификаты соответствия страны производителя;</w:t>
      </w:r>
    </w:p>
    <w:p>
      <w:pPr>
        <w:spacing w:after="120"/>
        <w:jc w:val="both"/>
      </w:pPr>
      <w:r>
        <w:rPr>
          <w:rFonts w:ascii="Arial" w:cs="Arial" w:eastAsia="Arial" w:hAnsi="Arial"/>
          <w:sz w:val="24"/>
          <w:szCs w:val="24"/>
        </w:rPr>
        <w:t xml:space="preserve">- копию паспорта заявителя;</w:t>
      </w:r>
    </w:p>
    <w:p>
      <w:pPr>
        <w:spacing w:after="120"/>
        <w:jc w:val="both"/>
      </w:pPr>
      <w:r>
        <w:rPr>
          <w:rFonts w:ascii="Arial" w:cs="Arial" w:eastAsia="Arial" w:hAnsi="Arial"/>
          <w:sz w:val="24"/>
          <w:szCs w:val="24"/>
        </w:rPr>
        <w:t xml:space="preserve">- копии учредительных документов (для юридических лиц).</w:t>
      </w:r>
    </w:p>
    <w:p>
      <w:pPr>
        <w:spacing w:after="120"/>
        <w:jc w:val="both"/>
      </w:pPr>
      <w:r>
        <w:rPr>
          <w:rFonts w:ascii="Arial" w:cs="Arial" w:eastAsia="Arial" w:hAnsi="Arial"/>
          <w:sz w:val="24"/>
          <w:szCs w:val="24"/>
        </w:rPr>
        <w:t xml:space="preserve">4. Срок проведения экспертных исследований не должен превышать 30 календарных дней. Исчисление сроков проведения экспертного исследования осуществляется с даты подачи заявления и документов, указанных в пункте 3 настоящего Порядка.</w:t>
      </w:r>
    </w:p>
    <w:p>
      <w:pPr>
        <w:spacing w:after="120"/>
        <w:jc w:val="both"/>
      </w:pPr>
      <w:r>
        <w:rPr>
          <w:rFonts w:ascii="Arial" w:cs="Arial" w:eastAsia="Arial" w:hAnsi="Arial"/>
          <w:sz w:val="24"/>
          <w:szCs w:val="24"/>
        </w:rPr>
        <w:t xml:space="preserve">Передача заявителем всей документации в уполномоченный орган производится по акту. В акт заносятся полные наименования изделий, их учетные (серийные) номера и перечень документации. Акты составляются в двух экземплярах, один из которых остается у заявителя, а второй передается экспертам уполномоченного органа.</w:t>
      </w:r>
    </w:p>
    <w:p>
      <w:pPr>
        <w:spacing w:after="120"/>
        <w:jc w:val="both"/>
      </w:pPr>
      <w:r>
        <w:rPr>
          <w:rFonts w:ascii="Arial" w:cs="Arial" w:eastAsia="Arial" w:hAnsi="Arial"/>
          <w:sz w:val="24"/>
          <w:szCs w:val="24"/>
        </w:rPr>
        <w:t xml:space="preserve">В отдельных случаях, при большом объеме представленных документов либо при наличии документов, требующих дополнительного изучения, а также большого объема и перечня видов СТС срок проведения экспертных исследований может быть продлен на 10 календарных дней, о чем письменно уведомляется заявитель.</w:t>
      </w:r>
    </w:p>
    <w:p>
      <w:pPr>
        <w:spacing w:after="120"/>
        <w:jc w:val="both"/>
      </w:pPr>
      <w:r>
        <w:rPr>
          <w:rFonts w:ascii="Arial" w:cs="Arial" w:eastAsia="Arial" w:hAnsi="Arial"/>
          <w:sz w:val="24"/>
          <w:szCs w:val="24"/>
        </w:rPr>
        <w:t xml:space="preserve">5. Основанием для отказа является:</w:t>
      </w:r>
    </w:p>
    <w:p>
      <w:pPr>
        <w:spacing w:after="120"/>
        <w:jc w:val="both"/>
      </w:pPr>
      <w:r>
        <w:rPr>
          <w:rFonts w:ascii="Arial" w:cs="Arial" w:eastAsia="Arial" w:hAnsi="Arial"/>
          <w:sz w:val="24"/>
          <w:szCs w:val="24"/>
        </w:rPr>
        <w:t xml:space="preserve">- заключение по результатам экспертных исследований о возможности нанесения ущерба безопасности государству;</w:t>
      </w:r>
    </w:p>
    <w:p>
      <w:pPr>
        <w:spacing w:after="120"/>
        <w:jc w:val="both"/>
      </w:pPr>
      <w:r>
        <w:rPr>
          <w:rFonts w:ascii="Arial" w:cs="Arial" w:eastAsia="Arial" w:hAnsi="Arial"/>
          <w:sz w:val="24"/>
          <w:szCs w:val="24"/>
        </w:rPr>
        <w:t xml:space="preserve">- наличие в документах, представленных заявителем, недостоверной, неполной или искаженной информации.</w:t>
      </w:r>
    </w:p>
    <w:p>
      <w:pPr>
        <w:spacing w:after="120"/>
        <w:jc w:val="both"/>
      </w:pPr>
      <w:r>
        <w:rPr>
          <w:rFonts w:ascii="Arial" w:cs="Arial" w:eastAsia="Arial" w:hAnsi="Arial"/>
          <w:sz w:val="24"/>
          <w:szCs w:val="24"/>
        </w:rPr>
        <w:t xml:space="preserve">Документы, представляемые для получения согласия уполномоченного органа, должны быть прошиты, заверены подписью и печатью заявителя (юридического лица).</w:t>
      </w:r>
    </w:p>
    <w:p>
      <w:pPr>
        <w:spacing w:after="120"/>
        <w:jc w:val="both"/>
      </w:pPr>
      <w:r>
        <w:rPr>
          <w:rFonts w:ascii="Arial" w:cs="Arial" w:eastAsia="Arial" w:hAnsi="Arial"/>
          <w:sz w:val="24"/>
          <w:szCs w:val="24"/>
        </w:rPr>
        <w:t xml:space="preserve">6. По результатам экспертных исследований, образцы СТС возвращаются заявителю по акту.</w:t>
      </w:r>
    </w:p>
    <w:p>
      <w:pPr>
        <w:spacing w:after="120"/>
        <w:jc w:val="both"/>
      </w:pPr>
      <w:r>
        <w:rPr>
          <w:rFonts w:ascii="Arial" w:cs="Arial" w:eastAsia="Arial" w:hAnsi="Arial"/>
          <w:sz w:val="24"/>
          <w:szCs w:val="24"/>
        </w:rPr>
        <w:t xml:space="preserve">7. Ввозимые в Кыргызскую Республику и вывозимые из Кыргызской Республики СТС подлежат таможенному оформлению и таможенному контролю в соответствии с порядком, установленным законодательством Кыргызской Республики. Необходимым условием для осуществления таможенного оформления и таможенного контроля СТС является наличие письменного уведомления уполномоченного органа, выдаваемого по результатам экспертизы.</w:t>
      </w:r>
    </w:p>
    <w:p>
      <w:pPr>
        <w:spacing w:after="120"/>
        <w:jc w:val="both"/>
      </w:pPr>
      <w:r>
        <w:rPr>
          <w:rFonts w:ascii="Arial" w:cs="Arial" w:eastAsia="Arial" w:hAnsi="Arial"/>
          <w:sz w:val="24"/>
          <w:szCs w:val="24"/>
        </w:rPr>
        <w:t xml:space="preserve">8. Таможенные органы Кыргызской Республики при выявлении нарушений требований настоящего Порядка информируют об этом уполномоченный орган. При наличии оснований полагать, что товары, находящиеся под таможенным контролем, являются СТС, таможенные органы Кыргызской Республики незамедлительно сообщают об этом в письменной форме уполномоченному органу с направлением СТС на склад временного хранения.</w:t>
      </w:r>
    </w:p>
    <w:p>
      <w:pPr>
        <w:spacing w:after="120"/>
        <w:jc w:val="both"/>
      </w:pPr>
      <w:r>
        <w:rPr>
          <w:rFonts w:ascii="Arial" w:cs="Arial" w:eastAsia="Arial" w:hAnsi="Arial"/>
          <w:sz w:val="24"/>
          <w:szCs w:val="24"/>
        </w:rPr>
        <w:t xml:space="preserve">При этом, все расходы, связанные с хранением товаров на складе временного хранения, возлагаются на заказчика товара.</w:t>
      </w:r>
    </w:p>
    <w:p>
      <w:pPr>
        <w:spacing w:after="120"/>
        <w:jc w:val="both"/>
      </w:pPr>
      <w:r>
        <w:rPr>
          <w:rFonts w:ascii="Arial" w:cs="Arial" w:eastAsia="Arial" w:hAnsi="Arial"/>
          <w:sz w:val="24"/>
          <w:szCs w:val="24"/>
        </w:rPr>
        <w:t xml:space="preserve">9. Нарушение правил ввоза в Кыргызскую Республику СТС влечет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2hnpmwupvkldwud4uti2">
      <w:r>
        <w:rPr>
          <w:rFonts w:ascii="Arial" w:cs="Arial" w:eastAsia="Arial" w:hAnsi="Arial"/>
          <w:color w:val="132D3F"/>
          <w:sz w:val="16"/>
          <w:szCs w:val="16"/>
          <w:u w:val="single"/>
        </w:rPr>
        <w:t xml:space="preserve">dalil.kg/document/93773</w:t>
      </w:r>
    </w:hyperlink>
  </w:p>
  <w:p>
    <w:pPr>
      <w:spacing w:after="0" w:before="40"/>
      <w:jc w:val="center"/>
    </w:pPr>
    <w:hyperlink w:history="1" r:id="rIdfrk4jlgtlsdqivxoqij2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fzrxehgnyenbff3ntdki" Type="http://schemas.openxmlformats.org/officeDocument/2006/relationships/hyperlink" Target="https://dalil.kg/document/9676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2hnpmwupvkldwud4uti2" Type="http://schemas.openxmlformats.org/officeDocument/2006/relationships/hyperlink" Target="https://dalil.kg/document/93773" TargetMode="External"/><Relationship Id="rIdfrk4jlgtlsdqivxoqij2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2026-09-24T21:14:33.108Z</dcterms:created>
  <dcterms:modified xsi:type="dcterms:W3CDTF">2026-09-24T21:14:33.108Z</dcterms:modified>
</cp:coreProperties>
</file>

<file path=docProps/custom.xml><?xml version="1.0" encoding="utf-8"?>
<Properties xmlns="http://schemas.openxmlformats.org/officeDocument/2006/custom-properties" xmlns:vt="http://schemas.openxmlformats.org/officeDocument/2006/docPropsVTypes"/>
</file>