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6dp2gkltziqdc52c2nb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b w:val="false"/>
          <w:bCs w:val="false"/>
          <w:sz w:val="24"/>
          <w:szCs w:val="24"/>
        </w:rPr>
        <w:t xml:space="preserve">Утвержден
 </w:t>
      </w:r>
      <w:hyperlink w:history="1" r:id="rIdi-nztpic5nwklqikxtqyv">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30 ноября 2012 года № 805</w:t>
      </w:r>
    </w:p>
    <w:p>
      <w:pPr>
        <w:spacing w:after="120"/>
        <w:jc w:val="both"/>
      </w:pPr>
      <w:r>
        <w:rPr>
          <w:rFonts w:ascii="Arial" w:cs="Arial" w:eastAsia="Arial" w:hAnsi="Arial"/>
          <w:sz w:val="24"/>
          <w:szCs w:val="24"/>
        </w:rPr>
        <w:t xml:space="preserve">ТЕХНИЧЕСКИЙ РЕГЛАМЕНТ
 "О безопасности мебельной продукции"</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мебельной продукции" (далее - Технический регламент) устанавливает требования к мебельной продукции в целях защиты жизни и здоровья человека, имущества, а также предупреждения действий, вводящих в заблуждение потребителей (пользователей) относительно ее назначения и безопасности, устранения необоснованных ограничений во взаимной торговле.</w:t>
      </w:r>
    </w:p>
    <w:p>
      <w:pPr>
        <w:spacing w:after="120"/>
        <w:jc w:val="both"/>
      </w:pPr>
      <w:r>
        <w:rPr>
          <w:rFonts w:ascii="Arial" w:cs="Arial" w:eastAsia="Arial" w:hAnsi="Arial"/>
          <w:sz w:val="24"/>
          <w:szCs w:val="24"/>
        </w:rPr>
        <w:t xml:space="preserve">2. Содержащиеся в Техническом регламенте обязательные требования к мебельной продукции, хранению, перевозке, реализации и эксплуатации, правилам и формам оценки соответствия, правилам идентификации, требования к терминологии, упаковке, маркировке и правилам ее нанесения являются исчерпывающими и могут быть изменены только путем внесения изменений в настоящий Технический регламент.</w:t>
      </w:r>
    </w:p>
    <w:p>
      <w:pPr>
        <w:spacing w:after="120"/>
        <w:jc w:val="both"/>
      </w:pPr>
      <w:r>
        <w:rPr>
          <w:rFonts w:ascii="Arial" w:cs="Arial" w:eastAsia="Arial" w:hAnsi="Arial"/>
          <w:sz w:val="24"/>
          <w:szCs w:val="24"/>
        </w:rPr>
        <w:t xml:space="preserve">3. Настоящий Технический регламент распространяется на выпускаемую в обращение на территории Кыргызской Республики мебельную продукцию изделия, наборы, гарнитуры мебели бытовой и специальной.</w:t>
      </w:r>
    </w:p>
    <w:p>
      <w:pPr>
        <w:spacing w:after="120"/>
        <w:jc w:val="both"/>
      </w:pPr>
      <w:r>
        <w:rPr>
          <w:rFonts w:ascii="Arial" w:cs="Arial" w:eastAsia="Arial" w:hAnsi="Arial"/>
          <w:sz w:val="24"/>
          <w:szCs w:val="24"/>
        </w:rPr>
        <w:t xml:space="preserve">4. Перечень видов мебели по эксплуатационному назначению, отнесенных к объекту технического регулирования, приведен в </w:t>
      </w:r>
      <w:hyperlink w:history="1" r:id="rIdt7hi5rqv6wrcwkyvem5q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Настоящий Технический регламент не распространяется на:</w:t>
      </w:r>
    </w:p>
    <w:p>
      <w:pPr>
        <w:spacing w:after="120"/>
        <w:jc w:val="both"/>
      </w:pPr>
      <w:r>
        <w:rPr>
          <w:rFonts w:ascii="Arial" w:cs="Arial" w:eastAsia="Arial" w:hAnsi="Arial"/>
          <w:sz w:val="24"/>
          <w:szCs w:val="24"/>
        </w:rPr>
        <w:t xml:space="preserve">- мебель медицинскую, хирургическую, стоматологическую и ветеринарную;</w:t>
      </w:r>
    </w:p>
    <w:p>
      <w:pPr>
        <w:spacing w:after="120"/>
        <w:jc w:val="both"/>
      </w:pPr>
      <w:r>
        <w:rPr>
          <w:rFonts w:ascii="Arial" w:cs="Arial" w:eastAsia="Arial" w:hAnsi="Arial"/>
          <w:sz w:val="24"/>
          <w:szCs w:val="24"/>
        </w:rPr>
        <w:t xml:space="preserve">- мебель, предназначенную для использования на воздушном, наземном и подземном транспорте;</w:t>
      </w:r>
    </w:p>
    <w:p>
      <w:pPr>
        <w:spacing w:after="120"/>
        <w:jc w:val="both"/>
      </w:pPr>
      <w:r>
        <w:rPr>
          <w:rFonts w:ascii="Arial" w:cs="Arial" w:eastAsia="Arial" w:hAnsi="Arial"/>
          <w:sz w:val="24"/>
          <w:szCs w:val="24"/>
        </w:rPr>
        <w:t xml:space="preserve">- мебель, изготавливаемую по индивидуальным заказам населения для собственных нужд по чертежам и требованиям заказчика;</w:t>
      </w:r>
    </w:p>
    <w:p>
      <w:pPr>
        <w:spacing w:after="120"/>
        <w:jc w:val="both"/>
      </w:pPr>
      <w:r>
        <w:rPr>
          <w:rFonts w:ascii="Arial" w:cs="Arial" w:eastAsia="Arial" w:hAnsi="Arial"/>
          <w:sz w:val="24"/>
          <w:szCs w:val="24"/>
        </w:rPr>
        <w:t xml:space="preserve">- антикварную мебель;</w:t>
      </w:r>
    </w:p>
    <w:p>
      <w:pPr>
        <w:spacing w:after="120"/>
        <w:jc w:val="both"/>
      </w:pPr>
      <w:r>
        <w:rPr>
          <w:rFonts w:ascii="Arial" w:cs="Arial" w:eastAsia="Arial" w:hAnsi="Arial"/>
          <w:sz w:val="24"/>
          <w:szCs w:val="24"/>
        </w:rPr>
        <w:t xml:space="preserve">- мебель, бывшую в употреблении и отремонтированную;</w:t>
      </w:r>
    </w:p>
    <w:p>
      <w:pPr>
        <w:spacing w:after="120"/>
        <w:jc w:val="both"/>
      </w:pPr>
      <w:r>
        <w:rPr>
          <w:rFonts w:ascii="Arial" w:cs="Arial" w:eastAsia="Arial" w:hAnsi="Arial"/>
          <w:sz w:val="24"/>
          <w:szCs w:val="24"/>
        </w:rPr>
        <w:t xml:space="preserve">- образцы мебели, предназначенные для экспонирования на выставках и для рекламы;</w:t>
      </w:r>
    </w:p>
    <w:p>
      <w:pPr>
        <w:spacing w:after="120"/>
        <w:jc w:val="both"/>
      </w:pPr>
      <w:r>
        <w:rPr>
          <w:rFonts w:ascii="Arial" w:cs="Arial" w:eastAsia="Arial" w:hAnsi="Arial"/>
          <w:sz w:val="24"/>
          <w:szCs w:val="24"/>
        </w:rPr>
        <w:t xml:space="preserve">- фурнитуру.</w:t>
      </w:r>
    </w:p>
    <w:p>
      <w:pPr>
        <w:spacing w:after="120"/>
        <w:jc w:val="both"/>
      </w:pPr>
      <w:r>
        <w:rPr>
          <w:rFonts w:ascii="Arial" w:cs="Arial" w:eastAsia="Arial" w:hAnsi="Arial"/>
          <w:sz w:val="24"/>
          <w:szCs w:val="24"/>
        </w:rPr>
        <w:t xml:space="preserve">5. В настоящем Техническом регламенте применяются термины и определения, установленные </w:t>
      </w:r>
      <w:hyperlink w:history="1" r:id="rId5arhgq8-gggzlzodcdxu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а также следующие термины и определения:</w:t>
      </w:r>
    </w:p>
    <w:p>
      <w:pPr>
        <w:spacing w:after="120"/>
        <w:jc w:val="both"/>
      </w:pPr>
      <w:r>
        <w:rPr>
          <w:rFonts w:ascii="Arial" w:cs="Arial" w:eastAsia="Arial" w:hAnsi="Arial"/>
          <w:sz w:val="24"/>
          <w:szCs w:val="24"/>
        </w:rPr>
        <w:t xml:space="preserve">взаимосвязанные с техническим регламентом нормативные документы нормативные документы, реализующие требования безопасности настоящего Технического регламента;</w:t>
      </w:r>
    </w:p>
    <w:p>
      <w:pPr>
        <w:spacing w:after="120"/>
        <w:jc w:val="both"/>
      </w:pPr>
      <w:r>
        <w:rPr>
          <w:rFonts w:ascii="Arial" w:cs="Arial" w:eastAsia="Arial" w:hAnsi="Arial"/>
          <w:sz w:val="24"/>
          <w:szCs w:val="24"/>
        </w:rPr>
        <w:t xml:space="preserve">вредные вещества - химические вещества, которые во время эксплуатации изделия могут вызвать негативные изменения в состоянии здоровья потребителя при содержании их в материале изделия, превышающем нормируемые допустимые количества таких веществ;</w:t>
      </w:r>
    </w:p>
    <w:p>
      <w:pPr>
        <w:spacing w:after="120"/>
        <w:jc w:val="both"/>
      </w:pPr>
      <w:r>
        <w:rPr>
          <w:rFonts w:ascii="Arial" w:cs="Arial" w:eastAsia="Arial" w:hAnsi="Arial"/>
          <w:sz w:val="24"/>
          <w:szCs w:val="24"/>
        </w:rPr>
        <w:t xml:space="preserve">гарантийный срок эксплуатации - календарный интервал от даты продажи (передачи) потребителю и до его окончания, в течение которого лицо, размещающее продукцию на рынке, несет ответственность за безопасность (качество) продукции и устраняет безвозмездно недостатки производственного характера;</w:t>
      </w:r>
    </w:p>
    <w:p>
      <w:pPr>
        <w:spacing w:after="120"/>
        <w:jc w:val="both"/>
      </w:pPr>
      <w:r>
        <w:rPr>
          <w:rFonts w:ascii="Arial" w:cs="Arial" w:eastAsia="Arial" w:hAnsi="Arial"/>
          <w:sz w:val="24"/>
          <w:szCs w:val="24"/>
        </w:rPr>
        <w:t xml:space="preserve">гарнитур мебели - группа мебельных изделий, объединенных художественно-стилистическими и конструктивными признаками, предназначенных для обустройства (обстановки) определенной функциональной зоны помещения;</w:t>
      </w:r>
    </w:p>
    <w:p>
      <w:pPr>
        <w:spacing w:after="120"/>
        <w:jc w:val="both"/>
      </w:pPr>
      <w:r>
        <w:rPr>
          <w:rFonts w:ascii="Arial" w:cs="Arial" w:eastAsia="Arial" w:hAnsi="Arial"/>
          <w:sz w:val="24"/>
          <w:szCs w:val="24"/>
        </w:rPr>
        <w:t xml:space="preserve">идентификация мебельной продукции - установление соответствия конкретной продукции образцу и (или) ее описанию;</w:t>
      </w:r>
    </w:p>
    <w:p>
      <w:pPr>
        <w:spacing w:after="120"/>
        <w:jc w:val="both"/>
      </w:pPr>
      <w:r>
        <w:rPr>
          <w:rFonts w:ascii="Arial" w:cs="Arial" w:eastAsia="Arial" w:hAnsi="Arial"/>
          <w:sz w:val="24"/>
          <w:szCs w:val="24"/>
        </w:rPr>
        <w:t xml:space="preserve">изготовитель - юридическое лицо, в том числе иностранное, или индивидуальный предприниматель, осуществляющие от своего имени производство и (или) реализацию мебельной продукции и ответственные за его соответствие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изделие мебели - единица мебельной продукции;</w:t>
      </w:r>
    </w:p>
    <w:p>
      <w:pPr>
        <w:spacing w:after="120"/>
        <w:jc w:val="both"/>
      </w:pPr>
      <w:r>
        <w:rPr>
          <w:rFonts w:ascii="Arial" w:cs="Arial" w:eastAsia="Arial" w:hAnsi="Arial"/>
          <w:sz w:val="24"/>
          <w:szCs w:val="24"/>
        </w:rPr>
        <w:t xml:space="preserve">маркировка - информация, наносимая изготовителем непосредственно на конкретное изделие, тару, этикетки;</w:t>
      </w:r>
    </w:p>
    <w:p>
      <w:pPr>
        <w:spacing w:after="120"/>
        <w:jc w:val="both"/>
      </w:pPr>
      <w:r>
        <w:rPr>
          <w:rFonts w:ascii="Arial" w:cs="Arial" w:eastAsia="Arial" w:hAnsi="Arial"/>
          <w:sz w:val="24"/>
          <w:szCs w:val="24"/>
        </w:rPr>
        <w:t xml:space="preserve">мебель - предметы обустройства (обстановки) жилых и общественных помещений и различных зон пребывания человека, предназначенные для удовлетворения его функциональных запросов в процессе жизни и деятельности;</w:t>
      </w:r>
    </w:p>
    <w:p>
      <w:pPr>
        <w:spacing w:after="120"/>
        <w:jc w:val="both"/>
      </w:pPr>
      <w:r>
        <w:rPr>
          <w:rFonts w:ascii="Arial" w:cs="Arial" w:eastAsia="Arial" w:hAnsi="Arial"/>
          <w:sz w:val="24"/>
          <w:szCs w:val="24"/>
        </w:rPr>
        <w:t xml:space="preserve">мебель бытовая - мебель для обустройства (обстановки) различных помещений в городском, загородном или сельском жилище, в том числе на открытом воздухе;</w:t>
      </w:r>
    </w:p>
    <w:p>
      <w:pPr>
        <w:spacing w:after="120"/>
        <w:jc w:val="both"/>
      </w:pPr>
      <w:r>
        <w:rPr>
          <w:rFonts w:ascii="Arial" w:cs="Arial" w:eastAsia="Arial" w:hAnsi="Arial"/>
          <w:sz w:val="24"/>
          <w:szCs w:val="24"/>
        </w:rPr>
        <w:t xml:space="preserve">мебель детская - мебель, предназначенная для детей, размеры, форма и конструкция которой соответствуют возрастным особенностям и ростовым характеристикам развивающегося организма человека;</w:t>
      </w:r>
    </w:p>
    <w:p>
      <w:pPr>
        <w:spacing w:after="120"/>
        <w:jc w:val="both"/>
      </w:pPr>
      <w:r>
        <w:rPr>
          <w:rFonts w:ascii="Arial" w:cs="Arial" w:eastAsia="Arial" w:hAnsi="Arial"/>
          <w:sz w:val="24"/>
          <w:szCs w:val="24"/>
        </w:rPr>
        <w:t xml:space="preserve">мебель для общественных помещений - мебель для обустройства (обстановки) предприятий и учреждений с учетом характера их деятельности и специфики функциональных процессов;</w:t>
      </w:r>
    </w:p>
    <w:p>
      <w:pPr>
        <w:spacing w:after="120"/>
        <w:jc w:val="both"/>
      </w:pPr>
      <w:r>
        <w:rPr>
          <w:rFonts w:ascii="Arial" w:cs="Arial" w:eastAsia="Arial" w:hAnsi="Arial"/>
          <w:sz w:val="24"/>
          <w:szCs w:val="24"/>
        </w:rPr>
        <w:t xml:space="preserve">мебель для учебных заведений - мебель для обустройства (обстановки) общеобразовательных школ, профтехучилищ, средних специальных и высших учебных заведений;</w:t>
      </w:r>
    </w:p>
    <w:p>
      <w:pPr>
        <w:spacing w:after="120"/>
        <w:jc w:val="both"/>
      </w:pPr>
      <w:r>
        <w:rPr>
          <w:rFonts w:ascii="Arial" w:cs="Arial" w:eastAsia="Arial" w:hAnsi="Arial"/>
          <w:sz w:val="24"/>
          <w:szCs w:val="24"/>
        </w:rPr>
        <w:t xml:space="preserve">набор мебели - группа разных по назначению изделий мебели, согласованных между собой по размерам, конструкции, облицовке и отделке, выполненных в едином архитектурно-художественном решении;</w:t>
      </w:r>
    </w:p>
    <w:p>
      <w:pPr>
        <w:spacing w:after="120"/>
        <w:jc w:val="both"/>
      </w:pPr>
      <w:r>
        <w:rPr>
          <w:rFonts w:ascii="Arial" w:cs="Arial" w:eastAsia="Arial" w:hAnsi="Arial"/>
          <w:sz w:val="24"/>
          <w:szCs w:val="24"/>
        </w:rPr>
        <w:t xml:space="preserve">отделка - создание на поверхности мебельных изделий защитно-декоративных или защитных покрытий;</w:t>
      </w:r>
    </w:p>
    <w:p>
      <w:pPr>
        <w:spacing w:after="120"/>
        <w:jc w:val="both"/>
      </w:pPr>
      <w:r>
        <w:rPr>
          <w:rFonts w:ascii="Arial" w:cs="Arial" w:eastAsia="Arial" w:hAnsi="Arial"/>
          <w:sz w:val="24"/>
          <w:szCs w:val="24"/>
        </w:rPr>
        <w:t xml:space="preserve">орган по аккредитации - орган, уполномоченный в соответствии с законодательством Кыргызской Республики на проведение аккредитации;</w:t>
      </w:r>
    </w:p>
    <w:p>
      <w:pPr>
        <w:spacing w:after="120"/>
        <w:jc w:val="both"/>
      </w:pPr>
      <w:r>
        <w:rPr>
          <w:rFonts w:ascii="Arial" w:cs="Arial" w:eastAsia="Arial" w:hAnsi="Arial"/>
          <w:sz w:val="24"/>
          <w:szCs w:val="24"/>
        </w:rPr>
        <w:t xml:space="preserve">продукция - результат деятельности, представленный в материально-вещественной форме и предназначенный для дальнейшего использования в хозяйственных и иных целях;</w:t>
      </w:r>
    </w:p>
    <w:p>
      <w:pPr>
        <w:spacing w:after="120"/>
        <w:jc w:val="both"/>
      </w:pPr>
      <w:r>
        <w:rPr>
          <w:rFonts w:ascii="Arial" w:cs="Arial" w:eastAsia="Arial" w:hAnsi="Arial"/>
          <w:sz w:val="24"/>
          <w:szCs w:val="24"/>
        </w:rPr>
        <w:t xml:space="preserve">производственный контроль изготовителя - технический контроль, осуществляемый и документально оформляемый изготовителем в процессе производства мебельной продукции;</w:t>
      </w:r>
    </w:p>
    <w:p>
      <w:pPr>
        <w:spacing w:after="120"/>
        <w:jc w:val="both"/>
      </w:pPr>
      <w:r>
        <w:rPr>
          <w:rFonts w:ascii="Arial" w:cs="Arial" w:eastAsia="Arial" w:hAnsi="Arial"/>
          <w:sz w:val="24"/>
          <w:szCs w:val="24"/>
        </w:rPr>
        <w:t xml:space="preserve">покрытие - все слои материалов, нанесенные на поверхность конструкционных материалов, включая грунты, лаки, краски, эмали, полимеры, бумагу, древесный шпон, бумажно-слоистый пластик, пленки, ткани и другие подобные вещества;</w:t>
      </w:r>
    </w:p>
    <w:p>
      <w:pPr>
        <w:spacing w:after="120"/>
        <w:jc w:val="both"/>
      </w:pPr>
      <w:r>
        <w:rPr>
          <w:rFonts w:ascii="Arial" w:cs="Arial" w:eastAsia="Arial" w:hAnsi="Arial"/>
          <w:sz w:val="24"/>
          <w:szCs w:val="24"/>
        </w:rPr>
        <w:t xml:space="preserve">трансформируемая мебель - мебель, конструкция которой позволяет менять ее функциональное назначение и (или) размеры;</w:t>
      </w:r>
    </w:p>
    <w:p>
      <w:pPr>
        <w:spacing w:after="120"/>
        <w:jc w:val="both"/>
      </w:pPr>
      <w:r>
        <w:rPr>
          <w:rFonts w:ascii="Arial" w:cs="Arial" w:eastAsia="Arial" w:hAnsi="Arial"/>
          <w:sz w:val="24"/>
          <w:szCs w:val="24"/>
        </w:rPr>
        <w:t xml:space="preserve">уполномоченный представитель - юридическое лицо или индивидуальный предприниматель, заключившие договор с изготовителем на право вести торговлю изделиями, несущие ответственность за их безопасность от его имени в соответствии с законодательством Кыргызской Республики;</w:t>
      </w:r>
    </w:p>
    <w:p>
      <w:pPr>
        <w:spacing w:after="120"/>
        <w:jc w:val="both"/>
      </w:pPr>
      <w:r>
        <w:rPr>
          <w:rFonts w:ascii="Arial" w:cs="Arial" w:eastAsia="Arial" w:hAnsi="Arial"/>
          <w:sz w:val="24"/>
          <w:szCs w:val="24"/>
        </w:rPr>
        <w:t xml:space="preserve">устойчивость - способность изделия противостоять усилиям, стремящимся вывести его из исходного положения, опрокинуть;</w:t>
      </w:r>
    </w:p>
    <w:p>
      <w:pPr>
        <w:spacing w:after="120"/>
        <w:jc w:val="both"/>
      </w:pPr>
      <w:r>
        <w:rPr>
          <w:rFonts w:ascii="Arial" w:cs="Arial" w:eastAsia="Arial" w:hAnsi="Arial"/>
          <w:sz w:val="24"/>
          <w:szCs w:val="24"/>
        </w:rPr>
        <w:t xml:space="preserve">универсально-сборная мебель - корпусная мебель из унифицированных деталей, в результате чего возможна многовариантная сборка изделий;</w:t>
      </w:r>
    </w:p>
    <w:p>
      <w:pPr>
        <w:spacing w:after="120"/>
        <w:jc w:val="both"/>
      </w:pPr>
      <w:r>
        <w:rPr>
          <w:rFonts w:ascii="Arial" w:cs="Arial" w:eastAsia="Arial" w:hAnsi="Arial"/>
          <w:sz w:val="24"/>
          <w:szCs w:val="24"/>
        </w:rPr>
        <w:t xml:space="preserve">ударная прочность (прочность на удар) - прочность конструкции при приложении нагрузки с высокой скоростью.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Правила обращения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Мебельная продукция выпускается в обращение на рынке при ее соответствии настоящему Техническому регламенту.</w:t>
      </w:r>
    </w:p>
    <w:p>
      <w:pPr>
        <w:spacing w:after="120"/>
        <w:jc w:val="both"/>
      </w:pPr>
      <w:r>
        <w:rPr>
          <w:rFonts w:ascii="Arial" w:cs="Arial" w:eastAsia="Arial" w:hAnsi="Arial"/>
          <w:sz w:val="24"/>
          <w:szCs w:val="24"/>
        </w:rPr>
        <w:t xml:space="preserve">7. Изготовитель, продавец, импортер, либо уполномоченное изготовителем лицо, размещающее мебель на рынке, обязаны:</w:t>
      </w:r>
    </w:p>
    <w:p>
      <w:pPr>
        <w:spacing w:after="120"/>
        <w:jc w:val="both"/>
      </w:pPr>
      <w:r>
        <w:rPr>
          <w:rFonts w:ascii="Arial" w:cs="Arial" w:eastAsia="Arial" w:hAnsi="Arial"/>
          <w:sz w:val="24"/>
          <w:szCs w:val="24"/>
        </w:rPr>
        <w:t xml:space="preserve">обеспечить соответствие требований безопасности мебельной продукции настоящему Техническому регламенту;</w:t>
      </w:r>
    </w:p>
    <w:p>
      <w:pPr>
        <w:spacing w:after="120"/>
        <w:jc w:val="both"/>
      </w:pPr>
      <w:r>
        <w:rPr>
          <w:rFonts w:ascii="Arial" w:cs="Arial" w:eastAsia="Arial" w:hAnsi="Arial"/>
          <w:sz w:val="24"/>
          <w:szCs w:val="24"/>
        </w:rPr>
        <w:t xml:space="preserve">обеспечить безопасность продукции на протяжении срока службы, установленного изготовителем;</w:t>
      </w:r>
    </w:p>
    <w:p>
      <w:pPr>
        <w:spacing w:after="120"/>
        <w:jc w:val="both"/>
      </w:pPr>
      <w:r>
        <w:rPr>
          <w:rFonts w:ascii="Arial" w:cs="Arial" w:eastAsia="Arial" w:hAnsi="Arial"/>
          <w:sz w:val="24"/>
          <w:szCs w:val="24"/>
        </w:rPr>
        <w:t xml:space="preserve">указать в сопроводительной документации и при маркировке продукции сведения о сертификате соответствия или декларации о соответствии;</w:t>
      </w:r>
    </w:p>
    <w:p>
      <w:pPr>
        <w:spacing w:after="120"/>
        <w:jc w:val="both"/>
      </w:pPr>
      <w:r>
        <w:rPr>
          <w:rFonts w:ascii="Arial" w:cs="Arial" w:eastAsia="Arial" w:hAnsi="Arial"/>
          <w:sz w:val="24"/>
          <w:szCs w:val="24"/>
        </w:rPr>
        <w:t xml:space="preserve">предъявлять в органы государственного надзора за соблюдением технических регламентов, заинтересованным лицам, в том числе при размещении продукции под таможенный режим, документы, свидетельствующие о подтверждении соответствия мебельной продукции требованиям настоящего Технического регламента (декларация о соответствии, сертификат соответствия или их копии);</w:t>
      </w:r>
    </w:p>
    <w:p>
      <w:pPr>
        <w:spacing w:after="120"/>
        <w:jc w:val="both"/>
      </w:pPr>
      <w:r>
        <w:rPr>
          <w:rFonts w:ascii="Arial" w:cs="Arial" w:eastAsia="Arial" w:hAnsi="Arial"/>
          <w:sz w:val="24"/>
          <w:szCs w:val="24"/>
        </w:rPr>
        <w:t xml:space="preserve">извещать орган по сертификации об изменениях, вносимых в техническую документацию или технологические процессы производства сертифицированной мебельной продукции;</w:t>
      </w:r>
    </w:p>
    <w:p>
      <w:pPr>
        <w:spacing w:after="120"/>
        <w:jc w:val="both"/>
      </w:pPr>
      <w:r>
        <w:rPr>
          <w:rFonts w:ascii="Arial" w:cs="Arial" w:eastAsia="Arial" w:hAnsi="Arial"/>
          <w:sz w:val="24"/>
          <w:szCs w:val="24"/>
        </w:rPr>
        <w:t xml:space="preserve">приостанавливать или прекращать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либо прекращено;</w:t>
      </w:r>
    </w:p>
    <w:p>
      <w:pPr>
        <w:spacing w:after="120"/>
        <w:jc w:val="both"/>
      </w:pPr>
      <w:r>
        <w:rPr>
          <w:rFonts w:ascii="Arial" w:cs="Arial" w:eastAsia="Arial" w:hAnsi="Arial"/>
          <w:sz w:val="24"/>
          <w:szCs w:val="24"/>
        </w:rPr>
        <w:t xml:space="preserve">приостанавливать производство мебельной продукции, которая прошла подтверждение соответствия и не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8. Мебельная продукция, соответствие которой требованиям настоящего Технического регламента не подтверждено, не допускается к выпуску в обращение на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безопасности к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Мебельная продукция должна соответствовать требованиям настоящего Технического регламента в процессе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jc w:val="both"/>
      </w:pPr>
      <w:r>
        <w:rPr>
          <w:rFonts w:ascii="Arial" w:cs="Arial" w:eastAsia="Arial" w:hAnsi="Arial"/>
          <w:sz w:val="24"/>
          <w:szCs w:val="24"/>
        </w:rPr>
        <w:t xml:space="preserve">10. Мебель должна быть спроектирована и изготовлена с соблюдением условий и правил эксплуатации мебельной продукции, должна обеспечивать следующее:</w:t>
      </w:r>
    </w:p>
    <w:p>
      <w:pPr>
        <w:spacing w:after="120"/>
        <w:jc w:val="both"/>
      </w:pPr>
      <w:r>
        <w:rPr>
          <w:rFonts w:ascii="Arial" w:cs="Arial" w:eastAsia="Arial" w:hAnsi="Arial"/>
          <w:sz w:val="24"/>
          <w:szCs w:val="24"/>
        </w:rPr>
        <w:t xml:space="preserve">- механическую безопасность;</w:t>
      </w:r>
    </w:p>
    <w:p>
      <w:pPr>
        <w:spacing w:after="120"/>
        <w:jc w:val="both"/>
      </w:pPr>
      <w:r>
        <w:rPr>
          <w:rFonts w:ascii="Arial" w:cs="Arial" w:eastAsia="Arial" w:hAnsi="Arial"/>
          <w:sz w:val="24"/>
          <w:szCs w:val="24"/>
        </w:rPr>
        <w:t xml:space="preserve">- химическую безопасность;</w:t>
      </w:r>
    </w:p>
    <w:p>
      <w:pPr>
        <w:spacing w:after="120"/>
        <w:jc w:val="both"/>
      </w:pPr>
      <w:r>
        <w:rPr>
          <w:rFonts w:ascii="Arial" w:cs="Arial" w:eastAsia="Arial" w:hAnsi="Arial"/>
          <w:sz w:val="24"/>
          <w:szCs w:val="24"/>
        </w:rPr>
        <w:t xml:space="preserve">- радиационную безопасность;</w:t>
      </w:r>
    </w:p>
    <w:p>
      <w:pPr>
        <w:spacing w:after="120"/>
        <w:jc w:val="both"/>
      </w:pPr>
      <w:r>
        <w:rPr>
          <w:rFonts w:ascii="Arial" w:cs="Arial" w:eastAsia="Arial" w:hAnsi="Arial"/>
          <w:sz w:val="24"/>
          <w:szCs w:val="24"/>
        </w:rPr>
        <w:t xml:space="preserve">- пожарную безопасность;</w:t>
      </w:r>
    </w:p>
    <w:p>
      <w:pPr>
        <w:spacing w:after="120"/>
        <w:jc w:val="both"/>
      </w:pPr>
      <w:r>
        <w:rPr>
          <w:rFonts w:ascii="Arial" w:cs="Arial" w:eastAsia="Arial" w:hAnsi="Arial"/>
          <w:sz w:val="24"/>
          <w:szCs w:val="24"/>
        </w:rPr>
        <w:t xml:space="preserve">- электрическую безопасность.</w:t>
      </w:r>
    </w:p>
    <w:p>
      <w:pPr>
        <w:spacing w:after="120"/>
        <w:jc w:val="both"/>
      </w:pPr>
      <w:r>
        <w:rPr>
          <w:rFonts w:ascii="Arial" w:cs="Arial" w:eastAsia="Arial" w:hAnsi="Arial"/>
          <w:sz w:val="24"/>
          <w:szCs w:val="24"/>
        </w:rPr>
        <w:t xml:space="preserve">11. Механическая безопасность мебельной продукции должна обеспечиваться:</w:t>
      </w:r>
    </w:p>
    <w:p>
      <w:pPr>
        <w:spacing w:after="120"/>
        <w:jc w:val="both"/>
      </w:pPr>
      <w:r>
        <w:rPr>
          <w:rFonts w:ascii="Arial" w:cs="Arial" w:eastAsia="Arial" w:hAnsi="Arial"/>
          <w:sz w:val="24"/>
          <w:szCs w:val="24"/>
        </w:rPr>
        <w:t xml:space="preserve">необходимым уровнем устойчивости, статической и ударной прочностью, жесткостью, долговечностью;</w:t>
      </w:r>
    </w:p>
    <w:p>
      <w:pPr>
        <w:spacing w:after="120"/>
        <w:jc w:val="both"/>
      </w:pPr>
      <w:r>
        <w:rPr>
          <w:rFonts w:ascii="Arial" w:cs="Arial" w:eastAsia="Arial" w:hAnsi="Arial"/>
          <w:sz w:val="24"/>
          <w:szCs w:val="24"/>
        </w:rPr>
        <w:t xml:space="preserve">необходимым уровнем защиты от травм при эксплуатации изделий, в том числе трансформируемых изделий, выдвижных и раздвижных элементов мебели (надежная фиксация и крепление элементов, защита от самопроизвольного открывания, отсутствие острых выступающих частей и заусенцев;</w:t>
      </w:r>
    </w:p>
    <w:p>
      <w:pPr>
        <w:spacing w:after="120"/>
        <w:jc w:val="both"/>
      </w:pPr>
      <w:r>
        <w:rPr>
          <w:rFonts w:ascii="Arial" w:cs="Arial" w:eastAsia="Arial" w:hAnsi="Arial"/>
          <w:sz w:val="24"/>
          <w:szCs w:val="24"/>
        </w:rPr>
        <w:t xml:space="preserve">притуплением и закруглением доступных углов и ребер крышек столов, сидений и спинок стульев, спинок кроватей), отдельных деталей, лицевой и крепежной фурнитуры, механизмов трансформации изделий;</w:t>
      </w:r>
    </w:p>
    <w:p>
      <w:pPr>
        <w:spacing w:after="120"/>
        <w:jc w:val="both"/>
      </w:pPr>
      <w:r>
        <w:rPr>
          <w:rFonts w:ascii="Arial" w:cs="Arial" w:eastAsia="Arial" w:hAnsi="Arial"/>
          <w:sz w:val="24"/>
          <w:szCs w:val="24"/>
        </w:rPr>
        <w:t xml:space="preserve">необходимым уровнем защиты от травм при эксплуатации изделий из стекла или при сочетании стекла с металлом, древесными и полимерными материалами (использование специальных видов стекла - закаленное, отожженное, армированное и многослойное, обработка кромок и торцов изделий из стекла шлифованием, полированием со снятием фаски, изготовлением фацета, отсутствие крупных осколков стекла при его возможном разрушении);</w:t>
      </w:r>
    </w:p>
    <w:p>
      <w:pPr>
        <w:spacing w:after="120"/>
        <w:jc w:val="both"/>
      </w:pPr>
      <w:r>
        <w:rPr>
          <w:rFonts w:ascii="Arial" w:cs="Arial" w:eastAsia="Arial" w:hAnsi="Arial"/>
          <w:sz w:val="24"/>
          <w:szCs w:val="24"/>
        </w:rPr>
        <w:t xml:space="preserve">отсутствием недопустимого риска, возникновения опасности падения детей из детских и многоярусных кроватей, ущемления частей тела при эксплуатации детских и многоярусных кроватей;</w:t>
      </w:r>
    </w:p>
    <w:p>
      <w:pPr>
        <w:spacing w:after="120"/>
        <w:jc w:val="both"/>
      </w:pPr>
      <w:r>
        <w:rPr>
          <w:rFonts w:ascii="Arial" w:cs="Arial" w:eastAsia="Arial" w:hAnsi="Arial"/>
          <w:sz w:val="24"/>
          <w:szCs w:val="24"/>
        </w:rPr>
        <w:t xml:space="preserve">необходимым уровнем защиты здоровья человека, особенно детей и подростков, от несоблюдения функциональных размеров мебели и требований эргономики и антропометрических показателей граждан.</w:t>
      </w:r>
    </w:p>
    <w:p>
      <w:pPr>
        <w:spacing w:after="120"/>
        <w:jc w:val="both"/>
      </w:pPr>
      <w:r>
        <w:rPr>
          <w:rFonts w:ascii="Arial" w:cs="Arial" w:eastAsia="Arial" w:hAnsi="Arial"/>
          <w:sz w:val="24"/>
          <w:szCs w:val="24"/>
        </w:rPr>
        <w:t xml:space="preserve">12. Химическая безопасность мебельной продукции должна обеспечиваться:</w:t>
      </w:r>
    </w:p>
    <w:p>
      <w:pPr>
        <w:spacing w:after="120"/>
        <w:jc w:val="both"/>
      </w:pPr>
      <w:r>
        <w:rPr>
          <w:rFonts w:ascii="Arial" w:cs="Arial" w:eastAsia="Arial" w:hAnsi="Arial"/>
          <w:sz w:val="24"/>
          <w:szCs w:val="24"/>
        </w:rPr>
        <w:t xml:space="preserve">1) отсутствием недопустимого риска возникновения опасности;</w:t>
      </w:r>
    </w:p>
    <w:p>
      <w:pPr>
        <w:spacing w:after="120"/>
        <w:jc w:val="both"/>
      </w:pPr>
      <w:r>
        <w:rPr>
          <w:rFonts w:ascii="Arial" w:cs="Arial" w:eastAsia="Arial" w:hAnsi="Arial"/>
          <w:sz w:val="24"/>
          <w:szCs w:val="24"/>
        </w:rPr>
        <w:t xml:space="preserve">2) уровнем недопустимости выделения вредных веществ в воздух среды обитания человека из-за использования синтетических, полимерных, смесовых и композиционных материалов;</w:t>
      </w:r>
    </w:p>
    <w:p>
      <w:pPr>
        <w:spacing w:after="120"/>
        <w:jc w:val="both"/>
      </w:pPr>
      <w:r>
        <w:rPr>
          <w:rFonts w:ascii="Arial" w:cs="Arial" w:eastAsia="Arial" w:hAnsi="Arial"/>
          <w:sz w:val="24"/>
          <w:szCs w:val="24"/>
        </w:rPr>
        <w:t xml:space="preserve">3) недопустимостью вредных последствий для здоровья человека и окружающей среды применяемыми лакокрасочными и иными средствами покрытия древесноволокнистых и конструкционных древесностружечных плит;</w:t>
      </w:r>
    </w:p>
    <w:p>
      <w:pPr>
        <w:spacing w:after="120"/>
        <w:jc w:val="both"/>
      </w:pPr>
      <w:r>
        <w:rPr>
          <w:rFonts w:ascii="Arial" w:cs="Arial" w:eastAsia="Arial" w:hAnsi="Arial"/>
          <w:sz w:val="24"/>
          <w:szCs w:val="24"/>
        </w:rPr>
        <w:t xml:space="preserve">4) наличием документов, подтверждающих безопасность продукции, выданных на основании действующих гигиенических норм для вредных веществ.</w:t>
      </w:r>
    </w:p>
    <w:p>
      <w:pPr>
        <w:spacing w:after="120"/>
        <w:jc w:val="both"/>
      </w:pPr>
      <w:r>
        <w:rPr>
          <w:rFonts w:ascii="Arial" w:cs="Arial" w:eastAsia="Arial" w:hAnsi="Arial"/>
          <w:sz w:val="24"/>
          <w:szCs w:val="24"/>
        </w:rPr>
        <w:t xml:space="preserve">13. Содержание удельной эффективной активности естественных радионуклидов не должен превышать 370 Бк/кг.</w:t>
      </w:r>
    </w:p>
    <w:p>
      <w:pPr>
        <w:spacing w:after="120"/>
        <w:jc w:val="both"/>
      </w:pPr>
      <w:r>
        <w:rPr>
          <w:rFonts w:ascii="Arial" w:cs="Arial" w:eastAsia="Arial" w:hAnsi="Arial"/>
          <w:sz w:val="24"/>
          <w:szCs w:val="24"/>
        </w:rPr>
        <w:t xml:space="preserve">14. Соблюдение уровня электрической безопасности и изоляционной защиты при комплектации мебели встроенными электроосветительными приборами, электротехническим оборудованием и электроприводами, подтвержденной в порядке, предусмотренном для этой продукции.</w:t>
      </w:r>
    </w:p>
    <w:p>
      <w:pPr>
        <w:spacing w:after="120"/>
        <w:jc w:val="both"/>
      </w:pPr>
      <w:r>
        <w:rPr>
          <w:rFonts w:ascii="Arial" w:cs="Arial" w:eastAsia="Arial" w:hAnsi="Arial"/>
          <w:sz w:val="24"/>
          <w:szCs w:val="24"/>
        </w:rPr>
        <w:t xml:space="preserve">15. Соблюдение уровня пожарной безопасности текстильных и кожевенных материалов, применяемых при изготовлении мягких элементов мебели для сидения и лежания, обеспечивается соответствующими требованиями </w:t>
      </w:r>
      <w:hyperlink w:history="1" r:id="rIdlyhqtce-8fyjcx7dxkr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пожарной безопасности".</w:t>
      </w:r>
    </w:p>
    <w:p>
      <w:pPr>
        <w:spacing w:after="120"/>
        <w:jc w:val="both"/>
      </w:pPr>
      <w:r>
        <w:rPr>
          <w:rFonts w:ascii="Arial" w:cs="Arial" w:eastAsia="Arial" w:hAnsi="Arial"/>
          <w:sz w:val="24"/>
          <w:szCs w:val="24"/>
        </w:rPr>
        <w:t xml:space="preserve">16. Требования безопасности, методы контроля, измерений и испытаний мебельной продукции, упаковки, транспортировки на соответствие требованиям настоящего Технического регламента, а также правила отбора образцов на испытания установлены в стандартах, взаимосвязанных с настоящим Техническим регламентом.</w:t>
      </w:r>
    </w:p>
    <w:p>
      <w:pPr>
        <w:spacing w:after="120"/>
        <w:jc w:val="both"/>
      </w:pPr>
      <w:r>
        <w:rPr>
          <w:rFonts w:ascii="Arial" w:cs="Arial" w:eastAsia="Arial" w:hAnsi="Arial"/>
          <w:sz w:val="24"/>
          <w:szCs w:val="24"/>
        </w:rPr>
        <w:t xml:space="preserve">17. Ученические столы должны изготовляться двух типов, одноместными или двухместными:</w:t>
      </w:r>
    </w:p>
    <w:p>
      <w:pPr>
        <w:spacing w:after="120"/>
        <w:jc w:val="both"/>
      </w:pPr>
      <w:r>
        <w:rPr>
          <w:rFonts w:ascii="Arial" w:cs="Arial" w:eastAsia="Arial" w:hAnsi="Arial"/>
          <w:sz w:val="24"/>
          <w:szCs w:val="24"/>
        </w:rPr>
        <w:t xml:space="preserve">I - столы с постоянными параметрами;</w:t>
      </w:r>
    </w:p>
    <w:p>
      <w:pPr>
        <w:spacing w:after="120"/>
        <w:jc w:val="both"/>
      </w:pPr>
      <w:r>
        <w:rPr>
          <w:rFonts w:ascii="Arial" w:cs="Arial" w:eastAsia="Arial" w:hAnsi="Arial"/>
          <w:sz w:val="24"/>
          <w:szCs w:val="24"/>
        </w:rPr>
        <w:t xml:space="preserve">II - столы с регулируемыми параметрами.</w:t>
      </w:r>
    </w:p>
    <w:p>
      <w:pPr>
        <w:spacing w:after="120"/>
        <w:jc w:val="both"/>
      </w:pPr>
      <w:r>
        <w:rPr>
          <w:rFonts w:ascii="Arial" w:cs="Arial" w:eastAsia="Arial" w:hAnsi="Arial"/>
          <w:sz w:val="24"/>
          <w:szCs w:val="24"/>
        </w:rPr>
        <w:t xml:space="preserve">18. Ученические столы должны изготовляться шести номеров, иметь цветовую маркировку в соответствии с пунктом 38 настоящего Технического регламента, и размеры должны соответствовать указанным в </w:t>
      </w:r>
      <w:hyperlink w:history="1" r:id="rId47ctur4bzesjdjzvarkgs">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19. Крышка стола должна быть горизонтальной или иметь приспособления для установки ее горизонтально и под углом от 7 град. до 16 град. При переводе крышки в наклонное положение высота края стола, обращенного к ученику, не должна уменьшаться более чем на 10 мм.</w:t>
      </w:r>
    </w:p>
    <w:p>
      <w:pPr>
        <w:spacing w:after="120"/>
        <w:jc w:val="both"/>
      </w:pPr>
      <w:r>
        <w:rPr>
          <w:rFonts w:ascii="Arial" w:cs="Arial" w:eastAsia="Arial" w:hAnsi="Arial"/>
          <w:sz w:val="24"/>
          <w:szCs w:val="24"/>
        </w:rPr>
        <w:t xml:space="preserve">20. При наличии в ученических столах полки высота ниши должна быть не менее 60 мм.</w:t>
      </w:r>
    </w:p>
    <w:p>
      <w:pPr>
        <w:spacing w:after="120"/>
        <w:jc w:val="both"/>
      </w:pPr>
      <w:r>
        <w:rPr>
          <w:rFonts w:ascii="Arial" w:cs="Arial" w:eastAsia="Arial" w:hAnsi="Arial"/>
          <w:sz w:val="24"/>
          <w:szCs w:val="24"/>
        </w:rPr>
        <w:t xml:space="preserve">21. Столы типа II должны регулироваться по высоте:</w:t>
      </w:r>
    </w:p>
    <w:p>
      <w:pPr>
        <w:spacing w:after="120"/>
        <w:jc w:val="both"/>
      </w:pPr>
      <w:r>
        <w:rPr>
          <w:rFonts w:ascii="Arial" w:cs="Arial" w:eastAsia="Arial" w:hAnsi="Arial"/>
          <w:sz w:val="24"/>
          <w:szCs w:val="24"/>
        </w:rPr>
        <w:t xml:space="preserve">- вариант 1 - на шесть номеров 1-6;</w:t>
      </w:r>
    </w:p>
    <w:p>
      <w:pPr>
        <w:spacing w:after="120"/>
        <w:jc w:val="both"/>
      </w:pPr>
      <w:r>
        <w:rPr>
          <w:rFonts w:ascii="Arial" w:cs="Arial" w:eastAsia="Arial" w:hAnsi="Arial"/>
          <w:sz w:val="24"/>
          <w:szCs w:val="24"/>
        </w:rPr>
        <w:t xml:space="preserve">- вариант 2 - на три номера 1-3 и 4-6.</w:t>
      </w:r>
    </w:p>
    <w:p>
      <w:pPr>
        <w:spacing w:after="120"/>
        <w:jc w:val="both"/>
      </w:pPr>
      <w:r>
        <w:rPr>
          <w:rFonts w:ascii="Arial" w:cs="Arial" w:eastAsia="Arial" w:hAnsi="Arial"/>
          <w:sz w:val="24"/>
          <w:szCs w:val="24"/>
        </w:rPr>
        <w:t xml:space="preserve">Высота рабочей плоскости (h1) и расстояние от пола до нижней кромки элементов, выступающих под крышкой стола, у ее края (высота пространства для ног) h2, должны изменяться в соответствии с таблицей 2 приложения 3 к настоящему Техническому регламенту. Остальные размеры столов должны соответствовать:</w:t>
      </w:r>
    </w:p>
    <w:p>
      <w:pPr>
        <w:spacing w:after="120"/>
        <w:jc w:val="both"/>
      </w:pPr>
      <w:r>
        <w:rPr>
          <w:rFonts w:ascii="Arial" w:cs="Arial" w:eastAsia="Arial" w:hAnsi="Arial"/>
          <w:sz w:val="24"/>
          <w:szCs w:val="24"/>
        </w:rPr>
        <w:t xml:space="preserve">столы № 1-6 и № 4-6 - размерам для номера 6 таблицы 2 в </w:t>
      </w:r>
      <w:hyperlink w:history="1" r:id="rIdymonrxwfriz7kpzqfuai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столы № 1-3 - размерам для номера 3 таблицы 2 в </w:t>
      </w:r>
      <w:hyperlink w:history="1" r:id="rIdkc5gcdlo6p-azgvhjcgzp">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22. В столах с крышками, устанавливаемыми в двух положениях - горизонтальном и наклонном, должны быть углубления для ручек и карандашей. Расстояние от кромки крышки со стороны сидящего до углубления должно быть не менее 380 мм. Столы с горизонтальными крышками допускается изготовлять без углублений для ручки и карандаша.</w:t>
      </w:r>
    </w:p>
    <w:p>
      <w:pPr>
        <w:spacing w:after="120"/>
        <w:jc w:val="both"/>
      </w:pPr>
      <w:r>
        <w:rPr>
          <w:rFonts w:ascii="Arial" w:cs="Arial" w:eastAsia="Arial" w:hAnsi="Arial"/>
          <w:sz w:val="24"/>
          <w:szCs w:val="24"/>
        </w:rPr>
        <w:t xml:space="preserve">23. Углы крышек стола, а также углы сиденья и спинки стула должны быть притуплены (зашлифованы) или иметь в плане округления.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безопасности мебельной продукции при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Мебельная продукция, выпущенная в свободное обращение, у покупателя (потребителя) должна эксплуатироваться в соответствии с условиями, указанными в маркировке, и назначением изделий.</w:t>
      </w:r>
    </w:p>
    <w:p>
      <w:pPr>
        <w:spacing w:after="120"/>
        <w:jc w:val="both"/>
      </w:pPr>
      <w:r>
        <w:rPr>
          <w:rFonts w:ascii="Arial" w:cs="Arial" w:eastAsia="Arial" w:hAnsi="Arial"/>
          <w:sz w:val="24"/>
          <w:szCs w:val="24"/>
        </w:rPr>
        <w:t xml:space="preserve">25. Использование мебельной продукции должно осуществляться по назначению изделия, указанному в маркировке, инструкции по сборке согласно пунктам 35-37 настоящего Технического регламента.</w:t>
      </w:r>
    </w:p>
    <w:p>
      <w:pPr>
        <w:spacing w:after="120"/>
        <w:jc w:val="both"/>
      </w:pPr>
      <w:r>
        <w:rPr>
          <w:rFonts w:ascii="Arial" w:cs="Arial" w:eastAsia="Arial" w:hAnsi="Arial"/>
          <w:sz w:val="24"/>
          <w:szCs w:val="24"/>
        </w:rPr>
        <w:t xml:space="preserve">26. При эксплуатации мебельной продукции необходимо исключить попадание воды на элементы изделий, соприкасающихся с полом. При монтаже моек, раковин в изделиях мебели для кухни, ванных комнат, лабораторной мебели должна быть предусмотрена их гидроизоляция в местах контакта с поверхностью корпуса изделия мебели.</w:t>
      </w:r>
    </w:p>
    <w:p>
      <w:pPr>
        <w:spacing w:after="120"/>
        <w:jc w:val="both"/>
      </w:pPr>
      <w:r>
        <w:rPr>
          <w:rFonts w:ascii="Arial" w:cs="Arial" w:eastAsia="Arial" w:hAnsi="Arial"/>
          <w:sz w:val="24"/>
          <w:szCs w:val="24"/>
        </w:rPr>
        <w:t xml:space="preserve">27. Поверхности мебельной продукции при эксплуатации должны быть защищены потребителем от нагрева при установке изделий в непосредственной близости от нагревательных и отопительных приборов.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к процессу хранения и перевозки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Сроки годности и условия хранения мебельной продукции должны быть установлены изготовителем таким образом, чтобы при хранении в соответствии с установленными условиями хранения мебельная продукция не приобретала опасных для здоровья человека свойств.</w:t>
      </w:r>
    </w:p>
    <w:p>
      <w:pPr>
        <w:spacing w:after="120"/>
        <w:jc w:val="both"/>
      </w:pPr>
      <w:r>
        <w:rPr>
          <w:rFonts w:ascii="Arial" w:cs="Arial" w:eastAsia="Arial" w:hAnsi="Arial"/>
          <w:sz w:val="24"/>
          <w:szCs w:val="24"/>
        </w:rPr>
        <w:t xml:space="preserve">29. Помещения, предназначенные для хранения мебельной продукции, должны быть оснащены контрольно-измерительными приборами для контроля условий хранения.</w:t>
      </w:r>
    </w:p>
    <w:p>
      <w:pPr>
        <w:spacing w:after="120"/>
        <w:jc w:val="both"/>
      </w:pPr>
      <w:r>
        <w:rPr>
          <w:rFonts w:ascii="Arial" w:cs="Arial" w:eastAsia="Arial" w:hAnsi="Arial"/>
          <w:sz w:val="24"/>
          <w:szCs w:val="24"/>
        </w:rPr>
        <w:t xml:space="preserve">30. Изделия мебели должны храниться в крытых помещениях отправителя (получателя) при температуре, установленной изготовителем.</w:t>
      </w:r>
    </w:p>
    <w:p>
      <w:pPr>
        <w:spacing w:after="120"/>
        <w:jc w:val="both"/>
      </w:pPr>
      <w:r>
        <w:rPr>
          <w:rFonts w:ascii="Arial" w:cs="Arial" w:eastAsia="Arial" w:hAnsi="Arial"/>
          <w:sz w:val="24"/>
          <w:szCs w:val="24"/>
        </w:rPr>
        <w:t xml:space="preserve">31. Мебель транспортируют в крытых транспортных средствах, а также в контейнерах в соответствии с правилами перевозки грузов. В пределах одного населенного пункта мебель допускается перевозить открытым автотранспортом при условии предохранения ее от повреждения, загрязнения и атмосферных осадков.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Требования к процессу реализации и утилизации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Мебельная продукция допускается к реализации при условии, что она имеет документ, подтверждающий требования настоящего Технического регламента.</w:t>
      </w:r>
    </w:p>
    <w:p>
      <w:pPr>
        <w:spacing w:after="120"/>
        <w:jc w:val="both"/>
      </w:pPr>
      <w:r>
        <w:rPr>
          <w:rFonts w:ascii="Arial" w:cs="Arial" w:eastAsia="Arial" w:hAnsi="Arial"/>
          <w:sz w:val="24"/>
          <w:szCs w:val="24"/>
        </w:rPr>
        <w:t xml:space="preserve">33. Продукция мебельного производства, потерявшая свои потребительские свойства, отходы ее производства подлежат утилизации путем обезвреживания, использованию в качестве вторичного сырья и использованию в полезных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Требования к маркировке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Информация для пользователя предоставляется в виде маркировки и инструкции по сборке.</w:t>
      </w:r>
    </w:p>
    <w:p>
      <w:pPr>
        <w:spacing w:after="120"/>
        <w:jc w:val="both"/>
      </w:pPr>
      <w:r>
        <w:rPr>
          <w:rFonts w:ascii="Arial" w:cs="Arial" w:eastAsia="Arial" w:hAnsi="Arial"/>
          <w:sz w:val="24"/>
          <w:szCs w:val="24"/>
        </w:rPr>
        <w:t xml:space="preserve">35. Каждое изделие мебельной продукции должно иметь маркировку на государственном и официальном языках Кыргызской Республики. Маркировка должна быть выполнена типографским, литографским или печатным способом, на этикетке бумажной или тканевой основе, прочно прикрепленной к изделию, поставляемому в собранном виде. Допускается наносить маркировку несмываемой краской, штемпелеванием, выжиганием, продавливанием, а также проставлять отдельные реквизиты штампом или печатным способом.</w:t>
      </w:r>
    </w:p>
    <w:p>
      <w:pPr>
        <w:spacing w:after="120"/>
        <w:jc w:val="both"/>
      </w:pPr>
      <w:r>
        <w:rPr>
          <w:rFonts w:ascii="Arial" w:cs="Arial" w:eastAsia="Arial" w:hAnsi="Arial"/>
          <w:sz w:val="24"/>
          <w:szCs w:val="24"/>
        </w:rPr>
        <w:t xml:space="preserve">36. Маркировка должна быть четкой и содержать:</w:t>
      </w:r>
    </w:p>
    <w:p>
      <w:pPr>
        <w:spacing w:after="120"/>
        <w:jc w:val="both"/>
      </w:pPr>
      <w:r>
        <w:rPr>
          <w:rFonts w:ascii="Arial" w:cs="Arial" w:eastAsia="Arial" w:hAnsi="Arial"/>
          <w:sz w:val="24"/>
          <w:szCs w:val="24"/>
        </w:rPr>
        <w:t xml:space="preserve">- наименование изделия по его функциональному назначению и обозначение изделия;</w:t>
      </w:r>
    </w:p>
    <w:p>
      <w:pPr>
        <w:spacing w:after="120"/>
        <w:jc w:val="both"/>
      </w:pPr>
      <w:r>
        <w:rPr>
          <w:rFonts w:ascii="Arial" w:cs="Arial" w:eastAsia="Arial" w:hAnsi="Arial"/>
          <w:sz w:val="24"/>
          <w:szCs w:val="24"/>
        </w:rPr>
        <w:t xml:space="preserve">- наименование страны-изготовителя;</w:t>
      </w:r>
    </w:p>
    <w:p>
      <w:pPr>
        <w:spacing w:after="120"/>
        <w:jc w:val="both"/>
      </w:pPr>
      <w:r>
        <w:rPr>
          <w:rFonts w:ascii="Arial" w:cs="Arial" w:eastAsia="Arial" w:hAnsi="Arial"/>
          <w:sz w:val="24"/>
          <w:szCs w:val="24"/>
        </w:rPr>
        <w:t xml:space="preserve">- наименование фирмы-изготовителя;</w:t>
      </w:r>
    </w:p>
    <w:p>
      <w:pPr>
        <w:spacing w:after="120"/>
        <w:jc w:val="both"/>
      </w:pPr>
      <w:r>
        <w:rPr>
          <w:rFonts w:ascii="Arial" w:cs="Arial" w:eastAsia="Arial" w:hAnsi="Arial"/>
          <w:sz w:val="24"/>
          <w:szCs w:val="24"/>
        </w:rPr>
        <w:t xml:space="preserve">- юридический адрес изготовителя, продавца или уполномоченного изготовителем лица, импортера;</w:t>
      </w:r>
    </w:p>
    <w:p>
      <w:pPr>
        <w:spacing w:after="120"/>
        <w:jc w:val="both"/>
      </w:pPr>
      <w:r>
        <w:rPr>
          <w:rFonts w:ascii="Arial" w:cs="Arial" w:eastAsia="Arial" w:hAnsi="Arial"/>
          <w:sz w:val="24"/>
          <w:szCs w:val="24"/>
        </w:rPr>
        <w:t xml:space="preserve">- дату выпуска;</w:t>
      </w:r>
    </w:p>
    <w:p>
      <w:pPr>
        <w:spacing w:after="120"/>
        <w:jc w:val="both"/>
      </w:pPr>
      <w:r>
        <w:rPr>
          <w:rFonts w:ascii="Arial" w:cs="Arial" w:eastAsia="Arial" w:hAnsi="Arial"/>
          <w:sz w:val="24"/>
          <w:szCs w:val="24"/>
        </w:rPr>
        <w:t xml:space="preserve">- обозначение настоящего Технического регламента;</w:t>
      </w:r>
    </w:p>
    <w:p>
      <w:pPr>
        <w:spacing w:after="120"/>
        <w:jc w:val="both"/>
      </w:pPr>
      <w:r>
        <w:rPr>
          <w:rFonts w:ascii="Arial" w:cs="Arial" w:eastAsia="Arial" w:hAnsi="Arial"/>
          <w:sz w:val="24"/>
          <w:szCs w:val="24"/>
        </w:rPr>
        <w:t xml:space="preserve">- товарный знак фирмы-изготовителя (при наличии); обозначение знака соответствия;</w:t>
      </w:r>
    </w:p>
    <w:p>
      <w:pPr>
        <w:spacing w:after="120"/>
        <w:jc w:val="both"/>
      </w:pPr>
      <w:r>
        <w:rPr>
          <w:rFonts w:ascii="Arial" w:cs="Arial" w:eastAsia="Arial" w:hAnsi="Arial"/>
          <w:sz w:val="24"/>
          <w:szCs w:val="24"/>
        </w:rPr>
        <w:t xml:space="preserve">- сведения о сертификате или декларации о соответствии.</w:t>
      </w:r>
    </w:p>
    <w:p>
      <w:pPr>
        <w:spacing w:after="120"/>
        <w:jc w:val="both"/>
      </w:pPr>
      <w:r>
        <w:rPr>
          <w:rFonts w:ascii="Arial" w:cs="Arial" w:eastAsia="Arial" w:hAnsi="Arial"/>
          <w:sz w:val="24"/>
          <w:szCs w:val="24"/>
        </w:rPr>
        <w:t xml:space="preserve">37. В маркировке детских и ученических стульев, столов, парт для общественных помещений должны быть указаны в числителе - ростовой номер, в знаменателе - средний рост детей.</w:t>
      </w:r>
    </w:p>
    <w:p>
      <w:pPr>
        <w:spacing w:after="120"/>
        <w:jc w:val="both"/>
      </w:pPr>
      <w:r>
        <w:rPr>
          <w:rFonts w:ascii="Arial" w:cs="Arial" w:eastAsia="Arial" w:hAnsi="Arial"/>
          <w:sz w:val="24"/>
          <w:szCs w:val="24"/>
        </w:rPr>
        <w:t xml:space="preserve">38. На видимых наружных поверхностях столов, парт и стульев детской и ученической мебели должна быть нанесена цветовая маркировка в виде круга диаметром не менее 10 мм или горизонтальной полосы, размером не менее 10х15 мм, следующих цветов, в зависимости от ростовых номеров изделия:</w:t>
      </w:r>
    </w:p>
    <w:p>
      <w:pPr>
        <w:spacing w:after="120"/>
        <w:jc w:val="both"/>
      </w:pPr>
      <w:r>
        <w:rPr>
          <w:rFonts w:ascii="Arial" w:cs="Arial" w:eastAsia="Arial" w:hAnsi="Arial"/>
          <w:sz w:val="24"/>
          <w:szCs w:val="24"/>
        </w:rPr>
        <w:t xml:space="preserve">0 - белый;</w:t>
      </w:r>
    </w:p>
    <w:p>
      <w:pPr>
        <w:spacing w:after="120"/>
        <w:jc w:val="both"/>
      </w:pPr>
      <w:r>
        <w:rPr>
          <w:rFonts w:ascii="Arial" w:cs="Arial" w:eastAsia="Arial" w:hAnsi="Arial"/>
          <w:sz w:val="24"/>
          <w:szCs w:val="24"/>
        </w:rPr>
        <w:t xml:space="preserve">1 - оранжевый;</w:t>
      </w:r>
    </w:p>
    <w:p>
      <w:pPr>
        <w:spacing w:after="120"/>
        <w:jc w:val="both"/>
      </w:pPr>
      <w:r>
        <w:rPr>
          <w:rFonts w:ascii="Arial" w:cs="Arial" w:eastAsia="Arial" w:hAnsi="Arial"/>
          <w:sz w:val="24"/>
          <w:szCs w:val="24"/>
        </w:rPr>
        <w:t xml:space="preserve">2 - фиолетовый;</w:t>
      </w:r>
    </w:p>
    <w:p>
      <w:pPr>
        <w:spacing w:after="120"/>
        <w:jc w:val="both"/>
      </w:pPr>
      <w:r>
        <w:rPr>
          <w:rFonts w:ascii="Arial" w:cs="Arial" w:eastAsia="Arial" w:hAnsi="Arial"/>
          <w:sz w:val="24"/>
          <w:szCs w:val="24"/>
        </w:rPr>
        <w:t xml:space="preserve">3 - желтый;</w:t>
      </w:r>
    </w:p>
    <w:p>
      <w:pPr>
        <w:spacing w:after="120"/>
        <w:jc w:val="both"/>
      </w:pPr>
      <w:r>
        <w:rPr>
          <w:rFonts w:ascii="Arial" w:cs="Arial" w:eastAsia="Arial" w:hAnsi="Arial"/>
          <w:sz w:val="24"/>
          <w:szCs w:val="24"/>
        </w:rPr>
        <w:t xml:space="preserve">4 - красный;</w:t>
      </w:r>
    </w:p>
    <w:p>
      <w:pPr>
        <w:spacing w:after="120"/>
        <w:jc w:val="both"/>
      </w:pPr>
      <w:r>
        <w:rPr>
          <w:rFonts w:ascii="Arial" w:cs="Arial" w:eastAsia="Arial" w:hAnsi="Arial"/>
          <w:sz w:val="24"/>
          <w:szCs w:val="24"/>
        </w:rPr>
        <w:t xml:space="preserve">5 - зеленый;</w:t>
      </w:r>
    </w:p>
    <w:p>
      <w:pPr>
        <w:spacing w:after="120"/>
        <w:jc w:val="both"/>
      </w:pPr>
      <w:r>
        <w:rPr>
          <w:rFonts w:ascii="Arial" w:cs="Arial" w:eastAsia="Arial" w:hAnsi="Arial"/>
          <w:sz w:val="24"/>
          <w:szCs w:val="24"/>
        </w:rPr>
        <w:t xml:space="preserve">6 - голубой.</w:t>
      </w:r>
    </w:p>
    <w:p>
      <w:pPr>
        <w:spacing w:after="120"/>
        <w:jc w:val="both"/>
      </w:pPr>
      <w:r>
        <w:rPr>
          <w:rFonts w:ascii="Arial" w:cs="Arial" w:eastAsia="Arial" w:hAnsi="Arial"/>
          <w:sz w:val="24"/>
          <w:szCs w:val="24"/>
        </w:rPr>
        <w:t xml:space="preserve">39. Способ нанесения цветной маркировки должен обеспечивать ее длительную сохранность. Допускается нанесение цветной маркировки, выполненной печатным способом с самоклеющейся основой.</w:t>
      </w:r>
    </w:p>
    <w:p>
      <w:pPr>
        <w:spacing w:after="120"/>
        <w:jc w:val="both"/>
      </w:pPr>
      <w:r>
        <w:rPr>
          <w:rFonts w:ascii="Arial" w:cs="Arial" w:eastAsia="Arial" w:hAnsi="Arial"/>
          <w:sz w:val="24"/>
          <w:szCs w:val="24"/>
        </w:rPr>
        <w:t xml:space="preserve">40. Информирование покупателя о соответствии продукции требованиям безопасности настоящего Технического регламента осуществляется наличием этикетки с маркировкой знаком соответствия Техническому регламенту или копий сертификатов соответствия, или декларации о соответствии, хранящихся у продавца.</w:t>
      </w:r>
    </w:p>
    <w:p>
      <w:pPr>
        <w:spacing w:after="120"/>
        <w:jc w:val="both"/>
      </w:pPr>
      <w:r>
        <w:rPr>
          <w:rFonts w:ascii="Arial" w:cs="Arial" w:eastAsia="Arial" w:hAnsi="Arial"/>
          <w:sz w:val="24"/>
          <w:szCs w:val="24"/>
        </w:rPr>
        <w:t xml:space="preserve">41. Мебельная продукция, соответствующая требованиям безопасности и прошедшая процедуру подтверждения соответствия согласно пункту 55 настоящего Технического регламента, должна иметь маркировку знаком соответствия.</w:t>
      </w:r>
    </w:p>
    <w:p>
      <w:pPr>
        <w:spacing w:after="120"/>
        <w:jc w:val="both"/>
      </w:pPr>
      <w:r>
        <w:rPr>
          <w:rFonts w:ascii="Arial" w:cs="Arial" w:eastAsia="Arial" w:hAnsi="Arial"/>
          <w:sz w:val="24"/>
          <w:szCs w:val="24"/>
        </w:rPr>
        <w:t xml:space="preserve">42. Маркировка знаком соответствия осуществляется перед выпуском мебельной продукции в обращение на рынке.</w:t>
      </w:r>
    </w:p>
    <w:p>
      <w:pPr>
        <w:spacing w:after="120"/>
        <w:jc w:val="both"/>
      </w:pPr>
      <w:r>
        <w:rPr>
          <w:rFonts w:ascii="Arial" w:cs="Arial" w:eastAsia="Arial" w:hAnsi="Arial"/>
          <w:sz w:val="24"/>
          <w:szCs w:val="24"/>
        </w:rPr>
        <w:t xml:space="preserve">43. Знак соответствия наносится на маркировочную этикетку, размещенную на несъемной части каждого изделия мебели. Не допускается нанесение знака на поверхность ящиков, переставных полок и других деталей и комплектующих изделий, которые могут быть заменены. Знак соответствия также наносится на прилагаемые к ней сопроводительные документы, товарно-транспортные накладные.</w:t>
      </w:r>
    </w:p>
    <w:p>
      <w:pPr>
        <w:spacing w:after="120"/>
        <w:jc w:val="both"/>
      </w:pPr>
      <w:r>
        <w:rPr>
          <w:rFonts w:ascii="Arial" w:cs="Arial" w:eastAsia="Arial" w:hAnsi="Arial"/>
          <w:sz w:val="24"/>
          <w:szCs w:val="24"/>
        </w:rPr>
        <w:t xml:space="preserve">Знак соответствия наносится любым способом, обеспечивающим четкое и ясное изображение в течение всего срока службы мебели.</w:t>
      </w:r>
    </w:p>
    <w:p>
      <w:pPr>
        <w:spacing w:after="120"/>
        <w:jc w:val="both"/>
      </w:pPr>
      <w:r>
        <w:rPr>
          <w:rFonts w:ascii="Arial" w:cs="Arial" w:eastAsia="Arial" w:hAnsi="Arial"/>
          <w:sz w:val="24"/>
          <w:szCs w:val="24"/>
        </w:rPr>
        <w:t xml:space="preserve">44. Допускается нанесение знака соответствия только на упаковку и на сопроводительные документы, если изделия мебели сборно-разборной или универсально-сборной конструкции поставляются в разобранном виде.</w:t>
      </w:r>
    </w:p>
    <w:p>
      <w:pPr>
        <w:spacing w:after="120"/>
        <w:jc w:val="both"/>
      </w:pPr>
      <w:r>
        <w:rPr>
          <w:rFonts w:ascii="Arial" w:cs="Arial" w:eastAsia="Arial" w:hAnsi="Arial"/>
          <w:sz w:val="24"/>
          <w:szCs w:val="24"/>
        </w:rPr>
        <w:t xml:space="preserve">45. Мебель должна быть упакована в разовую или многооборотную тару, обеспечивающую сохранность мебели от повреждений и загрязнений.</w:t>
      </w:r>
    </w:p>
    <w:p>
      <w:pPr>
        <w:spacing w:after="120"/>
        <w:jc w:val="both"/>
      </w:pPr>
      <w:r>
        <w:rPr>
          <w:rFonts w:ascii="Arial" w:cs="Arial" w:eastAsia="Arial" w:hAnsi="Arial"/>
          <w:sz w:val="24"/>
          <w:szCs w:val="24"/>
        </w:rPr>
        <w:t xml:space="preserve">46. Маркировка мебельной продукции знаком соответствия свидетельствует о его соответствии требованиям всех технических регламентов, распространяющихся на нее и предусматривающих нанесение знака соответствия.</w:t>
      </w:r>
    </w:p>
    <w:p>
      <w:pPr>
        <w:spacing w:after="120"/>
        <w:jc w:val="both"/>
      </w:pPr>
      <w:r>
        <w:rPr>
          <w:rFonts w:ascii="Arial" w:cs="Arial" w:eastAsia="Arial" w:hAnsi="Arial"/>
          <w:sz w:val="24"/>
          <w:szCs w:val="24"/>
        </w:rPr>
        <w:t xml:space="preserve">47. Изделия сборно-разборной мебели и универсальной мебели, поставляемые в разобранном виде, должны сопровождаться инструкцией по сборке, схемой монтажа и комплектовочным документом.</w:t>
      </w:r>
    </w:p>
    <w:p>
      <w:pPr>
        <w:spacing w:after="120"/>
        <w:jc w:val="both"/>
      </w:pPr>
      <w:r>
        <w:rPr>
          <w:rFonts w:ascii="Arial" w:cs="Arial" w:eastAsia="Arial" w:hAnsi="Arial"/>
          <w:sz w:val="24"/>
          <w:szCs w:val="24"/>
        </w:rPr>
        <w:t xml:space="preserve">48. Мебельная продукция сопровождается инструкцией по эксплуатации, устанавливающей правила и условия безопасной эксплуатации.</w:t>
      </w:r>
    </w:p>
    <w:p>
      <w:pPr>
        <w:spacing w:after="120"/>
        <w:jc w:val="both"/>
      </w:pPr>
      <w:r>
        <w:rPr>
          <w:rFonts w:ascii="Arial" w:cs="Arial" w:eastAsia="Arial" w:hAnsi="Arial"/>
          <w:sz w:val="24"/>
          <w:szCs w:val="24"/>
        </w:rPr>
        <w:t xml:space="preserve">49. Идентификацию проводят при подтверждении соответствия продукции требованиям настоящего Технического регламента, при размещении на рынке и при государственном надзоре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50. Идентификацию мебельной продукции, на которую распространяется действие настоящего Технического регламента, осуществляют путем сравнения наименования и назначения изделия мебели, указанных на маркировке, с наименованием изделия, указанным в сертификате соответствия или в декларации о соответствии, и, при необходимости, в техническом описании изделия (наборы, гарнитуры) мебели.</w:t>
      </w:r>
    </w:p>
    <w:p>
      <w:pPr>
        <w:spacing w:after="120"/>
        <w:jc w:val="both"/>
      </w:pPr>
      <w:r>
        <w:rPr>
          <w:rFonts w:ascii="Arial" w:cs="Arial" w:eastAsia="Arial" w:hAnsi="Arial"/>
          <w:sz w:val="24"/>
          <w:szCs w:val="24"/>
        </w:rPr>
        <w:t xml:space="preserve">51. Идентификация мебельной продукции, входящая в сферу действия настоящего Технического регламента, устанавливается путем использования кодов Товарной номенклатуры внешней экономической деятельности (ТН ВЭД).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Презумпция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Соответствие мебельной продукции настоящему Техническому регламенту обеспечивается выполнением его требований безопасности непосредственно, либо выполнением требований, взаимосвязанных с настоящим Техническим регламентом стандартов.</w:t>
      </w:r>
    </w:p>
    <w:p>
      <w:pPr>
        <w:spacing w:after="120"/>
        <w:jc w:val="both"/>
      </w:pPr>
      <w:r>
        <w:rPr>
          <w:rFonts w:ascii="Arial" w:cs="Arial" w:eastAsia="Arial" w:hAnsi="Arial"/>
          <w:sz w:val="24"/>
          <w:szCs w:val="24"/>
        </w:rPr>
        <w:t xml:space="preserve">53. Выполнение на добровольной основе требований стандартов свидетельствует о презумпции соответствия требованиям безопасности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Для определения соответствия мебельной продукции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подтверждение соответствия;</w:t>
      </w:r>
    </w:p>
    <w:p>
      <w:pPr>
        <w:spacing w:after="120"/>
        <w:jc w:val="both"/>
      </w:pPr>
      <w:r>
        <w:rPr>
          <w:rFonts w:ascii="Arial" w:cs="Arial" w:eastAsia="Arial" w:hAnsi="Arial"/>
          <w:sz w:val="24"/>
          <w:szCs w:val="24"/>
        </w:rPr>
        <w:t xml:space="preserve">государственный надзор.</w:t>
      </w:r>
    </w:p>
    <w:p>
      <w:pPr>
        <w:spacing w:after="120"/>
        <w:jc w:val="both"/>
      </w:pPr>
      <w:r>
        <w:rPr>
          <w:rFonts w:ascii="Arial" w:cs="Arial" w:eastAsia="Arial" w:hAnsi="Arial"/>
          <w:sz w:val="24"/>
          <w:szCs w:val="24"/>
        </w:rPr>
        <w:t xml:space="preserve">55. Обязательное подтверждение соответствия осуществляется в формах принятия декларации о соответствии (декларирование соответствия)/или обязательной сертификации.</w:t>
      </w:r>
    </w:p>
    <w:p>
      <w:pPr>
        <w:spacing w:after="120"/>
        <w:jc w:val="both"/>
      </w:pPr>
      <w:r>
        <w:rPr>
          <w:rFonts w:ascii="Arial" w:cs="Arial" w:eastAsia="Arial" w:hAnsi="Arial"/>
          <w:sz w:val="24"/>
          <w:szCs w:val="24"/>
        </w:rPr>
        <w:t xml:space="preserve">56.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57. Декларирование соответствия требованиям безопасности продукции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58.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и/или другие документы. Состав доказательных материалов и схемы декларирования приведены в </w:t>
      </w:r>
      <w:hyperlink w:history="1" r:id="rIdrrnmb66adxb3um3ts0qzx">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59.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сертификат системы качества.</w:t>
      </w:r>
    </w:p>
    <w:p>
      <w:pPr>
        <w:spacing w:after="120"/>
        <w:jc w:val="both"/>
      </w:pPr>
      <w:r>
        <w:rPr>
          <w:rFonts w:ascii="Arial" w:cs="Arial" w:eastAsia="Arial" w:hAnsi="Arial"/>
          <w:sz w:val="24"/>
          <w:szCs w:val="24"/>
        </w:rPr>
        <w:t xml:space="preserve">60. Декларация о соответствии оформляется на государственном и официальном языках Кыргызской Республики 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61. Срок действия декларации о соответствии не может быть больше срока годности продукции.</w:t>
      </w:r>
    </w:p>
    <w:p>
      <w:pPr>
        <w:spacing w:after="120"/>
        <w:jc w:val="both"/>
      </w:pPr>
      <w:r>
        <w:rPr>
          <w:rFonts w:ascii="Arial" w:cs="Arial" w:eastAsia="Arial" w:hAnsi="Arial"/>
          <w:sz w:val="24"/>
          <w:szCs w:val="24"/>
        </w:rPr>
        <w:t xml:space="preserve">62. Оформленная по установленным правилам декларация о соответствии подлежит регистрации в специально уполномоченном органе по государственному надзору, определенном Правительством Кыргызской Республики.</w:t>
      </w:r>
    </w:p>
    <w:p>
      <w:pPr>
        <w:spacing w:after="120"/>
        <w:jc w:val="both"/>
      </w:pPr>
      <w:r>
        <w:rPr>
          <w:rFonts w:ascii="Arial" w:cs="Arial" w:eastAsia="Arial" w:hAnsi="Arial"/>
          <w:sz w:val="24"/>
          <w:szCs w:val="24"/>
        </w:rPr>
        <w:t xml:space="preserve">63. Декларация о соответствии и составляющие доказательные материалы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64. Схема(ы) декларирования.</w:t>
      </w:r>
    </w:p>
    <w:p>
      <w:pPr>
        <w:spacing w:after="120"/>
        <w:jc w:val="both"/>
      </w:pPr>
      <w:r>
        <w:rPr>
          <w:rFonts w:ascii="Arial" w:cs="Arial" w:eastAsia="Arial" w:hAnsi="Arial"/>
          <w:sz w:val="24"/>
          <w:szCs w:val="24"/>
        </w:rPr>
        <w:t xml:space="preserve">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формирование комплекта технической документации;</w:t>
      </w:r>
    </w:p>
    <w:p>
      <w:pPr>
        <w:spacing w:after="120"/>
        <w:jc w:val="both"/>
      </w:pPr>
      <w:r>
        <w:rPr>
          <w:rFonts w:ascii="Arial" w:cs="Arial" w:eastAsia="Arial" w:hAnsi="Arial"/>
          <w:sz w:val="24"/>
          <w:szCs w:val="24"/>
        </w:rPr>
        <w:t xml:space="preserve">принятие декларации о соответствии;</w:t>
      </w:r>
    </w:p>
    <w:p>
      <w:pPr>
        <w:spacing w:after="120"/>
        <w:jc w:val="both"/>
      </w:pPr>
      <w:r>
        <w:rPr>
          <w:rFonts w:ascii="Arial" w:cs="Arial" w:eastAsia="Arial" w:hAnsi="Arial"/>
          <w:sz w:val="24"/>
          <w:szCs w:val="24"/>
        </w:rPr>
        <w:t xml:space="preserve">маркирование продукции знаком соответствия техническим регламентам.</w:t>
      </w:r>
    </w:p>
    <w:p>
      <w:pPr>
        <w:spacing w:after="120"/>
        <w:jc w:val="both"/>
      </w:pPr>
      <w:r>
        <w:rPr>
          <w:rFonts w:ascii="Arial" w:cs="Arial" w:eastAsia="Arial" w:hAnsi="Arial"/>
          <w:sz w:val="24"/>
          <w:szCs w:val="24"/>
        </w:rPr>
        <w:t xml:space="preserve">65. Техническая документация должна позволять проведение оценки соответствия продукций требованиям настоящего Технического регламента, предусматривать способ производства и принцип действия мебельной продукции, а также содержать доказательства соответствия продукции настоящему Техническому регламенту.</w:t>
      </w:r>
    </w:p>
    <w:p>
      <w:pPr>
        <w:spacing w:after="120"/>
        <w:jc w:val="both"/>
      </w:pPr>
      <w:r>
        <w:rPr>
          <w:rFonts w:ascii="Arial" w:cs="Arial" w:eastAsia="Arial" w:hAnsi="Arial"/>
          <w:sz w:val="24"/>
          <w:szCs w:val="24"/>
        </w:rPr>
        <w:t xml:space="preserve">66.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общее описание мебельной продукции;</w:t>
      </w:r>
    </w:p>
    <w:p>
      <w:pPr>
        <w:spacing w:after="120"/>
        <w:jc w:val="both"/>
      </w:pPr>
      <w:r>
        <w:rPr>
          <w:rFonts w:ascii="Arial" w:cs="Arial" w:eastAsia="Arial" w:hAnsi="Arial"/>
          <w:sz w:val="24"/>
          <w:szCs w:val="24"/>
        </w:rPr>
        <w:t xml:space="preserve">проектные данные, чертежи, схемы, технические условия;</w:t>
      </w:r>
    </w:p>
    <w:p>
      <w:pPr>
        <w:spacing w:after="120"/>
        <w:jc w:val="both"/>
      </w:pPr>
      <w:r>
        <w:rPr>
          <w:rFonts w:ascii="Arial" w:cs="Arial" w:eastAsia="Arial" w:hAnsi="Arial"/>
          <w:sz w:val="24"/>
          <w:szCs w:val="24"/>
        </w:rPr>
        <w:t xml:space="preserve">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результаты проектных расчетов, проведенных проверок;</w:t>
      </w:r>
    </w:p>
    <w:p>
      <w:pPr>
        <w:spacing w:after="120"/>
        <w:jc w:val="both"/>
      </w:pPr>
      <w:r>
        <w:rPr>
          <w:rFonts w:ascii="Arial" w:cs="Arial" w:eastAsia="Arial" w:hAnsi="Arial"/>
          <w:sz w:val="24"/>
          <w:szCs w:val="24"/>
        </w:rPr>
        <w:t xml:space="preserve">протоколы испытаний.</w:t>
      </w:r>
    </w:p>
    <w:p>
      <w:pPr>
        <w:spacing w:after="120"/>
        <w:jc w:val="both"/>
      </w:pPr>
      <w:r>
        <w:rPr>
          <w:rFonts w:ascii="Arial" w:cs="Arial" w:eastAsia="Arial" w:hAnsi="Arial"/>
          <w:sz w:val="24"/>
          <w:szCs w:val="24"/>
        </w:rPr>
        <w:t xml:space="preserve">67. Подтверждение соответствия в форме обязательной сертификации:</w:t>
      </w:r>
    </w:p>
    <w:p>
      <w:pPr>
        <w:spacing w:after="120"/>
        <w:jc w:val="both"/>
      </w:pPr>
      <w:r>
        <w:rPr>
          <w:rFonts w:ascii="Arial" w:cs="Arial" w:eastAsia="Arial" w:hAnsi="Arial"/>
          <w:sz w:val="24"/>
          <w:szCs w:val="24"/>
        </w:rPr>
        <w:t xml:space="preserve">- обязательная сертификация осуществляется аккредитованным органом по сертификации;</w:t>
      </w:r>
    </w:p>
    <w:p>
      <w:pPr>
        <w:spacing w:after="120"/>
        <w:jc w:val="both"/>
      </w:pPr>
      <w:r>
        <w:rPr>
          <w:rFonts w:ascii="Arial" w:cs="Arial" w:eastAsia="Arial" w:hAnsi="Arial"/>
          <w:sz w:val="24"/>
          <w:szCs w:val="24"/>
        </w:rPr>
        <w:t xml:space="preserve">- схемы сертификации, установленные настоящим Техническим регламентом, предусмотрены в приложении 2 к настоящему Техническому регламенту;</w:t>
      </w:r>
    </w:p>
    <w:p>
      <w:pPr>
        <w:spacing w:after="120"/>
        <w:jc w:val="both"/>
      </w:pPr>
      <w:r>
        <w:rPr>
          <w:rFonts w:ascii="Arial" w:cs="Arial" w:eastAsia="Arial" w:hAnsi="Arial"/>
          <w:sz w:val="24"/>
          <w:szCs w:val="24"/>
        </w:rPr>
        <w:t xml:space="preserve">-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68. Заявитель для проведения обязательной сертификации мебельной продукции:</w:t>
      </w:r>
    </w:p>
    <w:p>
      <w:pPr>
        <w:spacing w:after="120"/>
        <w:jc w:val="both"/>
      </w:pPr>
      <w:r>
        <w:rPr>
          <w:rFonts w:ascii="Arial" w:cs="Arial" w:eastAsia="Arial" w:hAnsi="Arial"/>
          <w:sz w:val="24"/>
          <w:szCs w:val="24"/>
        </w:rPr>
        <w:t xml:space="preserve">обращается для проведения работ по сертификации в независимый аккредитованный орган по сертификации;</w:t>
      </w:r>
    </w:p>
    <w:p>
      <w:pPr>
        <w:spacing w:after="120"/>
        <w:jc w:val="both"/>
      </w:pPr>
      <w:r>
        <w:rPr>
          <w:rFonts w:ascii="Arial" w:cs="Arial" w:eastAsia="Arial" w:hAnsi="Arial"/>
          <w:sz w:val="24"/>
          <w:szCs w:val="24"/>
        </w:rPr>
        <w:t xml:space="preserve">выбирает схему сертификации из числа схем, предусмотренных настоящим Техническим регламентом;</w:t>
      </w:r>
    </w:p>
    <w:p>
      <w:pPr>
        <w:spacing w:after="120"/>
        <w:jc w:val="both"/>
      </w:pPr>
      <w:r>
        <w:rPr>
          <w:rFonts w:ascii="Arial" w:cs="Arial" w:eastAsia="Arial" w:hAnsi="Arial"/>
          <w:sz w:val="24"/>
          <w:szCs w:val="24"/>
        </w:rPr>
        <w:t xml:space="preserve">обращается (при необходимости) в орган по аккредитации с жалобами на неправомерные действия органа по сертификации.</w:t>
      </w:r>
    </w:p>
    <w:p>
      <w:pPr>
        <w:spacing w:after="120"/>
        <w:jc w:val="both"/>
      </w:pPr>
      <w:r>
        <w:rPr>
          <w:rFonts w:ascii="Arial" w:cs="Arial" w:eastAsia="Arial" w:hAnsi="Arial"/>
          <w:sz w:val="24"/>
          <w:szCs w:val="24"/>
        </w:rPr>
        <w:t xml:space="preserve">69. Орган по сертификации при сертификации мебельной продукции:</w:t>
      </w:r>
    </w:p>
    <w:p>
      <w:pPr>
        <w:spacing w:after="120"/>
        <w:jc w:val="both"/>
      </w:pPr>
      <w:r>
        <w:rPr>
          <w:rFonts w:ascii="Arial" w:cs="Arial" w:eastAsia="Arial" w:hAnsi="Arial"/>
          <w:sz w:val="24"/>
          <w:szCs w:val="24"/>
        </w:rPr>
        <w:t xml:space="preserve">- осуществляет прием заявки;</w:t>
      </w:r>
    </w:p>
    <w:p>
      <w:pPr>
        <w:spacing w:after="120"/>
        <w:jc w:val="both"/>
      </w:pPr>
      <w:r>
        <w:rPr>
          <w:rFonts w:ascii="Arial" w:cs="Arial" w:eastAsia="Arial" w:hAnsi="Arial"/>
          <w:sz w:val="24"/>
          <w:szCs w:val="24"/>
        </w:rPr>
        <w:t xml:space="preserve">- направляет заявителю уведомление по заявке;</w:t>
      </w:r>
    </w:p>
    <w:p>
      <w:pPr>
        <w:spacing w:after="120"/>
        <w:jc w:val="both"/>
      </w:pPr>
      <w:r>
        <w:rPr>
          <w:rFonts w:ascii="Arial" w:cs="Arial" w:eastAsia="Arial" w:hAnsi="Arial"/>
          <w:sz w:val="24"/>
          <w:szCs w:val="24"/>
        </w:rPr>
        <w:t xml:space="preserve">- анализирует представленные заявителем документы на продукцию, подтверждающую ее безопасность;</w:t>
      </w:r>
    </w:p>
    <w:p>
      <w:pPr>
        <w:spacing w:after="120"/>
        <w:jc w:val="both"/>
      </w:pPr>
      <w:r>
        <w:rPr>
          <w:rFonts w:ascii="Arial" w:cs="Arial" w:eastAsia="Arial" w:hAnsi="Arial"/>
          <w:sz w:val="24"/>
          <w:szCs w:val="24"/>
        </w:rPr>
        <w:t xml:space="preserve">- проводит осмотр продукции;</w:t>
      </w:r>
    </w:p>
    <w:p>
      <w:pPr>
        <w:spacing w:after="120"/>
        <w:jc w:val="both"/>
      </w:pPr>
      <w:r>
        <w:rPr>
          <w:rFonts w:ascii="Arial" w:cs="Arial" w:eastAsia="Arial" w:hAnsi="Arial"/>
          <w:sz w:val="24"/>
          <w:szCs w:val="24"/>
        </w:rPr>
        <w:t xml:space="preserve">- проводит отбор образцов продукции (при необходимости) и направляет их в аккредитованную лабораторию для проведения сертификационных испытаний;</w:t>
      </w:r>
    </w:p>
    <w:p>
      <w:pPr>
        <w:spacing w:after="120"/>
        <w:jc w:val="both"/>
      </w:pPr>
      <w:r>
        <w:rPr>
          <w:rFonts w:ascii="Arial" w:cs="Arial" w:eastAsia="Arial" w:hAnsi="Arial"/>
          <w:sz w:val="24"/>
          <w:szCs w:val="24"/>
        </w:rPr>
        <w:t xml:space="preserve">- осуществляет анализ состояния производства;</w:t>
      </w:r>
    </w:p>
    <w:p>
      <w:pPr>
        <w:spacing w:after="120"/>
        <w:jc w:val="both"/>
      </w:pPr>
      <w:r>
        <w:rPr>
          <w:rFonts w:ascii="Arial" w:cs="Arial" w:eastAsia="Arial" w:hAnsi="Arial"/>
          <w:sz w:val="24"/>
          <w:szCs w:val="24"/>
        </w:rPr>
        <w:t xml:space="preserve">- осуществляет анализ полученных результатов и принимает решение о возможности выдачи сертификата;</w:t>
      </w:r>
    </w:p>
    <w:p>
      <w:pPr>
        <w:spacing w:after="120"/>
        <w:jc w:val="both"/>
      </w:pPr>
      <w:r>
        <w:rPr>
          <w:rFonts w:ascii="Arial" w:cs="Arial" w:eastAsia="Arial" w:hAnsi="Arial"/>
          <w:sz w:val="24"/>
          <w:szCs w:val="24"/>
        </w:rPr>
        <w:t xml:space="preserve">-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70. При обязательной сертификации применяются следующие схемы, предусмотренные в </w:t>
      </w:r>
      <w:hyperlink w:history="1" r:id="rIdhecdjojjmkrrjrhyrfpr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 схемы 1-4 применяются для сертификации продукции при серийном выпуске изготовителем;</w:t>
      </w:r>
    </w:p>
    <w:p>
      <w:pPr>
        <w:spacing w:after="120"/>
        <w:jc w:val="both"/>
      </w:pPr>
      <w:r>
        <w:rPr>
          <w:rFonts w:ascii="Arial" w:cs="Arial" w:eastAsia="Arial" w:hAnsi="Arial"/>
          <w:sz w:val="24"/>
          <w:szCs w:val="24"/>
        </w:rPr>
        <w:t xml:space="preserve">2) схема 5 применяется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Схемы 1-3, предусмотренные в </w:t>
      </w:r>
      <w:hyperlink w:history="1" r:id="rIdohpylvb3o_-anl61qid5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 применяются в следующих случаях:</w:t>
      </w:r>
    </w:p>
    <w:p>
      <w:pPr>
        <w:spacing w:after="120"/>
        <w:jc w:val="both"/>
      </w:pPr>
      <w:r>
        <w:rPr>
          <w:rFonts w:ascii="Arial" w:cs="Arial" w:eastAsia="Arial" w:hAnsi="Arial"/>
          <w:sz w:val="24"/>
          <w:szCs w:val="24"/>
        </w:rPr>
        <w:t xml:space="preserve">- схема 1 применяется для импортной и отечественной серийно-выпускаемой продукции - при указании в контракте конкретного получателя (пользователя) и определенного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 Схема 1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которое должно быть указано в контракте на поставку мебельной продукции;</w:t>
      </w:r>
    </w:p>
    <w:p>
      <w:pPr>
        <w:spacing w:after="120"/>
        <w:jc w:val="both"/>
      </w:pPr>
      <w:r>
        <w:rPr>
          <w:rFonts w:ascii="Arial" w:cs="Arial" w:eastAsia="Arial" w:hAnsi="Arial"/>
          <w:sz w:val="24"/>
          <w:szCs w:val="24"/>
        </w:rPr>
        <w:t xml:space="preserve">- схема 2 применяется для импортной продукции при долгосрочных контрактах (более одного года)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w:t>
      </w:r>
    </w:p>
    <w:p>
      <w:pPr>
        <w:spacing w:after="120"/>
        <w:jc w:val="both"/>
      </w:pPr>
      <w:r>
        <w:rPr>
          <w:rFonts w:ascii="Arial" w:cs="Arial" w:eastAsia="Arial" w:hAnsi="Arial"/>
          <w:sz w:val="24"/>
          <w:szCs w:val="24"/>
        </w:rPr>
        <w:t xml:space="preserve">Поставки продукции должны осуществляться напрямую с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 схема 3 применяется для серийно-выпускаемой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а также при отсутствии рекламаций от потребителей.</w:t>
      </w:r>
    </w:p>
    <w:p>
      <w:pPr>
        <w:spacing w:after="120"/>
        <w:jc w:val="both"/>
      </w:pPr>
      <w:r>
        <w:rPr>
          <w:rFonts w:ascii="Arial" w:cs="Arial" w:eastAsia="Arial" w:hAnsi="Arial"/>
          <w:sz w:val="24"/>
          <w:szCs w:val="24"/>
        </w:rPr>
        <w:t xml:space="preserve">Схема 3а применяется,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w:t>
      </w:r>
    </w:p>
    <w:p>
      <w:pPr>
        <w:spacing w:after="120"/>
        <w:jc w:val="both"/>
      </w:pPr>
      <w:r>
        <w:rPr>
          <w:rFonts w:ascii="Arial" w:cs="Arial" w:eastAsia="Arial" w:hAnsi="Arial"/>
          <w:sz w:val="24"/>
          <w:szCs w:val="24"/>
        </w:rPr>
        <w:t xml:space="preserve">Схема 4 -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Схема 5 рекомендуется применять при производстве, поставке или реализации мебельной продукции, если они носят разовый характер (партия, единичная продукция). По схеме 5 производится испытание образцов (образца), взятых от партии. Сертификат соответствия по схеме 5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Схема 5а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При возникновении разногласия с органом по сертификации при сертификации продукции заявитель обращается в апелляционную комиссию органа по сертификации (далее - ОС), а при несогласии с решением обращается в орган по аккредитации - ОС с жалобами или апелляциями на неправомерное действие аккредитованных - ОС и испытательных лабораторий в соответствии с законодательством Кыргызской Республики.</w:t>
      </w:r>
    </w:p>
    <w:p>
      <w:pPr>
        <w:spacing w:after="120"/>
        <w:jc w:val="both"/>
      </w:pPr>
      <w:r>
        <w:rPr>
          <w:rFonts w:ascii="Arial" w:cs="Arial" w:eastAsia="Arial" w:hAnsi="Arial"/>
          <w:sz w:val="24"/>
          <w:szCs w:val="24"/>
        </w:rPr>
        <w:t xml:space="preserve">Национальный орган по стандартизации до вступления в силу технических регламентов утверждает перечень международных, а в случае отсутствия - региональных и национальных стандартов, содержащих правила и методы испытаний (измерений), в том числе методы отбора проб, применяемых в процедурах оценки соответствия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Государственный надзор за соблюдением требований настоящего Технического регламента осуществляется специально уполномоченным Правительством Кыргызской Республики государственными органами по надзору.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Ответственность за несоответствие мебельной продукции положениям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73. В случае неисполнения предписаний специально уполномоченного органа по государственному надзору, определяемого Правительством Кыргызской Республики, об устранении выявленных при осуществлении процессов производства, хранения, перевозки, реализации, утилизации нарушений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74. Возмещение вреда, связанного с неисполнением положений настоящего Технического регламента, осуществляется изготовителем (продавцом) в соответствии с законодательством Кыргызской Республики. Изготовитель (продавец) должен принять меры в целях недопущения причинения вреда другим людям,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75. Обязанность изготовителя (продавца) по возмещению вреда не может быть ограничена договором или односторонним заявлением, заключенным до возникновения оснований для возмещения.</w:t>
      </w:r>
    </w:p>
    <w:p>
      <w:pPr>
        <w:spacing w:after="120"/>
        <w:jc w:val="both"/>
      </w:pPr>
      <w:r>
        <w:rPr>
          <w:rFonts w:ascii="Arial" w:cs="Arial" w:eastAsia="Arial" w:hAnsi="Arial"/>
          <w:sz w:val="24"/>
          <w:szCs w:val="24"/>
        </w:rPr>
        <w:t xml:space="preserve">Соглашения или заявления об ограничении ответственности, заключенные до возникновения права на возмещение, ничтожны.</w:t>
      </w:r>
    </w:p>
    <w:p>
      <w:pPr>
        <w:spacing w:after="120"/>
        <w:jc w:val="both"/>
      </w:pPr>
      <w:r>
        <w:rPr>
          <w:rFonts w:ascii="Arial" w:cs="Arial" w:eastAsia="Arial" w:hAnsi="Arial"/>
          <w:sz w:val="24"/>
          <w:szCs w:val="24"/>
        </w:rPr>
        <w:t xml:space="preserve">76. Устранение недостатков,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(продавцом) и за его 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Применяемые для выполнения требований настоящего Технического регламента документы по стандартизации подлежат гармонизации с международными стандартами (документами) в порядке, установленном законодательством Кыргызской Республики в области технического регулирования.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 технического регулирования на мебельную продукцию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продукции                     │</w:t>
      </w:r>
    </w:p>
    <w:p>
      <w:pPr>
        <w:spacing w:after="120"/>
        <w:jc w:val="both"/>
      </w:pPr>
      <w:r>
        <w:rPr>
          <w:rFonts w:ascii="Arial" w:cs="Arial" w:eastAsia="Arial" w:hAnsi="Arial"/>
          <w:sz w:val="24"/>
          <w:szCs w:val="24"/>
        </w:rPr>
        <w:t xml:space="preserve">│ п/п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│Мебель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│Мебель бытовая: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│1.1.2│Столы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│1.1.3│Стулья, кресла, банкетки, табуреты, скамьи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│1.1.4│Диваны, кушетки, тахты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│1.1.5│Кресла-кровати, диваны-кровати, кровати, матрацы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│1.1.6│Шкафы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│1.1.7│Гарнитуры, наборы мебельных изделий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│1.1.8│Мебель детская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│1.1.9│Изделия мебели разные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│Мебель специальная: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│1.2.1│Мебель для учебных заведений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│1.2.2│Мебель для дошкольных учреждений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│1.2.3│Мебель для предприятий торговли, общественного питания и       │</w:t>
      </w:r>
    </w:p>
    <w:p>
      <w:pPr>
        <w:spacing w:after="120"/>
        <w:jc w:val="both"/>
      </w:pPr>
      <w:r>
        <w:rPr>
          <w:rFonts w:ascii="Arial" w:cs="Arial" w:eastAsia="Arial" w:hAnsi="Arial"/>
          <w:sz w:val="24"/>
          <w:szCs w:val="24"/>
        </w:rPr>
        <w:t xml:space="preserve">│     │бытового обслуживания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│1.2.4│Мебель для гостиниц и здравниц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│1.2.5│Мебель для театрально-зрелищных предприятий и учреждений       │</w:t>
      </w:r>
    </w:p>
    <w:p>
      <w:pPr>
        <w:spacing w:after="120"/>
        <w:jc w:val="both"/>
      </w:pPr>
      <w:r>
        <w:rPr>
          <w:rFonts w:ascii="Arial" w:cs="Arial" w:eastAsia="Arial" w:hAnsi="Arial"/>
          <w:sz w:val="24"/>
          <w:szCs w:val="24"/>
        </w:rPr>
        <w:t xml:space="preserve">│     │культуры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│1.2.6│Мебель для административных помещений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│1.2.7│Мебель для вокзалов, финансовых учреждений и предприятий       │</w:t>
      </w:r>
    </w:p>
    <w:p>
      <w:pPr>
        <w:spacing w:after="120"/>
        <w:jc w:val="both"/>
      </w:pPr>
      <w:r>
        <w:rPr>
          <w:rFonts w:ascii="Arial" w:cs="Arial" w:eastAsia="Arial" w:hAnsi="Arial"/>
          <w:sz w:val="24"/>
          <w:szCs w:val="24"/>
        </w:rPr>
        <w:t xml:space="preserve">│     │связи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│1.2.8│Мебель специальная прочая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 мебельной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│Обозна-│     Содержание схемы и ее исполнители    │   Рекомендации   │</w:t>
      </w:r>
    </w:p>
    <w:p>
      <w:pPr>
        <w:spacing w:after="120"/>
        <w:jc w:val="both"/>
      </w:pPr>
      <w:r>
        <w:rPr>
          <w:rFonts w:ascii="Arial" w:cs="Arial" w:eastAsia="Arial" w:hAnsi="Arial"/>
          <w:sz w:val="24"/>
          <w:szCs w:val="24"/>
        </w:rPr>
        <w:t xml:space="preserve">│ чение │                                          │ по выбору схемы  │</w:t>
      </w:r>
    </w:p>
    <w:p>
      <w:pPr>
        <w:spacing w:after="120"/>
        <w:jc w:val="both"/>
      </w:pPr>
      <w:r>
        <w:rPr>
          <w:rFonts w:ascii="Arial" w:cs="Arial" w:eastAsia="Arial" w:hAnsi="Arial"/>
          <w:sz w:val="24"/>
          <w:szCs w:val="24"/>
        </w:rPr>
        <w:t xml:space="preserve">│ схемы │                                          │с учетом заявителя│</w:t>
      </w:r>
    </w:p>
    <w:p>
      <w:pPr>
        <w:spacing w:after="120"/>
        <w:jc w:val="both"/>
      </w:pPr>
      <w:r>
        <w:rPr>
          <w:rFonts w:ascii="Arial" w:cs="Arial" w:eastAsia="Arial" w:hAnsi="Arial"/>
          <w:sz w:val="24"/>
          <w:szCs w:val="24"/>
        </w:rPr>
        <w:t xml:space="preserve">│ серти-│                                          │                  │</w:t>
      </w:r>
    </w:p>
    <w:p>
      <w:pPr>
        <w:spacing w:after="120"/>
        <w:jc w:val="both"/>
      </w:pPr>
      <w:r>
        <w:rPr>
          <w:rFonts w:ascii="Arial" w:cs="Arial" w:eastAsia="Arial" w:hAnsi="Arial"/>
          <w:sz w:val="24"/>
          <w:szCs w:val="24"/>
        </w:rPr>
        <w:t xml:space="preserve">│фикации│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в орган по сертификации      │изготовитель,     │</w:t>
      </w:r>
    </w:p>
    <w:p>
      <w:pPr>
        <w:spacing w:after="120"/>
        <w:jc w:val="both"/>
      </w:pPr>
      <w:r>
        <w:rPr>
          <w:rFonts w:ascii="Arial" w:cs="Arial" w:eastAsia="Arial" w:hAnsi="Arial"/>
          <w:sz w:val="24"/>
          <w:szCs w:val="24"/>
        </w:rPr>
        <w:t xml:space="preserve">│       │продукции.                                │импортер,         │</w:t>
      </w:r>
    </w:p>
    <w:p>
      <w:pPr>
        <w:spacing w:after="120"/>
        <w:jc w:val="both"/>
      </w:pPr>
      <w:r>
        <w:rPr>
          <w:rFonts w:ascii="Arial" w:cs="Arial" w:eastAsia="Arial" w:hAnsi="Arial"/>
          <w:sz w:val="24"/>
          <w:szCs w:val="24"/>
        </w:rPr>
        <w:t xml:space="preserve">│       │Аккредитованная испытательная лаборатория │продавец, либо    │</w:t>
      </w:r>
    </w:p>
    <w:p>
      <w:pPr>
        <w:spacing w:after="120"/>
        <w:jc w:val="both"/>
      </w:pPr>
      <w:r>
        <w:rPr>
          <w:rFonts w:ascii="Arial" w:cs="Arial" w:eastAsia="Arial" w:hAnsi="Arial"/>
          <w:sz w:val="24"/>
          <w:szCs w:val="24"/>
        </w:rPr>
        <w:t xml:space="preserve">│       │по поручению органа по сертификации       │уполномоченное    │</w:t>
      </w:r>
    </w:p>
    <w:p>
      <w:pPr>
        <w:spacing w:after="120"/>
        <w:jc w:val="both"/>
      </w:pPr>
      <w:r>
        <w:rPr>
          <w:rFonts w:ascii="Arial" w:cs="Arial" w:eastAsia="Arial" w:hAnsi="Arial"/>
          <w:sz w:val="24"/>
          <w:szCs w:val="24"/>
        </w:rPr>
        <w:t xml:space="preserve">│       │проводит испытание типового образца       │изготовителем     │</w:t>
      </w:r>
    </w:p>
    <w:p>
      <w:pPr>
        <w:spacing w:after="120"/>
        <w:jc w:val="both"/>
      </w:pPr>
      <w:r>
        <w:rPr>
          <w:rFonts w:ascii="Arial" w:cs="Arial" w:eastAsia="Arial" w:hAnsi="Arial"/>
          <w:sz w:val="24"/>
          <w:szCs w:val="24"/>
        </w:rPr>
        <w:t xml:space="preserve">│       │продукции серийного производства и выдает │лицо              │</w:t>
      </w:r>
    </w:p>
    <w:p>
      <w:pPr>
        <w:spacing w:after="120"/>
        <w:jc w:val="both"/>
      </w:pPr>
      <w:r>
        <w:rPr>
          <w:rFonts w:ascii="Arial" w:cs="Arial" w:eastAsia="Arial" w:hAnsi="Arial"/>
          <w:sz w:val="24"/>
          <w:szCs w:val="24"/>
        </w:rPr>
        <w:t xml:space="preserve">│       │протокол испытаний.                       │                  │</w:t>
      </w:r>
    </w:p>
    <w:p>
      <w:pPr>
        <w:spacing w:after="120"/>
        <w:jc w:val="both"/>
      </w:pPr>
      <w:r>
        <w:rPr>
          <w:rFonts w:ascii="Arial" w:cs="Arial" w:eastAsia="Arial" w:hAnsi="Arial"/>
          <w:sz w:val="24"/>
          <w:szCs w:val="24"/>
        </w:rPr>
        <w:t xml:space="preserve">│       │Образец (образцы) отбирает орган по       │                  │</w:t>
      </w:r>
    </w:p>
    <w:p>
      <w:pPr>
        <w:spacing w:after="120"/>
        <w:jc w:val="both"/>
      </w:pPr>
      <w:r>
        <w:rPr>
          <w:rFonts w:ascii="Arial" w:cs="Arial" w:eastAsia="Arial" w:hAnsi="Arial"/>
          <w:sz w:val="24"/>
          <w:szCs w:val="24"/>
        </w:rPr>
        <w:t xml:space="preserve">│       │сертификации у изготовителя или продавца.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в орган по сертификации      │изготовитель      │</w:t>
      </w:r>
    </w:p>
    <w:p>
      <w:pPr>
        <w:spacing w:after="120"/>
        <w:jc w:val="both"/>
      </w:pPr>
      <w:r>
        <w:rPr>
          <w:rFonts w:ascii="Arial" w:cs="Arial" w:eastAsia="Arial" w:hAnsi="Arial"/>
          <w:sz w:val="24"/>
          <w:szCs w:val="24"/>
        </w:rPr>
        <w:t xml:space="preserve">│       │продукции.                                │продукции         │</w:t>
      </w:r>
    </w:p>
    <w:p>
      <w:pPr>
        <w:spacing w:after="120"/>
        <w:jc w:val="both"/>
      </w:pPr>
      <w:r>
        <w:rPr>
          <w:rFonts w:ascii="Arial" w:cs="Arial" w:eastAsia="Arial" w:hAnsi="Arial"/>
          <w:sz w:val="24"/>
          <w:szCs w:val="24"/>
        </w:rPr>
        <w:t xml:space="preserve">│       │Аккредитованная испытательная лаборатория │                  │</w:t>
      </w:r>
    </w:p>
    <w:p>
      <w:pPr>
        <w:spacing w:after="120"/>
        <w:jc w:val="both"/>
      </w:pPr>
      <w:r>
        <w:rPr>
          <w:rFonts w:ascii="Arial" w:cs="Arial" w:eastAsia="Arial" w:hAnsi="Arial"/>
          <w:sz w:val="24"/>
          <w:szCs w:val="24"/>
        </w:rPr>
        <w:t xml:space="preserve">│       │по поручению органа по сертификации       │                  │</w:t>
      </w:r>
    </w:p>
    <w:p>
      <w:pPr>
        <w:spacing w:after="120"/>
        <w:jc w:val="both"/>
      </w:pPr>
      <w:r>
        <w:rPr>
          <w:rFonts w:ascii="Arial" w:cs="Arial" w:eastAsia="Arial" w:hAnsi="Arial"/>
          <w:sz w:val="24"/>
          <w:szCs w:val="24"/>
        </w:rPr>
        <w:t xml:space="preserve">│       │проводит испытание типового образца       │                  │</w:t>
      </w:r>
    </w:p>
    <w:p>
      <w:pPr>
        <w:spacing w:after="120"/>
        <w:jc w:val="both"/>
      </w:pPr>
      <w:r>
        <w:rPr>
          <w:rFonts w:ascii="Arial" w:cs="Arial" w:eastAsia="Arial" w:hAnsi="Arial"/>
          <w:sz w:val="24"/>
          <w:szCs w:val="24"/>
        </w:rPr>
        <w:t xml:space="preserve">│       │продукции серийного производства,         │                  │</w:t>
      </w:r>
    </w:p>
    <w:p>
      <w:pPr>
        <w:spacing w:after="120"/>
        <w:jc w:val="both"/>
      </w:pPr>
      <w:r>
        <w:rPr>
          <w:rFonts w:ascii="Arial" w:cs="Arial" w:eastAsia="Arial" w:hAnsi="Arial"/>
          <w:sz w:val="24"/>
          <w:szCs w:val="24"/>
        </w:rPr>
        <w:t xml:space="preserve">│       │отобранного у изготовителя органом по     │                  │</w:t>
      </w:r>
    </w:p>
    <w:p>
      <w:pPr>
        <w:spacing w:after="120"/>
        <w:jc w:val="both"/>
      </w:pPr>
      <w:r>
        <w:rPr>
          <w:rFonts w:ascii="Arial" w:cs="Arial" w:eastAsia="Arial" w:hAnsi="Arial"/>
          <w:sz w:val="24"/>
          <w:szCs w:val="24"/>
        </w:rPr>
        <w:t xml:space="preserve">│       │сертификации,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проводит анализ состояния       │                  │</w:t>
      </w:r>
    </w:p>
    <w:p>
      <w:pPr>
        <w:spacing w:after="120"/>
        <w:jc w:val="both"/>
      </w:pPr>
      <w:r>
        <w:rPr>
          <w:rFonts w:ascii="Arial" w:cs="Arial" w:eastAsia="Arial" w:hAnsi="Arial"/>
          <w:sz w:val="24"/>
          <w:szCs w:val="24"/>
        </w:rPr>
        <w:t xml:space="preserve">│       │производства.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продукции в орган по         │отечественный     │</w:t>
      </w:r>
    </w:p>
    <w:p>
      <w:pPr>
        <w:spacing w:after="120"/>
        <w:jc w:val="both"/>
      </w:pPr>
      <w:r>
        <w:rPr>
          <w:rFonts w:ascii="Arial" w:cs="Arial" w:eastAsia="Arial" w:hAnsi="Arial"/>
          <w:sz w:val="24"/>
          <w:szCs w:val="24"/>
        </w:rPr>
        <w:t xml:space="preserve">│       │сертификации продукции.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│продавец          │</w:t>
      </w:r>
    </w:p>
    <w:p>
      <w:pPr>
        <w:spacing w:after="120"/>
        <w:jc w:val="both"/>
      </w:pPr>
      <w:r>
        <w:rPr>
          <w:rFonts w:ascii="Arial" w:cs="Arial" w:eastAsia="Arial" w:hAnsi="Arial"/>
          <w:sz w:val="24"/>
          <w:szCs w:val="24"/>
        </w:rPr>
        <w:t xml:space="preserve">│       │по поручению органа по сертификации       │импортер,         │</w:t>
      </w:r>
    </w:p>
    <w:p>
      <w:pPr>
        <w:spacing w:after="120"/>
        <w:jc w:val="both"/>
      </w:pPr>
      <w:r>
        <w:rPr>
          <w:rFonts w:ascii="Arial" w:cs="Arial" w:eastAsia="Arial" w:hAnsi="Arial"/>
          <w:sz w:val="24"/>
          <w:szCs w:val="24"/>
        </w:rPr>
        <w:t xml:space="preserve">│       │проводит испытание типового образца       │уполномоченное    │</w:t>
      </w:r>
    </w:p>
    <w:p>
      <w:pPr>
        <w:spacing w:after="120"/>
        <w:jc w:val="both"/>
      </w:pPr>
      <w:r>
        <w:rPr>
          <w:rFonts w:ascii="Arial" w:cs="Arial" w:eastAsia="Arial" w:hAnsi="Arial"/>
          <w:sz w:val="24"/>
          <w:szCs w:val="24"/>
        </w:rPr>
        <w:t xml:space="preserve">│       │продукции серийного производства,         │изготовителем     │</w:t>
      </w:r>
    </w:p>
    <w:p>
      <w:pPr>
        <w:spacing w:after="120"/>
        <w:jc w:val="both"/>
      </w:pPr>
      <w:r>
        <w:rPr>
          <w:rFonts w:ascii="Arial" w:cs="Arial" w:eastAsia="Arial" w:hAnsi="Arial"/>
          <w:sz w:val="24"/>
          <w:szCs w:val="24"/>
        </w:rPr>
        <w:t xml:space="preserve">│       │отобранного органом по сертификации у     │лицо              │</w:t>
      </w:r>
    </w:p>
    <w:p>
      <w:pPr>
        <w:spacing w:after="120"/>
        <w:jc w:val="both"/>
      </w:pPr>
      <w:r>
        <w:rPr>
          <w:rFonts w:ascii="Arial" w:cs="Arial" w:eastAsia="Arial" w:hAnsi="Arial"/>
          <w:sz w:val="24"/>
          <w:szCs w:val="24"/>
        </w:rPr>
        <w:t xml:space="preserve">│       │изготовителя, импортера, или продавца, и  │                  │</w:t>
      </w:r>
    </w:p>
    <w:p>
      <w:pPr>
        <w:spacing w:after="120"/>
        <w:jc w:val="both"/>
      </w:pPr>
      <w:r>
        <w:rPr>
          <w:rFonts w:ascii="Arial" w:cs="Arial" w:eastAsia="Arial" w:hAnsi="Arial"/>
          <w:sz w:val="24"/>
          <w:szCs w:val="24"/>
        </w:rPr>
        <w:t xml:space="preserve">│       │выдает протокол испытаний.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(испытание   │                  │</w:t>
      </w:r>
    </w:p>
    <w:p>
      <w:pPr>
        <w:spacing w:after="120"/>
        <w:jc w:val="both"/>
      </w:pPr>
      <w:r>
        <w:rPr>
          <w:rFonts w:ascii="Arial" w:cs="Arial" w:eastAsia="Arial" w:hAnsi="Arial"/>
          <w:sz w:val="24"/>
          <w:szCs w:val="24"/>
        </w:rPr>
        <w:t xml:space="preserve">│       │образцов продукции) в аккредитованной     │                  │</w:t>
      </w:r>
    </w:p>
    <w:p>
      <w:pPr>
        <w:spacing w:after="120"/>
        <w:jc w:val="both"/>
      </w:pPr>
      <w:r>
        <w:rPr>
          <w:rFonts w:ascii="Arial" w:cs="Arial" w:eastAsia="Arial" w:hAnsi="Arial"/>
          <w:sz w:val="24"/>
          <w:szCs w:val="24"/>
        </w:rPr>
        <w:t xml:space="preserve">│       │испытательной лаборатории.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3а  │Заявитель подает заявку на проведение     │Заявитель -       │</w:t>
      </w:r>
    </w:p>
    <w:p>
      <w:pPr>
        <w:spacing w:after="120"/>
        <w:jc w:val="both"/>
      </w:pPr>
      <w:r>
        <w:rPr>
          <w:rFonts w:ascii="Arial" w:cs="Arial" w:eastAsia="Arial" w:hAnsi="Arial"/>
          <w:sz w:val="24"/>
          <w:szCs w:val="24"/>
        </w:rPr>
        <w:t xml:space="preserve">│       │сертификации продукции в орган по         │отечественный     │</w:t>
      </w:r>
    </w:p>
    <w:p>
      <w:pPr>
        <w:spacing w:after="120"/>
        <w:jc w:val="both"/>
      </w:pPr>
      <w:r>
        <w:rPr>
          <w:rFonts w:ascii="Arial" w:cs="Arial" w:eastAsia="Arial" w:hAnsi="Arial"/>
          <w:sz w:val="24"/>
          <w:szCs w:val="24"/>
        </w:rPr>
        <w:t xml:space="preserve">│       │сертификации.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│продавец,         │</w:t>
      </w:r>
    </w:p>
    <w:p>
      <w:pPr>
        <w:spacing w:after="120"/>
        <w:jc w:val="both"/>
      </w:pPr>
      <w:r>
        <w:rPr>
          <w:rFonts w:ascii="Arial" w:cs="Arial" w:eastAsia="Arial" w:hAnsi="Arial"/>
          <w:sz w:val="24"/>
          <w:szCs w:val="24"/>
        </w:rPr>
        <w:t xml:space="preserve">│       │по поручению органа по сертификации       │импортер,         │</w:t>
      </w:r>
    </w:p>
    <w:p>
      <w:pPr>
        <w:spacing w:after="120"/>
        <w:jc w:val="both"/>
      </w:pPr>
      <w:r>
        <w:rPr>
          <w:rFonts w:ascii="Arial" w:cs="Arial" w:eastAsia="Arial" w:hAnsi="Arial"/>
          <w:sz w:val="24"/>
          <w:szCs w:val="24"/>
        </w:rPr>
        <w:t xml:space="preserve">│       │проводит испытание типового образца       │уполномоченное    │</w:t>
      </w:r>
    </w:p>
    <w:p>
      <w:pPr>
        <w:spacing w:after="120"/>
        <w:jc w:val="both"/>
      </w:pPr>
      <w:r>
        <w:rPr>
          <w:rFonts w:ascii="Arial" w:cs="Arial" w:eastAsia="Arial" w:hAnsi="Arial"/>
          <w:sz w:val="24"/>
          <w:szCs w:val="24"/>
        </w:rPr>
        <w:t xml:space="preserve">│       │продукции серийного производства,         │изготовителем     │</w:t>
      </w:r>
    </w:p>
    <w:p>
      <w:pPr>
        <w:spacing w:after="120"/>
        <w:jc w:val="both"/>
      </w:pPr>
      <w:r>
        <w:rPr>
          <w:rFonts w:ascii="Arial" w:cs="Arial" w:eastAsia="Arial" w:hAnsi="Arial"/>
          <w:sz w:val="24"/>
          <w:szCs w:val="24"/>
        </w:rPr>
        <w:t xml:space="preserve">│       │отобранного органом по сертификации у     │лицо              │</w:t>
      </w:r>
    </w:p>
    <w:p>
      <w:pPr>
        <w:spacing w:after="120"/>
        <w:jc w:val="both"/>
      </w:pPr>
      <w:r>
        <w:rPr>
          <w:rFonts w:ascii="Arial" w:cs="Arial" w:eastAsia="Arial" w:hAnsi="Arial"/>
          <w:sz w:val="24"/>
          <w:szCs w:val="24"/>
        </w:rPr>
        <w:t xml:space="preserve">│       │изготовителя, импортера или продавца, и   │                  │</w:t>
      </w:r>
    </w:p>
    <w:p>
      <w:pPr>
        <w:spacing w:after="120"/>
        <w:jc w:val="both"/>
      </w:pPr>
      <w:r>
        <w:rPr>
          <w:rFonts w:ascii="Arial" w:cs="Arial" w:eastAsia="Arial" w:hAnsi="Arial"/>
          <w:sz w:val="24"/>
          <w:szCs w:val="24"/>
        </w:rPr>
        <w:t xml:space="preserve">│       │выдает протокол испытаний.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(испытание   │                  │</w:t>
      </w:r>
    </w:p>
    <w:p>
      <w:pPr>
        <w:spacing w:after="120"/>
        <w:jc w:val="both"/>
      </w:pPr>
      <w:r>
        <w:rPr>
          <w:rFonts w:ascii="Arial" w:cs="Arial" w:eastAsia="Arial" w:hAnsi="Arial"/>
          <w:sz w:val="24"/>
          <w:szCs w:val="24"/>
        </w:rPr>
        <w:t xml:space="preserve">│       │образцов продукции в аккредитованной      │                  │</w:t>
      </w:r>
    </w:p>
    <w:p>
      <w:pPr>
        <w:spacing w:after="120"/>
        <w:jc w:val="both"/>
      </w:pPr>
      <w:r>
        <w:rPr>
          <w:rFonts w:ascii="Arial" w:cs="Arial" w:eastAsia="Arial" w:hAnsi="Arial"/>
          <w:sz w:val="24"/>
          <w:szCs w:val="24"/>
        </w:rPr>
        <w:t xml:space="preserve">│       │испытательной лаборатории).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   │Заявитель подает заявку в орган по        │Заявитель -       │</w:t>
      </w:r>
    </w:p>
    <w:p>
      <w:pPr>
        <w:spacing w:after="120"/>
        <w:jc w:val="both"/>
      </w:pPr>
      <w:r>
        <w:rPr>
          <w:rFonts w:ascii="Arial" w:cs="Arial" w:eastAsia="Arial" w:hAnsi="Arial"/>
          <w:sz w:val="24"/>
          <w:szCs w:val="24"/>
        </w:rPr>
        <w:t xml:space="preserve">│       │сертификации продукции.                   │изготовитель      │</w:t>
      </w:r>
    </w:p>
    <w:p>
      <w:pPr>
        <w:spacing w:after="120"/>
        <w:jc w:val="both"/>
      </w:pPr>
      <w:r>
        <w:rPr>
          <w:rFonts w:ascii="Arial" w:cs="Arial" w:eastAsia="Arial" w:hAnsi="Arial"/>
          <w:sz w:val="24"/>
          <w:szCs w:val="24"/>
        </w:rPr>
        <w:t xml:space="preserve">│       │Аккредитованная испытательная лаборатория │продукции         │</w:t>
      </w:r>
    </w:p>
    <w:p>
      <w:pPr>
        <w:spacing w:after="120"/>
        <w:jc w:val="both"/>
      </w:pPr>
      <w:r>
        <w:rPr>
          <w:rFonts w:ascii="Arial" w:cs="Arial" w:eastAsia="Arial" w:hAnsi="Arial"/>
          <w:sz w:val="24"/>
          <w:szCs w:val="24"/>
        </w:rPr>
        <w:t xml:space="preserve">│       │по поручению органа по сертификации       │(отечественный,   │</w:t>
      </w:r>
    </w:p>
    <w:p>
      <w:pPr>
        <w:spacing w:after="120"/>
        <w:jc w:val="both"/>
      </w:pPr>
      <w:r>
        <w:rPr>
          <w:rFonts w:ascii="Arial" w:cs="Arial" w:eastAsia="Arial" w:hAnsi="Arial"/>
          <w:sz w:val="24"/>
          <w:szCs w:val="24"/>
        </w:rPr>
        <w:t xml:space="preserve">│       │продукции проводит испытание типового     │иностранный)      │</w:t>
      </w:r>
    </w:p>
    <w:p>
      <w:pPr>
        <w:spacing w:after="120"/>
        <w:jc w:val="both"/>
      </w:pPr>
      <w:r>
        <w:rPr>
          <w:rFonts w:ascii="Arial" w:cs="Arial" w:eastAsia="Arial" w:hAnsi="Arial"/>
          <w:sz w:val="24"/>
          <w:szCs w:val="24"/>
        </w:rPr>
        <w:t xml:space="preserve">│       │образца продукции серийного производства, │                  │</w:t>
      </w:r>
    </w:p>
    <w:p>
      <w:pPr>
        <w:spacing w:after="120"/>
        <w:jc w:val="both"/>
      </w:pPr>
      <w:r>
        <w:rPr>
          <w:rFonts w:ascii="Arial" w:cs="Arial" w:eastAsia="Arial" w:hAnsi="Arial"/>
          <w:sz w:val="24"/>
          <w:szCs w:val="24"/>
        </w:rPr>
        <w:t xml:space="preserve">│       │отобранного органом сертификации у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│систем качества проводит сертификацию     │                  │</w:t>
      </w:r>
    </w:p>
    <w:p>
      <w:pPr>
        <w:spacing w:after="120"/>
        <w:jc w:val="both"/>
      </w:pPr>
      <w:r>
        <w:rPr>
          <w:rFonts w:ascii="Arial" w:cs="Arial" w:eastAsia="Arial" w:hAnsi="Arial"/>
          <w:sz w:val="24"/>
          <w:szCs w:val="24"/>
        </w:rPr>
        <w:t xml:space="preserve">│       │систем менеджмента качества или           │                  │</w:t>
      </w:r>
    </w:p>
    <w:p>
      <w:pPr>
        <w:spacing w:after="120"/>
        <w:jc w:val="both"/>
      </w:pPr>
      <w:r>
        <w:rPr>
          <w:rFonts w:ascii="Arial" w:cs="Arial" w:eastAsia="Arial" w:hAnsi="Arial"/>
          <w:sz w:val="24"/>
          <w:szCs w:val="24"/>
        </w:rPr>
        <w:t xml:space="preserve">│       │производства. Осуществляет инспекционный  │                  │</w:t>
      </w:r>
    </w:p>
    <w:p>
      <w:pPr>
        <w:spacing w:after="120"/>
        <w:jc w:val="both"/>
      </w:pPr>
      <w:r>
        <w:rPr>
          <w:rFonts w:ascii="Arial" w:cs="Arial" w:eastAsia="Arial" w:hAnsi="Arial"/>
          <w:sz w:val="24"/>
          <w:szCs w:val="24"/>
        </w:rPr>
        <w:t xml:space="preserve">│       │контроль системы качества (производства). │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│продукции выдает заявителю сертификат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       │Осуществляет инспекционный контроль за    │                  │</w:t>
      </w:r>
    </w:p>
    <w:p>
      <w:pPr>
        <w:spacing w:after="120"/>
        <w:jc w:val="both"/>
      </w:pPr>
      <w:r>
        <w:rPr>
          <w:rFonts w:ascii="Arial" w:cs="Arial" w:eastAsia="Arial" w:hAnsi="Arial"/>
          <w:sz w:val="24"/>
          <w:szCs w:val="24"/>
        </w:rPr>
        <w:t xml:space="preserve">│       │сертифицированной продукцией путем        │                  │</w:t>
      </w:r>
    </w:p>
    <w:p>
      <w:pPr>
        <w:spacing w:after="120"/>
        <w:jc w:val="both"/>
      </w:pPr>
      <w:r>
        <w:rPr>
          <w:rFonts w:ascii="Arial" w:cs="Arial" w:eastAsia="Arial" w:hAnsi="Arial"/>
          <w:sz w:val="24"/>
          <w:szCs w:val="24"/>
        </w:rPr>
        <w:t xml:space="preserve">│       │испытания образцов продукции, отобранных  │                  │</w:t>
      </w:r>
    </w:p>
    <w:p>
      <w:pPr>
        <w:spacing w:after="120"/>
        <w:jc w:val="both"/>
      </w:pPr>
      <w:r>
        <w:rPr>
          <w:rFonts w:ascii="Arial" w:cs="Arial" w:eastAsia="Arial" w:hAnsi="Arial"/>
          <w:sz w:val="24"/>
          <w:szCs w:val="24"/>
        </w:rPr>
        <w:t xml:space="preserve">│       │у изготовителя или продавца, в            │                  │</w:t>
      </w:r>
    </w:p>
    <w:p>
      <w:pPr>
        <w:spacing w:after="120"/>
        <w:jc w:val="both"/>
      </w:pPr>
      <w:r>
        <w:rPr>
          <w:rFonts w:ascii="Arial" w:cs="Arial" w:eastAsia="Arial" w:hAnsi="Arial"/>
          <w:sz w:val="24"/>
          <w:szCs w:val="24"/>
        </w:rPr>
        <w:t xml:space="preserve">│       │аккредитованной испытательной лаборатории.│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│продукцию серийного производства знаком   │                  │</w:t>
      </w:r>
    </w:p>
    <w:p>
      <w:pPr>
        <w:spacing w:after="120"/>
        <w:jc w:val="both"/>
      </w:pPr>
      <w:r>
        <w:rPr>
          <w:rFonts w:ascii="Arial" w:cs="Arial" w:eastAsia="Arial" w:hAnsi="Arial"/>
          <w:sz w:val="24"/>
          <w:szCs w:val="24"/>
        </w:rPr>
        <w:t xml:space="preserve">│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│Заявитель подает заявку на сертификацию   │Заявитель -       │</w:t>
      </w:r>
    </w:p>
    <w:p>
      <w:pPr>
        <w:spacing w:after="120"/>
        <w:jc w:val="both"/>
      </w:pPr>
      <w:r>
        <w:rPr>
          <w:rFonts w:ascii="Arial" w:cs="Arial" w:eastAsia="Arial" w:hAnsi="Arial"/>
          <w:sz w:val="24"/>
          <w:szCs w:val="24"/>
        </w:rPr>
        <w:t xml:space="preserve">│       │продукции в орган по сертификации         │импортер,         │</w:t>
      </w:r>
    </w:p>
    <w:p>
      <w:pPr>
        <w:spacing w:after="120"/>
        <w:jc w:val="both"/>
      </w:pPr>
      <w:r>
        <w:rPr>
          <w:rFonts w:ascii="Arial" w:cs="Arial" w:eastAsia="Arial" w:hAnsi="Arial"/>
          <w:sz w:val="24"/>
          <w:szCs w:val="24"/>
        </w:rPr>
        <w:t xml:space="preserve">│       │продукции.                                │продавец, либо    │</w:t>
      </w:r>
    </w:p>
    <w:p>
      <w:pPr>
        <w:spacing w:after="120"/>
        <w:jc w:val="both"/>
      </w:pPr>
      <w:r>
        <w:rPr>
          <w:rFonts w:ascii="Arial" w:cs="Arial" w:eastAsia="Arial" w:hAnsi="Arial"/>
          <w:sz w:val="24"/>
          <w:szCs w:val="24"/>
        </w:rPr>
        <w:t xml:space="preserve">│       │Аккредитованная испытательная лаборатория │отечественный     │</w:t>
      </w:r>
    </w:p>
    <w:p>
      <w:pPr>
        <w:spacing w:after="120"/>
        <w:jc w:val="both"/>
      </w:pPr>
      <w:r>
        <w:rPr>
          <w:rFonts w:ascii="Arial" w:cs="Arial" w:eastAsia="Arial" w:hAnsi="Arial"/>
          <w:sz w:val="24"/>
          <w:szCs w:val="24"/>
        </w:rPr>
        <w:t xml:space="preserve">│       │по поручению органа по сертификации       │изготовитель      │</w:t>
      </w:r>
    </w:p>
    <w:p>
      <w:pPr>
        <w:spacing w:after="120"/>
        <w:jc w:val="both"/>
      </w:pPr>
      <w:r>
        <w:rPr>
          <w:rFonts w:ascii="Arial" w:cs="Arial" w:eastAsia="Arial" w:hAnsi="Arial"/>
          <w:sz w:val="24"/>
          <w:szCs w:val="24"/>
        </w:rPr>
        <w:t xml:space="preserve">│       │проводит испытание продукции, отобранной  │                  │</w:t>
      </w:r>
    </w:p>
    <w:p>
      <w:pPr>
        <w:spacing w:after="120"/>
        <w:jc w:val="both"/>
      </w:pPr>
      <w:r>
        <w:rPr>
          <w:rFonts w:ascii="Arial" w:cs="Arial" w:eastAsia="Arial" w:hAnsi="Arial"/>
          <w:sz w:val="24"/>
          <w:szCs w:val="24"/>
        </w:rPr>
        <w:t xml:space="preserve">│       │из общей партии продукции, у импортера,   │                  │</w:t>
      </w:r>
    </w:p>
    <w:p>
      <w:pPr>
        <w:spacing w:after="120"/>
        <w:jc w:val="both"/>
      </w:pPr>
      <w:r>
        <w:rPr>
          <w:rFonts w:ascii="Arial" w:cs="Arial" w:eastAsia="Arial" w:hAnsi="Arial"/>
          <w:sz w:val="24"/>
          <w:szCs w:val="24"/>
        </w:rPr>
        <w:t xml:space="preserve">│       │продавца, либо у отечественного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│на партию продукции с указанием размеров  │                  │</w:t>
      </w:r>
    </w:p>
    <w:p>
      <w:pPr>
        <w:spacing w:after="120"/>
        <w:jc w:val="both"/>
      </w:pPr>
      <w:r>
        <w:rPr>
          <w:rFonts w:ascii="Arial" w:cs="Arial" w:eastAsia="Arial" w:hAnsi="Arial"/>
          <w:sz w:val="24"/>
          <w:szCs w:val="24"/>
        </w:rPr>
        <w:t xml:space="preserve">│       │партии.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│партию продукции знаком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5а  │Заявитель подает заявку на сертификацию   │Заявитель -       │</w:t>
      </w:r>
    </w:p>
    <w:p>
      <w:pPr>
        <w:spacing w:after="120"/>
        <w:jc w:val="both"/>
      </w:pPr>
      <w:r>
        <w:rPr>
          <w:rFonts w:ascii="Arial" w:cs="Arial" w:eastAsia="Arial" w:hAnsi="Arial"/>
          <w:sz w:val="24"/>
          <w:szCs w:val="24"/>
        </w:rPr>
        <w:t xml:space="preserve">│       │продукции в орган по сертификации         │импортер,         │</w:t>
      </w:r>
    </w:p>
    <w:p>
      <w:pPr>
        <w:spacing w:after="120"/>
        <w:jc w:val="both"/>
      </w:pPr>
      <w:r>
        <w:rPr>
          <w:rFonts w:ascii="Arial" w:cs="Arial" w:eastAsia="Arial" w:hAnsi="Arial"/>
          <w:sz w:val="24"/>
          <w:szCs w:val="24"/>
        </w:rPr>
        <w:t xml:space="preserve">│       │продукции.                                │продавец, либо    │</w:t>
      </w:r>
    </w:p>
    <w:p>
      <w:pPr>
        <w:spacing w:after="120"/>
        <w:jc w:val="both"/>
      </w:pPr>
      <w:r>
        <w:rPr>
          <w:rFonts w:ascii="Arial" w:cs="Arial" w:eastAsia="Arial" w:hAnsi="Arial"/>
          <w:sz w:val="24"/>
          <w:szCs w:val="24"/>
        </w:rPr>
        <w:t xml:space="preserve">│       │Аккредитованная испытательная лаборатория │отечественный     │</w:t>
      </w:r>
    </w:p>
    <w:p>
      <w:pPr>
        <w:spacing w:after="120"/>
        <w:jc w:val="both"/>
      </w:pPr>
      <w:r>
        <w:rPr>
          <w:rFonts w:ascii="Arial" w:cs="Arial" w:eastAsia="Arial" w:hAnsi="Arial"/>
          <w:sz w:val="24"/>
          <w:szCs w:val="24"/>
        </w:rPr>
        <w:t xml:space="preserve">│       │по поручению органа по сертификации       │изготовитель      │</w:t>
      </w:r>
    </w:p>
    <w:p>
      <w:pPr>
        <w:spacing w:after="120"/>
        <w:jc w:val="both"/>
      </w:pPr>
      <w:r>
        <w:rPr>
          <w:rFonts w:ascii="Arial" w:cs="Arial" w:eastAsia="Arial" w:hAnsi="Arial"/>
          <w:sz w:val="24"/>
          <w:szCs w:val="24"/>
        </w:rPr>
        <w:t xml:space="preserve">│       │проводит испытание продукции, отобранной  │                  │</w:t>
      </w:r>
    </w:p>
    <w:p>
      <w:pPr>
        <w:spacing w:after="120"/>
        <w:jc w:val="both"/>
      </w:pPr>
      <w:r>
        <w:rPr>
          <w:rFonts w:ascii="Arial" w:cs="Arial" w:eastAsia="Arial" w:hAnsi="Arial"/>
          <w:sz w:val="24"/>
          <w:szCs w:val="24"/>
        </w:rPr>
        <w:t xml:space="preserve">│       │из общей партии продукции, у импортера,   │                  │</w:t>
      </w:r>
    </w:p>
    <w:p>
      <w:pPr>
        <w:spacing w:after="120"/>
        <w:jc w:val="both"/>
      </w:pPr>
      <w:r>
        <w:rPr>
          <w:rFonts w:ascii="Arial" w:cs="Arial" w:eastAsia="Arial" w:hAnsi="Arial"/>
          <w:sz w:val="24"/>
          <w:szCs w:val="24"/>
        </w:rPr>
        <w:t xml:space="preserve">│       │продавца, либо у отечественного           │                  │</w:t>
      </w:r>
    </w:p>
    <w:p>
      <w:pPr>
        <w:spacing w:after="120"/>
        <w:jc w:val="both"/>
      </w:pPr>
      <w:r>
        <w:rPr>
          <w:rFonts w:ascii="Arial" w:cs="Arial" w:eastAsia="Arial" w:hAnsi="Arial"/>
          <w:sz w:val="24"/>
          <w:szCs w:val="24"/>
        </w:rPr>
        <w:t xml:space="preserve">│       │изготовителя, и выдает протокол испытаний.│                  │</w:t>
      </w:r>
    </w:p>
    <w:p>
      <w:pPr>
        <w:spacing w:after="120"/>
        <w:jc w:val="both"/>
      </w:pPr>
      <w:r>
        <w:rPr>
          <w:rFonts w:ascii="Arial" w:cs="Arial" w:eastAsia="Arial" w:hAnsi="Arial"/>
          <w:sz w:val="24"/>
          <w:szCs w:val="24"/>
        </w:rPr>
        <w:t xml:space="preserve">│       │Аккредитованный орган по сертификации     │                  │</w:t>
      </w:r>
    </w:p>
    <w:p>
      <w:pPr>
        <w:spacing w:after="120"/>
        <w:jc w:val="both"/>
      </w:pPr>
      <w:r>
        <w:rPr>
          <w:rFonts w:ascii="Arial" w:cs="Arial" w:eastAsia="Arial" w:hAnsi="Arial"/>
          <w:sz w:val="24"/>
          <w:szCs w:val="24"/>
        </w:rPr>
        <w:t xml:space="preserve">│       │выдает заявителю сертификат соответствия  │                  │</w:t>
      </w:r>
    </w:p>
    <w:p>
      <w:pPr>
        <w:spacing w:after="120"/>
        <w:jc w:val="both"/>
      </w:pPr>
      <w:r>
        <w:rPr>
          <w:rFonts w:ascii="Arial" w:cs="Arial" w:eastAsia="Arial" w:hAnsi="Arial"/>
          <w:sz w:val="24"/>
          <w:szCs w:val="24"/>
        </w:rPr>
        <w:t xml:space="preserve">│       │на партию, проводит инспекционный контроль│                  │</w:t>
      </w:r>
    </w:p>
    <w:p>
      <w:pPr>
        <w:spacing w:after="120"/>
        <w:jc w:val="both"/>
      </w:pPr>
      <w:r>
        <w:rPr>
          <w:rFonts w:ascii="Arial" w:cs="Arial" w:eastAsia="Arial" w:hAnsi="Arial"/>
          <w:sz w:val="24"/>
          <w:szCs w:val="24"/>
        </w:rPr>
        <w:t xml:space="preserve">│       │за сертифицированной продукцией.          │                  │</w:t>
      </w:r>
    </w:p>
    <w:p>
      <w:pPr>
        <w:spacing w:after="120"/>
        <w:jc w:val="both"/>
      </w:pPr>
      <w:r>
        <w:rPr>
          <w:rFonts w:ascii="Arial" w:cs="Arial" w:eastAsia="Arial" w:hAnsi="Arial"/>
          <w:sz w:val="24"/>
          <w:szCs w:val="24"/>
        </w:rPr>
        <w:t xml:space="preserve">│       │Заявитель маркирует сертифицированную     │                  │</w:t>
      </w:r>
    </w:p>
    <w:p>
      <w:pPr>
        <w:spacing w:after="120"/>
        <w:jc w:val="both"/>
      </w:pPr>
      <w:r>
        <w:rPr>
          <w:rFonts w:ascii="Arial" w:cs="Arial" w:eastAsia="Arial" w:hAnsi="Arial"/>
          <w:sz w:val="24"/>
          <w:szCs w:val="24"/>
        </w:rPr>
        <w:t xml:space="preserve">│       │партию продукции знаком соответствия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стульев ученических,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Справочный размер                   │</w:t>
      </w:r>
    </w:p>
    <w:p>
      <w:pPr>
        <w:spacing w:after="120"/>
        <w:jc w:val="both"/>
      </w:pPr>
      <w:r>
        <w:rPr>
          <w:rFonts w:ascii="Arial" w:cs="Arial" w:eastAsia="Arial" w:hAnsi="Arial"/>
          <w:sz w:val="24"/>
          <w:szCs w:val="24"/>
        </w:rPr>
        <w:t xml:space="preserve">│    размера   ├──────┬───────┬────────┬──────┬───────┬───────┬───────┤</w:t>
      </w:r>
    </w:p>
    <w:p>
      <w:pPr>
        <w:spacing w:after="120"/>
        <w:jc w:val="both"/>
      </w:pPr>
      <w:r>
        <w:rPr>
          <w:rFonts w:ascii="Arial" w:cs="Arial" w:eastAsia="Arial" w:hAnsi="Arial"/>
          <w:sz w:val="24"/>
          <w:szCs w:val="24"/>
        </w:rPr>
        <w:t xml:space="preserve">│              │   0  │   1   │    2   │   3  │   4   │   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Цвет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│белый │оранже-│фиолето-│желтый│красный│зеленый│голубой│</w:t>
      </w:r>
    </w:p>
    <w:p>
      <w:pPr>
        <w:spacing w:after="120"/>
        <w:jc w:val="both"/>
      </w:pPr>
      <w:r>
        <w:rPr>
          <w:rFonts w:ascii="Arial" w:cs="Arial" w:eastAsia="Arial" w:hAnsi="Arial"/>
          <w:sz w:val="24"/>
          <w:szCs w:val="24"/>
        </w:rPr>
        <w:t xml:space="preserve">│              │      │  вый  │  вый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│Справочный    │  900 │  1050 │  1200  │ 1350 │  1500 │  1650 │  1800 │</w:t>
      </w:r>
    </w:p>
    <w:p>
      <w:pPr>
        <w:spacing w:after="120"/>
        <w:jc w:val="both"/>
      </w:pPr>
      <w:r>
        <w:rPr>
          <w:rFonts w:ascii="Arial" w:cs="Arial" w:eastAsia="Arial" w:hAnsi="Arial"/>
          <w:sz w:val="24"/>
          <w:szCs w:val="24"/>
        </w:rPr>
        <w:t xml:space="preserve">│рост - средняя│      │       │        │      │       │       │       │</w:t>
      </w:r>
    </w:p>
    <w:p>
      <w:pPr>
        <w:spacing w:after="120"/>
        <w:jc w:val="both"/>
      </w:pPr>
      <w:r>
        <w:rPr>
          <w:rFonts w:ascii="Arial" w:cs="Arial" w:eastAsia="Arial" w:hAnsi="Arial"/>
          <w:sz w:val="24"/>
          <w:szCs w:val="24"/>
        </w:rPr>
        <w:t xml:space="preserve">│высота тела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220 │   260 │   300  │  340 │   380 │   420 │   460 │</w:t>
      </w:r>
    </w:p>
    <w:p>
      <w:pPr>
        <w:spacing w:after="120"/>
        <w:jc w:val="both"/>
      </w:pPr>
      <w:r>
        <w:rPr>
          <w:rFonts w:ascii="Arial" w:cs="Arial" w:eastAsia="Arial" w:hAnsi="Arial"/>
          <w:sz w:val="24"/>
          <w:szCs w:val="24"/>
        </w:rPr>
        <w:t xml:space="preserve">│основания     │      │       │        │      │       │       │       │</w:t>
      </w:r>
    </w:p>
    <w:p>
      <w:pPr>
        <w:spacing w:after="120"/>
        <w:jc w:val="both"/>
      </w:pPr>
      <w:r>
        <w:rPr>
          <w:rFonts w:ascii="Arial" w:cs="Arial" w:eastAsia="Arial" w:hAnsi="Arial"/>
          <w:sz w:val="24"/>
          <w:szCs w:val="24"/>
        </w:rPr>
        <w:t xml:space="preserve">│сиденья, h5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│Полезная      │   -  │   260 │   290  │  330 │   360 │   380 │   400 │</w:t>
      </w:r>
    </w:p>
    <w:p>
      <w:pPr>
        <w:spacing w:after="120"/>
        <w:jc w:val="both"/>
      </w:pPr>
      <w:r>
        <w:rPr>
          <w:rFonts w:ascii="Arial" w:cs="Arial" w:eastAsia="Arial" w:hAnsi="Arial"/>
          <w:sz w:val="24"/>
          <w:szCs w:val="24"/>
        </w:rPr>
        <w:t xml:space="preserve">│глубина       │      │       │        │      │       │       │       │</w:t>
      </w:r>
    </w:p>
    <w:p>
      <w:pPr>
        <w:spacing w:after="120"/>
        <w:jc w:val="both"/>
      </w:pPr>
      <w:r>
        <w:rPr>
          <w:rFonts w:ascii="Arial" w:cs="Arial" w:eastAsia="Arial" w:hAnsi="Arial"/>
          <w:sz w:val="24"/>
          <w:szCs w:val="24"/>
        </w:rPr>
        <w:t xml:space="preserve">│сиденья, t4,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   -  │   250 │   270  │  290 │   320 │   340 │   360 │</w:t>
      </w:r>
    </w:p>
    <w:p>
      <w:pPr>
        <w:spacing w:after="120"/>
        <w:jc w:val="both"/>
      </w:pPr>
      <w:r>
        <w:rPr>
          <w:rFonts w:ascii="Arial" w:cs="Arial" w:eastAsia="Arial" w:hAnsi="Arial"/>
          <w:sz w:val="24"/>
          <w:szCs w:val="24"/>
        </w:rPr>
        <w:t xml:space="preserve">│сиденья, b3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│Справочная    │   -  │   160 │   170  │  190 │   200 │   210 │   220 │</w:t>
      </w:r>
    </w:p>
    <w:p>
      <w:pPr>
        <w:spacing w:after="120"/>
        <w:jc w:val="both"/>
      </w:pPr>
      <w:r>
        <w:rPr>
          <w:rFonts w:ascii="Arial" w:cs="Arial" w:eastAsia="Arial" w:hAnsi="Arial"/>
          <w:sz w:val="24"/>
          <w:szCs w:val="24"/>
        </w:rPr>
        <w:t xml:space="preserve">│точка         │      │       │        │      │       │       │       │</w:t>
      </w:r>
    </w:p>
    <w:p>
      <w:pPr>
        <w:spacing w:after="120"/>
        <w:jc w:val="both"/>
      </w:pPr>
      <w:r>
        <w:rPr>
          <w:rFonts w:ascii="Arial" w:cs="Arial" w:eastAsia="Arial" w:hAnsi="Arial"/>
          <w:sz w:val="24"/>
          <w:szCs w:val="24"/>
        </w:rPr>
        <w:t xml:space="preserve">│относительно  │      │       │        │      │       │       │       │</w:t>
      </w:r>
    </w:p>
    <w:p>
      <w:pPr>
        <w:spacing w:after="120"/>
        <w:jc w:val="both"/>
      </w:pPr>
      <w:r>
        <w:rPr>
          <w:rFonts w:ascii="Arial" w:cs="Arial" w:eastAsia="Arial" w:hAnsi="Arial"/>
          <w:sz w:val="24"/>
          <w:szCs w:val="24"/>
        </w:rPr>
        <w:t xml:space="preserve">│(бета), w(*4)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  │   120 │   130  │  150 │   160 │   170 │   190 │</w:t>
      </w:r>
    </w:p>
    <w:p>
      <w:pPr>
        <w:spacing w:after="120"/>
        <w:jc w:val="both"/>
      </w:pPr>
      <w:r>
        <w:rPr>
          <w:rFonts w:ascii="Arial" w:cs="Arial" w:eastAsia="Arial" w:hAnsi="Arial"/>
          <w:sz w:val="24"/>
          <w:szCs w:val="24"/>
        </w:rPr>
        <w:t xml:space="preserve">│нижнего края  │      │       │        │      │       │       │       │</w:t>
      </w:r>
    </w:p>
    <w:p>
      <w:pPr>
        <w:spacing w:after="120"/>
        <w:jc w:val="both"/>
      </w:pPr>
      <w:r>
        <w:rPr>
          <w:rFonts w:ascii="Arial" w:cs="Arial" w:eastAsia="Arial" w:hAnsi="Arial"/>
          <w:sz w:val="24"/>
          <w:szCs w:val="24"/>
        </w:rPr>
        <w:t xml:space="preserve">│спинки, h5,   │      │       │        │      │       │       │       │</w:t>
      </w:r>
    </w:p>
    <w:p>
      <w:pPr>
        <w:spacing w:after="120"/>
        <w:jc w:val="both"/>
      </w:pPr>
      <w:r>
        <w:rPr>
          <w:rFonts w:ascii="Arial" w:cs="Arial" w:eastAsia="Arial" w:hAnsi="Arial"/>
          <w:sz w:val="24"/>
          <w:szCs w:val="24"/>
        </w:rPr>
        <w:t xml:space="preserve">│макс(*5*6)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w:t>
      </w:r>
    </w:p>
    <w:p>
      <w:pPr>
        <w:spacing w:after="120"/>
        <w:jc w:val="both"/>
      </w:pPr>
      <w:r>
        <w:rPr>
          <w:rFonts w:ascii="Arial" w:cs="Arial" w:eastAsia="Arial" w:hAnsi="Arial"/>
          <w:sz w:val="24"/>
          <w:szCs w:val="24"/>
        </w:rPr>
        <w:t xml:space="preserve">│верхнего края │                                                      │</w:t>
      </w:r>
    </w:p>
    <w:p>
      <w:pPr>
        <w:spacing w:after="120"/>
        <w:jc w:val="both"/>
      </w:pPr>
      <w:r>
        <w:rPr>
          <w:rFonts w:ascii="Arial" w:cs="Arial" w:eastAsia="Arial" w:hAnsi="Arial"/>
          <w:sz w:val="24"/>
          <w:szCs w:val="24"/>
        </w:rPr>
        <w:t xml:space="preserve">│спинки,       │                                                      │</w:t>
      </w:r>
    </w:p>
    <w:p>
      <w:pPr>
        <w:spacing w:after="120"/>
        <w:jc w:val="both"/>
      </w:pPr>
      <w:r>
        <w:rPr>
          <w:rFonts w:ascii="Arial" w:cs="Arial" w:eastAsia="Arial" w:hAnsi="Arial"/>
          <w:sz w:val="24"/>
          <w:szCs w:val="24"/>
        </w:rPr>
        <w:t xml:space="preserve">│h7(*6), макс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   -  │   210 │   250  │  280 │   310 │   330 │   360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│Максимальная  │   -  │   250 │   280  │  310 │   330 │   360 │   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спинки,│   -  │   250 │   250  │  250 │   280 │   300 │   320 │</w:t>
      </w:r>
    </w:p>
    <w:p>
      <w:pPr>
        <w:spacing w:after="120"/>
        <w:jc w:val="both"/>
      </w:pPr>
      <w:r>
        <w:rPr>
          <w:rFonts w:ascii="Arial" w:cs="Arial" w:eastAsia="Arial" w:hAnsi="Arial"/>
          <w:sz w:val="24"/>
          <w:szCs w:val="24"/>
        </w:rPr>
        <w:t xml:space="preserve">│b4(*7)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   -  │  30-50│  30-50 │ 30-50│ 30-50 │ 30-50 │ 30-50 │</w:t>
      </w:r>
    </w:p>
    <w:p>
      <w:pPr>
        <w:spacing w:after="120"/>
        <w:jc w:val="both"/>
      </w:pPr>
      <w:r>
        <w:rPr>
          <w:rFonts w:ascii="Arial" w:cs="Arial" w:eastAsia="Arial" w:hAnsi="Arial"/>
          <w:sz w:val="24"/>
          <w:szCs w:val="24"/>
        </w:rPr>
        <w:t xml:space="preserve">│закругления   │      │       │        │      │       │       │       │</w:t>
      </w:r>
    </w:p>
    <w:p>
      <w:pPr>
        <w:spacing w:after="120"/>
        <w:jc w:val="both"/>
      </w:pPr>
      <w:r>
        <w:rPr>
          <w:rFonts w:ascii="Arial" w:cs="Arial" w:eastAsia="Arial" w:hAnsi="Arial"/>
          <w:sz w:val="24"/>
          <w:szCs w:val="24"/>
        </w:rPr>
        <w:t xml:space="preserve">│переднего края│      │       │        │      │       │       │       │</w:t>
      </w:r>
    </w:p>
    <w:p>
      <w:pPr>
        <w:spacing w:after="120"/>
        <w:jc w:val="both"/>
      </w:pPr>
      <w:r>
        <w:rPr>
          <w:rFonts w:ascii="Arial" w:cs="Arial" w:eastAsia="Arial" w:hAnsi="Arial"/>
          <w:sz w:val="24"/>
          <w:szCs w:val="24"/>
        </w:rPr>
        <w:t xml:space="preserve">│сиденья,      │      │       │        │      │       │       │       │</w:t>
      </w:r>
    </w:p>
    <w:p>
      <w:pPr>
        <w:spacing w:after="120"/>
        <w:jc w:val="both"/>
      </w:pPr>
      <w:r>
        <w:rPr>
          <w:rFonts w:ascii="Arial" w:cs="Arial" w:eastAsia="Arial" w:hAnsi="Arial"/>
          <w:sz w:val="24"/>
          <w:szCs w:val="24"/>
        </w:rPr>
        <w:t xml:space="preserve">│r1(*8)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спинки,│   -  │   300 │   300  │  300 │   300 │   300 │   300 │</w:t>
      </w:r>
    </w:p>
    <w:p>
      <w:pPr>
        <w:spacing w:after="120"/>
        <w:jc w:val="both"/>
      </w:pPr>
      <w:r>
        <w:rPr>
          <w:rFonts w:ascii="Arial" w:cs="Arial" w:eastAsia="Arial" w:hAnsi="Arial"/>
          <w:sz w:val="24"/>
          <w:szCs w:val="24"/>
        </w:rPr>
        <w:t xml:space="preserve">│r2(*9)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 наклона  │0     │0 град.│0 град. │0     │0 град.│0 град.│0 град.│</w:t>
      </w:r>
    </w:p>
    <w:p>
      <w:pPr>
        <w:spacing w:after="120"/>
        <w:jc w:val="both"/>
      </w:pPr>
      <w:r>
        <w:rPr>
          <w:rFonts w:ascii="Arial" w:cs="Arial" w:eastAsia="Arial" w:hAnsi="Arial"/>
          <w:sz w:val="24"/>
          <w:szCs w:val="24"/>
        </w:rPr>
        <w:t xml:space="preserve">│сиденья,      │град. │- 4    │- 4     │град. │- 4    │- 4    │- 4    │</w:t>
      </w:r>
    </w:p>
    <w:p>
      <w:pPr>
        <w:spacing w:after="120"/>
        <w:jc w:val="both"/>
      </w:pPr>
      <w:r>
        <w:rPr>
          <w:rFonts w:ascii="Arial" w:cs="Arial" w:eastAsia="Arial" w:hAnsi="Arial"/>
          <w:sz w:val="24"/>
          <w:szCs w:val="24"/>
        </w:rPr>
        <w:t xml:space="preserve">│(дельта)(*10) │- 4   │град.  │град.   │- 4   │град.  │град.  │град.  │</w:t>
      </w:r>
    </w:p>
    <w:p>
      <w:pPr>
        <w:spacing w:after="120"/>
        <w:jc w:val="both"/>
      </w:pPr>
      <w:r>
        <w:rPr>
          <w:rFonts w:ascii="Arial" w:cs="Arial" w:eastAsia="Arial" w:hAnsi="Arial"/>
          <w:sz w:val="24"/>
          <w:szCs w:val="24"/>
        </w:rPr>
        <w:t xml:space="preserve">│              │град. │       │        │град.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 между    │95    │95     │95 град.│95    │95     │95     │95     │</w:t>
      </w:r>
    </w:p>
    <w:p>
      <w:pPr>
        <w:spacing w:after="120"/>
        <w:jc w:val="both"/>
      </w:pPr>
      <w:r>
        <w:rPr>
          <w:rFonts w:ascii="Arial" w:cs="Arial" w:eastAsia="Arial" w:hAnsi="Arial"/>
          <w:sz w:val="24"/>
          <w:szCs w:val="24"/>
        </w:rPr>
        <w:t xml:space="preserve">│сиденьем и    │град. │град.  │- 106   │град. │град.  │град.  │град.  │</w:t>
      </w:r>
    </w:p>
    <w:p>
      <w:pPr>
        <w:spacing w:after="120"/>
        <w:jc w:val="both"/>
      </w:pPr>
      <w:r>
        <w:rPr>
          <w:rFonts w:ascii="Arial" w:cs="Arial" w:eastAsia="Arial" w:hAnsi="Arial"/>
          <w:sz w:val="24"/>
          <w:szCs w:val="24"/>
        </w:rPr>
        <w:t xml:space="preserve">│спинкой,      │- 106 │- 106  │град.   │- 106 │- 106  │- 106  │- 106  │</w:t>
      </w:r>
    </w:p>
    <w:p>
      <w:pPr>
        <w:spacing w:after="120"/>
        <w:jc w:val="both"/>
      </w:pPr>
      <w:r>
        <w:rPr>
          <w:rFonts w:ascii="Arial" w:cs="Arial" w:eastAsia="Arial" w:hAnsi="Arial"/>
          <w:sz w:val="24"/>
          <w:szCs w:val="24"/>
        </w:rPr>
        <w:t xml:space="preserve">│(бета)(*11)   │град. │град.  │        │град. │град.  │град.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столов ученических,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Справочный размер                   │</w:t>
      </w:r>
    </w:p>
    <w:p>
      <w:pPr>
        <w:spacing w:after="120"/>
        <w:jc w:val="both"/>
      </w:pPr>
      <w:r>
        <w:rPr>
          <w:rFonts w:ascii="Arial" w:cs="Arial" w:eastAsia="Arial" w:hAnsi="Arial"/>
          <w:sz w:val="24"/>
          <w:szCs w:val="24"/>
        </w:rPr>
        <w:t xml:space="preserve">│    размера   ├──────┬───────┬────────┬──────┬───────┬───────┬───────┤</w:t>
      </w:r>
    </w:p>
    <w:p>
      <w:pPr>
        <w:spacing w:after="120"/>
        <w:jc w:val="both"/>
      </w:pPr>
      <w:r>
        <w:rPr>
          <w:rFonts w:ascii="Arial" w:cs="Arial" w:eastAsia="Arial" w:hAnsi="Arial"/>
          <w:sz w:val="24"/>
          <w:szCs w:val="24"/>
        </w:rPr>
        <w:t xml:space="preserve">│              │   0  │   1   │    2   │   3  │   4   │   5   │   6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Цвет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│белый │оранже-│фиолето-│желтый│красный│зеленый│голубой│</w:t>
      </w:r>
    </w:p>
    <w:p>
      <w:pPr>
        <w:spacing w:after="120"/>
        <w:jc w:val="both"/>
      </w:pPr>
      <w:r>
        <w:rPr>
          <w:rFonts w:ascii="Arial" w:cs="Arial" w:eastAsia="Arial" w:hAnsi="Arial"/>
          <w:sz w:val="24"/>
          <w:szCs w:val="24"/>
        </w:rPr>
        <w:t xml:space="preserve">│              │      │  вый  │  вый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│Справочный    │  900 │  1050 │  1200  │ 1350 │  1500 │  1650 │  1800 │</w:t>
      </w:r>
    </w:p>
    <w:p>
      <w:pPr>
        <w:spacing w:after="120"/>
        <w:jc w:val="both"/>
      </w:pPr>
      <w:r>
        <w:rPr>
          <w:rFonts w:ascii="Arial" w:cs="Arial" w:eastAsia="Arial" w:hAnsi="Arial"/>
          <w:sz w:val="24"/>
          <w:szCs w:val="24"/>
        </w:rPr>
        <w:t xml:space="preserve">│рост - средняя│      │       │        │      │       │       │       │</w:t>
      </w:r>
    </w:p>
    <w:p>
      <w:pPr>
        <w:spacing w:after="120"/>
        <w:jc w:val="both"/>
      </w:pPr>
      <w:r>
        <w:rPr>
          <w:rFonts w:ascii="Arial" w:cs="Arial" w:eastAsia="Arial" w:hAnsi="Arial"/>
          <w:sz w:val="24"/>
          <w:szCs w:val="24"/>
        </w:rPr>
        <w:t xml:space="preserve">│высота тела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до     │  400 │   460 │   520  │  580 │   640 │   700 │   760 │</w:t>
      </w:r>
    </w:p>
    <w:p>
      <w:pPr>
        <w:spacing w:after="120"/>
        <w:jc w:val="both"/>
      </w:pPr>
      <w:r>
        <w:rPr>
          <w:rFonts w:ascii="Arial" w:cs="Arial" w:eastAsia="Arial" w:hAnsi="Arial"/>
          <w:sz w:val="24"/>
          <w:szCs w:val="24"/>
        </w:rPr>
        <w:t xml:space="preserve">│крышки, h1    │      │       │        │      │       │       │       │</w:t>
      </w:r>
    </w:p>
    <w:p>
      <w:pPr>
        <w:spacing w:after="120"/>
        <w:jc w:val="both"/>
      </w:pPr>
      <w:r>
        <w:rPr>
          <w:rFonts w:ascii="Arial" w:cs="Arial" w:eastAsia="Arial" w:hAnsi="Arial"/>
          <w:sz w:val="24"/>
          <w:szCs w:val="24"/>
        </w:rPr>
        <w:t xml:space="preserve">│(допуск +/-   │      │       │        │      │       │       │       │</w:t>
      </w:r>
    </w:p>
    <w:p>
      <w:pPr>
        <w:spacing w:after="120"/>
        <w:jc w:val="both"/>
      </w:pPr>
      <w:r>
        <w:rPr>
          <w:rFonts w:ascii="Arial" w:cs="Arial" w:eastAsia="Arial" w:hAnsi="Arial"/>
          <w:sz w:val="24"/>
          <w:szCs w:val="24"/>
        </w:rPr>
        <w:t xml:space="preserve">│10 мм)(*****)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350 │   410  │  470 │   530 │   590 │   650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ног,      │      │       │        │      │       │       │       │</w:t>
      </w:r>
    </w:p>
    <w:p>
      <w:pPr>
        <w:spacing w:after="120"/>
        <w:jc w:val="both"/>
      </w:pPr>
      <w:r>
        <w:rPr>
          <w:rFonts w:ascii="Arial" w:cs="Arial" w:eastAsia="Arial" w:hAnsi="Arial"/>
          <w:sz w:val="24"/>
          <w:szCs w:val="24"/>
        </w:rPr>
        <w:t xml:space="preserve">│h2,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350 │   350  │  400 │   400 │   450 │   500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ног,      │      │       │        │      │       │       │       │</w:t>
      </w:r>
    </w:p>
    <w:p>
      <w:pPr>
        <w:spacing w:after="120"/>
        <w:jc w:val="both"/>
      </w:pPr>
      <w:r>
        <w:rPr>
          <w:rFonts w:ascii="Arial" w:cs="Arial" w:eastAsia="Arial" w:hAnsi="Arial"/>
          <w:sz w:val="24"/>
          <w:szCs w:val="24"/>
        </w:rPr>
        <w:t xml:space="preserve">│согнутых в    │      │       │        │      │       │       │       │</w:t>
      </w:r>
    </w:p>
    <w:p>
      <w:pPr>
        <w:spacing w:after="120"/>
        <w:jc w:val="both"/>
      </w:pPr>
      <w:r>
        <w:rPr>
          <w:rFonts w:ascii="Arial" w:cs="Arial" w:eastAsia="Arial" w:hAnsi="Arial"/>
          <w:sz w:val="24"/>
          <w:szCs w:val="24"/>
        </w:rPr>
        <w:t xml:space="preserve">│коленях, h3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│Высота        │   -  │   250 │   250  │  300 │   300 │   350 │   350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вытянутых │      │       │        │      │       │       │       │</w:t>
      </w:r>
    </w:p>
    <w:p>
      <w:pPr>
        <w:spacing w:after="120"/>
        <w:jc w:val="both"/>
      </w:pPr>
      <w:r>
        <w:rPr>
          <w:rFonts w:ascii="Arial" w:cs="Arial" w:eastAsia="Arial" w:hAnsi="Arial"/>
          <w:sz w:val="24"/>
          <w:szCs w:val="24"/>
        </w:rPr>
        <w:t xml:space="preserve">│ног, h4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крышки │   -  │   450 │   500  │  500 │   500 │   500 │   500 │</w:t>
      </w:r>
    </w:p>
    <w:p>
      <w:pPr>
        <w:spacing w:after="120"/>
        <w:jc w:val="both"/>
      </w:pPr>
      <w:r>
        <w:rPr>
          <w:rFonts w:ascii="Arial" w:cs="Arial" w:eastAsia="Arial" w:hAnsi="Arial"/>
          <w:sz w:val="24"/>
          <w:szCs w:val="24"/>
        </w:rPr>
        <w:t xml:space="preserve">│стола, t1(*4)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│Минимальная   │                                                      │</w:t>
      </w:r>
    </w:p>
    <w:p>
      <w:pPr>
        <w:spacing w:after="120"/>
        <w:jc w:val="both"/>
      </w:pPr>
      <w:r>
        <w:rPr>
          <w:rFonts w:ascii="Arial" w:cs="Arial" w:eastAsia="Arial" w:hAnsi="Arial"/>
          <w:sz w:val="24"/>
          <w:szCs w:val="24"/>
        </w:rPr>
        <w:t xml:space="preserve">│длина крышки  │                                                      │</w:t>
      </w:r>
    </w:p>
    <w:p>
      <w:pPr>
        <w:spacing w:after="120"/>
        <w:jc w:val="both"/>
      </w:pPr>
      <w:r>
        <w:rPr>
          <w:rFonts w:ascii="Arial" w:cs="Arial" w:eastAsia="Arial" w:hAnsi="Arial"/>
          <w:sz w:val="24"/>
          <w:szCs w:val="24"/>
        </w:rPr>
        <w:t xml:space="preserve">│стола, b1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          │   -  │   600 │   600  │  700 │   700 │   700 │   700 │</w:t>
      </w:r>
    </w:p>
    <w:p>
      <w:pPr>
        <w:spacing w:after="120"/>
        <w:jc w:val="both"/>
      </w:pPr>
      <w:r>
        <w:rPr>
          <w:rFonts w:ascii="Arial" w:cs="Arial" w:eastAsia="Arial" w:hAnsi="Arial"/>
          <w:sz w:val="24"/>
          <w:szCs w:val="24"/>
        </w:rPr>
        <w:t xml:space="preserve">│одноместный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│Стол          │   -  │  1200 │  1200  │ 1300 │  1300 │  1300 │  1300 │</w:t>
      </w:r>
    </w:p>
    <w:p>
      <w:pPr>
        <w:spacing w:after="120"/>
        <w:jc w:val="both"/>
      </w:pPr>
      <w:r>
        <w:rPr>
          <w:rFonts w:ascii="Arial" w:cs="Arial" w:eastAsia="Arial" w:hAnsi="Arial"/>
          <w:sz w:val="24"/>
          <w:szCs w:val="24"/>
        </w:rPr>
        <w:t xml:space="preserve">│двухместный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│Ширина        │   -  │   450 │   470  │  470 │   470 │   470 │   500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      │       │        │      │       │       │       │</w:t>
      </w:r>
    </w:p>
    <w:p>
      <w:pPr>
        <w:spacing w:after="120"/>
        <w:jc w:val="both"/>
      </w:pPr>
      <w:r>
        <w:rPr>
          <w:rFonts w:ascii="Arial" w:cs="Arial" w:eastAsia="Arial" w:hAnsi="Arial"/>
          <w:sz w:val="24"/>
          <w:szCs w:val="24"/>
        </w:rPr>
        <w:t xml:space="preserve">│b2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│Глубина       │   -  │   300 │   300  │  300 │   350 │   400 │   400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с │      │       │        │      │       │       │       │</w:t>
      </w:r>
    </w:p>
    <w:p>
      <w:pPr>
        <w:spacing w:after="120"/>
        <w:jc w:val="both"/>
      </w:pPr>
      <w:r>
        <w:rPr>
          <w:rFonts w:ascii="Arial" w:cs="Arial" w:eastAsia="Arial" w:hAnsi="Arial"/>
          <w:sz w:val="24"/>
          <w:szCs w:val="24"/>
        </w:rPr>
        <w:t xml:space="preserve">│согнутыми     │      │       │        │      │       │       │       │</w:t>
      </w:r>
    </w:p>
    <w:p>
      <w:pPr>
        <w:spacing w:after="120"/>
        <w:jc w:val="both"/>
      </w:pPr>
      <w:r>
        <w:rPr>
          <w:rFonts w:ascii="Arial" w:cs="Arial" w:eastAsia="Arial" w:hAnsi="Arial"/>
          <w:sz w:val="24"/>
          <w:szCs w:val="24"/>
        </w:rPr>
        <w:t xml:space="preserve">│коленями, t2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│Глубина       │   -  │   400 │   400  │  400 │   400 │   450 │   450 │</w:t>
      </w:r>
    </w:p>
    <w:p>
      <w:pPr>
        <w:spacing w:after="120"/>
        <w:jc w:val="both"/>
      </w:pPr>
      <w:r>
        <w:rPr>
          <w:rFonts w:ascii="Arial" w:cs="Arial" w:eastAsia="Arial" w:hAnsi="Arial"/>
          <w:sz w:val="24"/>
          <w:szCs w:val="24"/>
        </w:rPr>
        <w:t xml:space="preserve">│пространства  │      │       │        │      │       │       │       │</w:t>
      </w:r>
    </w:p>
    <w:p>
      <w:pPr>
        <w:spacing w:after="120"/>
        <w:jc w:val="both"/>
      </w:pPr>
      <w:r>
        <w:rPr>
          <w:rFonts w:ascii="Arial" w:cs="Arial" w:eastAsia="Arial" w:hAnsi="Arial"/>
          <w:sz w:val="24"/>
          <w:szCs w:val="24"/>
        </w:rPr>
        <w:t xml:space="preserve">│для сиденья с │      │       │        │      │       │       │       │</w:t>
      </w:r>
    </w:p>
    <w:p>
      <w:pPr>
        <w:spacing w:after="120"/>
        <w:jc w:val="both"/>
      </w:pPr>
      <w:r>
        <w:rPr>
          <w:rFonts w:ascii="Arial" w:cs="Arial" w:eastAsia="Arial" w:hAnsi="Arial"/>
          <w:sz w:val="24"/>
          <w:szCs w:val="24"/>
        </w:rPr>
        <w:t xml:space="preserve">│вытянутыми    │      │       │        │      │       │       │       │</w:t>
      </w:r>
    </w:p>
    <w:p>
      <w:pPr>
        <w:spacing w:after="120"/>
        <w:jc w:val="both"/>
      </w:pPr>
      <w:r>
        <w:rPr>
          <w:rFonts w:ascii="Arial" w:cs="Arial" w:eastAsia="Arial" w:hAnsi="Arial"/>
          <w:sz w:val="24"/>
          <w:szCs w:val="24"/>
        </w:rPr>
        <w:t xml:space="preserve">│ногами, t3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gpza42jlkhssektpnah">
      <w:r>
        <w:rPr>
          <w:rFonts w:ascii="Arial" w:cs="Arial" w:eastAsia="Arial" w:hAnsi="Arial"/>
          <w:color w:val="132D3F"/>
          <w:sz w:val="16"/>
          <w:szCs w:val="16"/>
          <w:u w:val="single"/>
        </w:rPr>
        <w:t xml:space="preserve">dalil.kg/document/93884</w:t>
      </w:r>
    </w:hyperlink>
  </w:p>
  <w:p>
    <w:pPr>
      <w:spacing w:after="0" w:before="40"/>
      <w:jc w:val="center"/>
    </w:pPr>
    <w:hyperlink w:history="1" r:id="rIdp1npna9rlw06sowvq0i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dp2gkltziqdc52c2nb5" Type="http://schemas.openxmlformats.org/officeDocument/2006/relationships/hyperlink" Target="https://dalil.kg/document/157017" TargetMode="External"/><Relationship Id="rIdi-nztpic5nwklqikxtqyv" Type="http://schemas.openxmlformats.org/officeDocument/2006/relationships/hyperlink" Target="https://dalil.kg/document/93194" TargetMode="External"/><Relationship Id="rIdt7hi5rqv6wrcwkyvem5qp" Type="http://schemas.openxmlformats.org/officeDocument/2006/relationships/hyperlink" Target="https://dalil.kg/document/93884#p1" TargetMode="External"/><Relationship Id="rId5arhgq8-gggzlzodcdxu5" Type="http://schemas.openxmlformats.org/officeDocument/2006/relationships/hyperlink" Target="https://dalil.kg/document/1453" TargetMode="External"/><Relationship Id="rIdlyhqtce-8fyjcx7dxkr9r" Type="http://schemas.openxmlformats.org/officeDocument/2006/relationships/hyperlink" Target="https://dalil.kg/document/203382" TargetMode="External"/><Relationship Id="rId47ctur4bzesjdjzvarkgs" Type="http://schemas.openxmlformats.org/officeDocument/2006/relationships/hyperlink" Target="https://dalil.kg/document/93884#p3" TargetMode="External"/><Relationship Id="rIdymonrxwfriz7kpzqfuaix" Type="http://schemas.openxmlformats.org/officeDocument/2006/relationships/hyperlink" Target="https://dalil.kg/document/93884#p3" TargetMode="External"/><Relationship Id="rIdkc5gcdlo6p-azgvhjcgzp" Type="http://schemas.openxmlformats.org/officeDocument/2006/relationships/hyperlink" Target="https://dalil.kg/document/93884#p3" TargetMode="External"/><Relationship Id="rIdrrnmb66adxb3um3ts0qzx" Type="http://schemas.openxmlformats.org/officeDocument/2006/relationships/hyperlink" Target="https://dalil.kg/document/93884#p2" TargetMode="External"/><Relationship Id="rIdhecdjojjmkrrjrhyrfprw" Type="http://schemas.openxmlformats.org/officeDocument/2006/relationships/hyperlink" Target="https://dalil.kg/document/93884#p2" TargetMode="External"/><Relationship Id="rIdohpylvb3o_-anl61qid5b" Type="http://schemas.openxmlformats.org/officeDocument/2006/relationships/hyperlink" Target="https://dalil.kg/document/93884#p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gpza42jlkhssektpnah" Type="http://schemas.openxmlformats.org/officeDocument/2006/relationships/hyperlink" Target="https://dalil.kg/document/93884" TargetMode="External"/><Relationship Id="rIdp1npna9rlw06sowvq0i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2026-09-25T00:51:23.777Z</dcterms:created>
  <dcterms:modified xsi:type="dcterms:W3CDTF">2026-09-25T00:51:23.777Z</dcterms:modified>
</cp:coreProperties>
</file>

<file path=docProps/custom.xml><?xml version="1.0" encoding="utf-8"?>
<Properties xmlns="http://schemas.openxmlformats.org/officeDocument/2006/custom-properties" xmlns:vt="http://schemas.openxmlformats.org/officeDocument/2006/docPropsVTypes"/>
</file>