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4nvhywnkzpz7qameilyib">
        <w:r>
          <w:rPr>
            <w:rFonts w:ascii="Arial" w:cs="Arial" w:eastAsia="Arial" w:hAnsi="Arial"/>
            <w:color w:val="1D4ED8"/>
            <w:sz w:val="24"/>
            <w:szCs w:val="24"/>
            <w:u w:val="single"/>
          </w:rPr>
          <w:t xml:space="preserve">постановление</w:t>
        </w:r>
        <w:r>
          <w:rPr>
            <w:rFonts w:ascii="Arial" w:cs="Arial" w:eastAsia="Arial" w:hAnsi="Arial"/>
            <w:b/>
            <w:bCs/>
            <w:color w:val="1D4ED8"/>
            <w:sz w:val="24"/>
            <w:szCs w:val="24"/>
            <w:u w:val="single"/>
          </w:rPr>
          <w:t xml:space="preserve">м</w:t>
        </w:r>
      </w:hyperlink>
      <w:r>
        <w:rPr>
          <w:rFonts w:ascii="Arial" w:cs="Arial" w:eastAsia="Arial" w:hAnsi="Arial"/>
          <w:sz w:val="24"/>
          <w:szCs w:val="24"/>
        </w:rPr>
        <w:t xml:space="preserve"> Правительства КР  от 6 ноября 2015 года № 760)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pwsycg7bjm1a8ncaduan">
        <w:r>
          <w:rPr>
            <w:rFonts w:ascii="Arial" w:cs="Arial" w:eastAsia="Arial" w:hAnsi="Arial"/>
            <w:color w:val="1D4ED8"/>
            <w:sz w:val="24"/>
            <w:szCs w:val="24"/>
            <w:u w:val="single"/>
          </w:rPr>
          <w:t xml:space="preserve">12 января 2013 года № 12</w:t>
        </w:r>
      </w:hyperlink>
      <w:r>
        <w:rPr>
          <w:rFonts w:ascii="Arial" w:cs="Arial" w:eastAsia="Arial" w:hAnsi="Arial"/>
          <w:sz w:val="24"/>
          <w:szCs w:val="24"/>
        </w:rPr>
        <w:t xml:space="preserve">, 
 </w:t>
      </w:r>
      <w:hyperlink w:history="1" r:id="rIdmzk0o2qvp67rn20-ie3my">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 </w:t>
      </w:r>
      <w:hyperlink w:history="1" r:id="rIdffyyd-t3nsxdvvtnnokwy">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Положение о порядке уплаты и исчисления платежа за удержание лицензий на право пользования недрами (далее - Положение) разработано в соответствии с законами Кыргызской Республики "</w:t>
      </w:r>
      <w:hyperlink w:history="1" r:id="rIdsq_f7wdyftokilkflwr8c">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и "</w:t>
      </w:r>
      <w:hyperlink w:history="1" r:id="rIdvini6l6mq7qtww7fvd9d8">
        <w:r>
          <w:rPr>
            <w:rFonts w:ascii="Arial" w:cs="Arial" w:eastAsia="Arial" w:hAnsi="Arial"/>
            <w:color w:val="1D4ED8"/>
            <w:sz w:val="24"/>
            <w:szCs w:val="24"/>
            <w:u w:val="single"/>
          </w:rPr>
          <w:t xml:space="preserve">О неналоговых платежах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Платеж за удержание лицензии на право пользования недрами далее (далее - платеж) подлежит уплате недропользователями, получившими право на поиск и/или разведку, и/или разработку месторождений полезных ископаемых в Кыргызской Республике.</w:t>
      </w:r>
    </w:p>
    <w:p>
      <w:pPr>
        <w:spacing w:after="120"/>
        <w:jc w:val="both"/>
      </w:pPr>
      <w:r>
        <w:rPr>
          <w:rFonts w:ascii="Arial" w:cs="Arial" w:eastAsia="Arial" w:hAnsi="Arial"/>
          <w:sz w:val="24"/>
          <w:szCs w:val="24"/>
        </w:rPr>
        <w:t xml:space="preserve">3. Объектом исчисления платежа является право пользования недрами недропользователем на определенной территории.</w:t>
      </w:r>
    </w:p>
    <w:p>
      <w:pPr>
        <w:spacing w:after="120"/>
        <w:jc w:val="both"/>
      </w:pPr>
      <w:r>
        <w:rPr>
          <w:rFonts w:ascii="Arial" w:cs="Arial" w:eastAsia="Arial" w:hAnsi="Arial"/>
          <w:sz w:val="24"/>
          <w:szCs w:val="24"/>
        </w:rPr>
        <w:t xml:space="preserve">4. Базой для исчисления платежа при поиске и/или разведке, и/или при разработке месторождений полезных ископаемых является размер лицензионной площади.</w:t>
      </w:r>
    </w:p>
    <w:p>
      <w:pPr>
        <w:spacing w:after="120"/>
        <w:jc w:val="both"/>
      </w:pPr>
      <w:r>
        <w:rPr>
          <w:rFonts w:ascii="Arial" w:cs="Arial" w:eastAsia="Arial" w:hAnsi="Arial"/>
          <w:sz w:val="24"/>
          <w:szCs w:val="24"/>
        </w:rPr>
        <w:t xml:space="preserve">5. Максимальный размер лицензионной площади поисковых работ не ограничивается.</w:t>
      </w:r>
    </w:p>
    <w:p>
      <w:pPr>
        <w:spacing w:after="120"/>
        <w:jc w:val="both"/>
      </w:pPr>
      <w:r>
        <w:rPr>
          <w:rFonts w:ascii="Arial" w:cs="Arial" w:eastAsia="Arial" w:hAnsi="Arial"/>
          <w:sz w:val="24"/>
          <w:szCs w:val="24"/>
        </w:rPr>
        <w:t xml:space="preserve">6. Недропользователь имеет право сократить лицензионную площадь. Сокращение площади может производиться один раз в год, после принятия уполномоченным органом по реализации государственной политики по недропользованию годового отчета о выполненной работе на сокращаемой площади, после рекультивации нарушенных земель.</w:t>
      </w:r>
    </w:p>
    <w:p>
      <w:pPr>
        <w:spacing w:after="120"/>
        <w:jc w:val="both"/>
      </w:pPr>
      <w:r>
        <w:rPr>
          <w:rFonts w:ascii="Arial" w:cs="Arial" w:eastAsia="Arial" w:hAnsi="Arial"/>
          <w:sz w:val="24"/>
          <w:szCs w:val="24"/>
        </w:rPr>
        <w:t xml:space="preserve">7. Плата за удержание лицензии на право пользование недрами с целью поиска месторождений полезных ископаемых устанавливается кратно одному расчетному показателю за квадратный километр лицензионной площади в год. Размеры ставок для исчисления лицензионных площадей на право пользование недрами с целью поиска месторождений полезных ископаемых приведены в </w:t>
      </w:r>
      <w:hyperlink w:history="1" r:id="rId-ju6m2ikplnamk8fg9av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8. Плата за удержание лицензии на пользование недрами с целью разведки месторождений полезных ископаемых устанавливается кратно одному расчетному показателю за гектар лицензионной площади в год. Размеры ставок для исчисления лицензионных площадей на право пользование недрами с целью разведки месторождений полезных ископаемых приведены в </w:t>
      </w:r>
      <w:hyperlink w:history="1" r:id="rIdf17lai7dlblmmphrjjm8h">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9. Плата за удержание лицензии на разработку месторождений полезных ископаемых устанавливается кратно одному расчетному показателю за гектар лицензионной площади в год. Размеры ставок для исчисления лицензионных площадей на право разработки месторождений полезных ископаемых приведены в приложении 3 к настоящему Положению.</w:t>
      </w:r>
    </w:p>
    <w:p>
      <w:pPr>
        <w:spacing w:after="120"/>
        <w:jc w:val="both"/>
      </w:pPr>
      <w:r>
        <w:rPr>
          <w:rFonts w:ascii="Arial" w:cs="Arial" w:eastAsia="Arial" w:hAnsi="Arial"/>
          <w:sz w:val="24"/>
          <w:szCs w:val="24"/>
        </w:rPr>
        <w:t xml:space="preserve">10. Лицензиат, получивший лицензию на право пользования недрами, в течение 30 календарных дней со дня получения лицензии должен оплатить платеж за первый год действия лицензии на право пользования недрами.</w:t>
      </w:r>
    </w:p>
    <w:p>
      <w:pPr>
        <w:spacing w:after="120"/>
        <w:jc w:val="both"/>
      </w:pPr>
      <w:r>
        <w:rPr>
          <w:rFonts w:ascii="Arial" w:cs="Arial" w:eastAsia="Arial" w:hAnsi="Arial"/>
          <w:sz w:val="24"/>
          <w:szCs w:val="24"/>
        </w:rPr>
        <w:t xml:space="preserve">11. В дальнейшем, оплата платежа производится на ежеквартальной основе. Общий размер платы за год распределяется пропорционально по месяцам, и лицензиат производит уплату платежа не позднее 20 числа месяца, следующего за отчетным кварталом.</w:t>
      </w:r>
    </w:p>
    <w:p>
      <w:pPr>
        <w:spacing w:after="120"/>
        <w:jc w:val="both"/>
      </w:pPr>
      <w:r>
        <w:rPr>
          <w:rFonts w:ascii="Arial" w:cs="Arial" w:eastAsia="Arial" w:hAnsi="Arial"/>
          <w:sz w:val="24"/>
          <w:szCs w:val="24"/>
        </w:rPr>
        <w:t xml:space="preserve">12. Исчисление сроков для определения размеров оплаты лицензионных платежей по лицензиям, выданным до вступления в силу </w:t>
      </w:r>
      <w:hyperlink w:history="1" r:id="rIdydddvvle0njqdiul80k5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осуществляется от даты первоначальной выдачи лицензии. При этом в учет берется только период фактического пользования лицензией.</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agsrtwk6yt_t-4oefqxu6">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5 октября 2015 года №13-р</w:t>
      </w:r>
    </w:p>
    <w:p>
      <w:pPr>
        <w:spacing w:after="120"/>
        <w:jc w:val="both"/>
      </w:pPr>
      <w:r>
        <w:rPr>
          <w:rFonts w:ascii="Arial" w:cs="Arial" w:eastAsia="Arial" w:hAnsi="Arial"/>
          <w:sz w:val="24"/>
          <w:szCs w:val="24"/>
        </w:rPr>
        <w:t xml:space="preserve">13. Плата по лицензиям, выданным до введения платежа за удержание лицензий, начинает взиматься с момента вступления в силу </w:t>
      </w:r>
      <w:hyperlink w:history="1" r:id="rIdc1lfhi-zmxxzivxybxr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и исчисляется пропорционально оставшемуся времени до конца 2012 года. В дальнейшем оплата платежа производится в общем порядке.</w:t>
      </w:r>
    </w:p>
    <w:p>
      <w:pPr>
        <w:spacing w:after="120"/>
        <w:jc w:val="both"/>
      </w:pPr>
      <w:r>
        <w:rPr>
          <w:rFonts w:ascii="Arial" w:cs="Arial" w:eastAsia="Arial" w:hAnsi="Arial"/>
          <w:sz w:val="24"/>
          <w:szCs w:val="24"/>
        </w:rPr>
        <w:t xml:space="preserve">14. Оплата платежа производится напрямую в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оплата платежа производится на счет каждого органа местного самоуправления, пропорционально площади, которая находится на территории той или иной указанных административно-территориальных единиц.</w:t>
      </w:r>
    </w:p>
    <w:p>
      <w:pPr>
        <w:spacing w:after="120"/>
        <w:jc w:val="both"/>
      </w:pPr>
      <w:r>
        <w:rPr>
          <w:rFonts w:ascii="Arial" w:cs="Arial" w:eastAsia="Arial" w:hAnsi="Arial"/>
          <w:sz w:val="24"/>
          <w:szCs w:val="24"/>
        </w:rPr>
        <w:t xml:space="preserve">В случае если лицензионная площадь или ее часть не входит в границы айылного аймака, города то платежи за удержание лицензии на право пользования недрами данной площади направляются в республиканский бюджет.</w:t>
      </w:r>
    </w:p>
    <w:p>
      <w:pPr>
        <w:spacing w:after="120"/>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mz5awhpo-tsv88lczjc2">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 </w:t>
      </w:r>
      <w:hyperlink w:history="1" r:id="rIdhvq7mdfs12yxs3qceb39y">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Расчет платежа производится государственным органом по реализации государственной политики по недропользованию и выдается недропользователю для представления в налоговый орган по месту нахождения лицензионной площади. Если лицензионная площадь охватывает территории нескольких административно-территориальных единиц, то составляется соответственно несколько расчетов по каждой административно-территориальной единице отдельно.</w:t>
      </w:r>
    </w:p>
    <w:p>
      <w:pPr>
        <w:spacing w:after="120"/>
        <w:jc w:val="both"/>
      </w:pPr>
      <w:r>
        <w:rPr>
          <w:rFonts w:ascii="Arial" w:cs="Arial" w:eastAsia="Arial" w:hAnsi="Arial"/>
          <w:sz w:val="24"/>
          <w:szCs w:val="24"/>
        </w:rPr>
        <w:t xml:space="preserve">При этом, для составления расчета недропользователи должны представить в уполномоченный орган по реализации государственной политики по недропользованию справки, определяющие точные границы айылных аймаков и площадей, не входящих в границы аймаков, на своих лицензионных площадях, выданные главами айыл окмоту или иными компетентными органами, в течение 30 дней с момента получения соответствующего извещения от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gpgjsi68nvg611gpaa7f">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15-1. В случае если на одной лицензионной площади недропользователь занимается поиском, разведкой или разработкой двух и более видов полезных ископаемых, размер платежа за удержание лицензии определяется только по одному виду полезного ископаемого, размер платежа по которому при произведении расчетов будет наибольшим, по отношению к другим видам полезных ископаемых.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mto9lgm6nxdrdliqnzmm">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 выдаче лицензии недропользователю одновременно выдается расчет платежа.</w:t>
      </w:r>
    </w:p>
    <w:p>
      <w:pPr>
        <w:spacing w:after="120"/>
        <w:jc w:val="both"/>
      </w:pPr>
      <w:r>
        <w:rPr>
          <w:rFonts w:ascii="Arial" w:cs="Arial" w:eastAsia="Arial" w:hAnsi="Arial"/>
          <w:sz w:val="24"/>
          <w:szCs w:val="24"/>
        </w:rPr>
        <w:t xml:space="preserve">17. В срок до 1 марта 2014 года государственный орган по реализации государственной политики по недропользованию производит расчеты платежа за период, указанный в пункте 13 настоящего Положения, и вручает их лицензиатам, получившим лицензии.</w:t>
      </w:r>
    </w:p>
    <w:p>
      <w:pPr>
        <w:spacing w:after="120"/>
        <w:jc w:val="both"/>
      </w:pPr>
      <w:r>
        <w:rPr>
          <w:rFonts w:ascii="Arial" w:cs="Arial" w:eastAsia="Arial" w:hAnsi="Arial"/>
          <w:sz w:val="24"/>
          <w:szCs w:val="24"/>
        </w:rPr>
        <w:t xml:space="preserve">В случае, указанном в настоящем пункте, лицензиат обязан оплатить платеж в течение 15 календарных дней с момента надлежащего вручения ему расчета платежа. Под надлежащим вручением понимается вручение расчета лично лицензиату или его представителю, под роспись, направление расчета по почте заказным письмом по последнему известному адресу. Лицензиат, сменивший свой адрес и не поставивший об этом в известность лицензиара, самостоятельно несет риск последствий несвоевременной уплаты платежа.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jrnahyxl4plvkyqq9ngb">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 </w:t>
      </w:r>
      <w:hyperlink w:history="1" r:id="rIdhmfhprspwr002ejfarxik">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Нарушение сроков оплаты платежа на срок более 30 календарных дней является основанием для аннулирования лицензии недропользователя согласно </w:t>
      </w:r>
      <w:hyperlink w:history="1" r:id="rIdyvap-uhhvdzqzzxpyiov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6s6vm1g6tk2vmhrjuqrs">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Недропользователь ежеквартально должен подавать в государственный орган по реализации государственной политики по недропользованию сведения об уплате платежа, с приложением копий подтверждающих оплату документов. Непредоставление сведений об оплате платежа расценивается как неуплата платежа.</w:t>
      </w:r>
    </w:p>
    <w:p>
      <w:pPr>
        <w:spacing w:after="120"/>
        <w:jc w:val="both"/>
      </w:pPr>
      <w:r>
        <w:rPr>
          <w:rFonts w:ascii="Arial" w:cs="Arial" w:eastAsia="Arial" w:hAnsi="Arial"/>
          <w:sz w:val="24"/>
          <w:szCs w:val="24"/>
        </w:rPr>
        <w:t xml:space="preserve">20. Уплата платежа за удержание лицензии прекращается:</w:t>
      </w:r>
    </w:p>
    <w:p>
      <w:pPr>
        <w:spacing w:after="120"/>
        <w:jc w:val="both"/>
      </w:pPr>
      <w:r>
        <w:rPr>
          <w:rFonts w:ascii="Arial" w:cs="Arial" w:eastAsia="Arial" w:hAnsi="Arial"/>
          <w:sz w:val="24"/>
          <w:szCs w:val="24"/>
        </w:rPr>
        <w:t xml:space="preserve">- при прекращении прав пользования недрами (аннулировании лицензии), с месяца, следующего за месяцем, в котором была аннулирована лицензия;</w:t>
      </w:r>
    </w:p>
    <w:p>
      <w:pPr>
        <w:spacing w:after="120"/>
        <w:jc w:val="both"/>
      </w:pPr>
      <w:r>
        <w:rPr>
          <w:rFonts w:ascii="Arial" w:cs="Arial" w:eastAsia="Arial" w:hAnsi="Arial"/>
          <w:sz w:val="24"/>
          <w:szCs w:val="24"/>
        </w:rPr>
        <w:t xml:space="preserve">- с момента начала добычи полезных ископаемых, при условии 100-процентного выполнения годового объема добычи полезного ископаемого, установленного согласованным Планом горных работ.</w:t>
      </w:r>
    </w:p>
    <w:p>
      <w:pPr>
        <w:spacing w:after="120"/>
        <w:jc w:val="both"/>
      </w:pPr>
      <w:r>
        <w:rPr>
          <w:rFonts w:ascii="Arial" w:cs="Arial" w:eastAsia="Arial" w:hAnsi="Arial"/>
          <w:sz w:val="24"/>
          <w:szCs w:val="24"/>
        </w:rPr>
        <w:t xml:space="preserve">21. В случае частичного выполнения годового объема добычи полезного ископаемого, лицензиат обязан уплатить платеж в сумме, пропорциональной объему недовыполненных добычных работ за соответствующий год.</w:t>
      </w:r>
    </w:p>
    <w:p>
      <w:pPr>
        <w:spacing w:after="120"/>
        <w:jc w:val="both"/>
      </w:pPr>
      <w:r>
        <w:rPr>
          <w:rFonts w:ascii="Arial" w:cs="Arial" w:eastAsia="Arial" w:hAnsi="Arial"/>
          <w:sz w:val="24"/>
          <w:szCs w:val="24"/>
        </w:rPr>
        <w:t xml:space="preserve">Расчет производится по результатам годового отчета.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etysbhba0ahlcjzx55mtz">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В период действия обстоятельств непреодолимой силы, препятствующих выполнению лицензиатом обязательств, предусмотренных условиями лицензирования, платеж не начисляется и не уплачивается. В зависимости от характера, обстоятельства непреодолимой силы подтверждаются справками соответствующих компетентных органов Кыргызской Республики.</w:t>
      </w:r>
    </w:p>
    <w:p>
      <w:pPr>
        <w:spacing w:after="120"/>
        <w:jc w:val="both"/>
      </w:pPr>
      <w:r>
        <w:rPr>
          <w:rFonts w:ascii="Arial" w:cs="Arial" w:eastAsia="Arial" w:hAnsi="Arial"/>
          <w:sz w:val="24"/>
          <w:szCs w:val="24"/>
        </w:rPr>
        <w:t xml:space="preserve">23. Приостановление действия лицензии не является основанием для приостановления начисления и оплаты платежа.</w:t>
      </w:r>
    </w:p>
    <w:p>
      <w:pPr>
        <w:spacing w:after="120"/>
        <w:jc w:val="both"/>
      </w:pPr>
      <w:r>
        <w:rPr>
          <w:rFonts w:ascii="Arial" w:cs="Arial" w:eastAsia="Arial" w:hAnsi="Arial"/>
          <w:sz w:val="24"/>
          <w:szCs w:val="24"/>
        </w:rPr>
        <w:t xml:space="preserve">24. В случае если приостановление действия лицензии будет признано незаконным по решению суда, уплаченные суммы платежа за время приостановления лицензии подлежат возврату лицензиату, либо должны быть зачтены в счет будущих платежей.</w:t>
      </w:r>
    </w:p>
    <w:p>
      <w:pPr>
        <w:spacing w:after="120"/>
        <w:jc w:val="both"/>
      </w:pPr>
      <w:r>
        <w:rPr>
          <w:rFonts w:ascii="Arial" w:cs="Arial" w:eastAsia="Arial" w:hAnsi="Arial"/>
          <w:sz w:val="24"/>
          <w:szCs w:val="24"/>
        </w:rPr>
        <w:t xml:space="preserve">25. Контроль за правильностью и своевременностью уплаты платежа в бюджет осуществляют налоговые органы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платежа при поиске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tgzxedftm5pm3zokpztw">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1"/>
        <w:gridCol w:w="772"/>
        <w:gridCol w:w="772"/>
        <w:gridCol w:w="772"/>
        <w:gridCol w:w="772"/>
        <w:gridCol w:w="772"/>
        <w:gridCol w:w="1839"/>
      </w:tblGrid>
      <w:tr>
        <w:tc>
          <w:tcPr>
            <w:tcW w:type="dxa" w:w="44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Поиски по видам полезных ископаемых</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кв.км МРП</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кв.км МРП</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кв.км МРП</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кв.км МРП</w:t>
            </w:r>
          </w:p>
        </w:tc>
        <w:tc>
          <w:tcPr>
            <w:tcW w:type="dxa" w:w="7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кв.км МРП</w:t>
            </w:r>
          </w:p>
        </w:tc>
        <w:tc>
          <w:tcPr>
            <w:tcW w:type="dxa" w:w="18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 за каждый последующий год плата увеличивается на 50%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4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поиске полезных ископаемых, на каждый год, следующий за пятым годом, увеличивается на 50 процентов.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w:t>
      </w:r>
      <w:hyperlink w:history="1" r:id="rIdzf44hfur3syq9ghtobv-y">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СТАВКА
 платежа при разведке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xktxacd2iyx11ft_cyke">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7"/>
        <w:gridCol w:w="633"/>
        <w:gridCol w:w="631"/>
        <w:gridCol w:w="631"/>
        <w:gridCol w:w="631"/>
        <w:gridCol w:w="631"/>
        <w:gridCol w:w="631"/>
        <w:gridCol w:w="631"/>
        <w:gridCol w:w="631"/>
        <w:gridCol w:w="631"/>
        <w:gridCol w:w="1436"/>
      </w:tblGrid>
      <w:tr>
        <w:tc>
          <w:tcPr>
            <w:tcW w:type="dxa" w:w="30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Разведка по видам полезных ископаемых</w:t>
            </w:r>
          </w:p>
        </w:tc>
        <w:tc>
          <w:tcPr>
            <w:tcW w:type="dxa" w:w="6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7-й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8-й год, ПУЛ за 1 га МРП</w:t>
            </w:r>
          </w:p>
        </w:tc>
        <w:tc>
          <w:tcPr>
            <w:tcW w:type="dxa" w:w="6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9-й год, ПУЛ за 1 га МРП</w:t>
            </w:r>
          </w:p>
        </w:tc>
        <w:tc>
          <w:tcPr>
            <w:tcW w:type="dxa" w:w="14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10-й и последующие годы, ПУЛ за 1 га МРП</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 (мрамор,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30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разведке полезных ископаемых, в случае продления лицензии,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g99nkxk3yteqdhsgjwg5b">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w:t>
      </w:r>
    </w:p>
    <w:p>
      <w:pPr>
        <w:spacing w:after="120"/>
        <w:jc w:val="both"/>
      </w:pPr>
      <w:r>
        <w:rPr>
          <w:rFonts w:ascii="Arial" w:cs="Arial" w:eastAsia="Arial" w:hAnsi="Arial"/>
          <w:sz w:val="24"/>
          <w:szCs w:val="24"/>
        </w:rPr>
        <w:t xml:space="preserve">СТАВКА
 платежа при разработке полезных ископаемых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eiduigb93rzs9ict3xlz">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9"/>
        <w:gridCol w:w="671"/>
        <w:gridCol w:w="671"/>
        <w:gridCol w:w="671"/>
        <w:gridCol w:w="671"/>
        <w:gridCol w:w="671"/>
        <w:gridCol w:w="671"/>
        <w:gridCol w:w="671"/>
        <w:gridCol w:w="671"/>
        <w:gridCol w:w="671"/>
        <w:gridCol w:w="1595"/>
      </w:tblGrid>
      <w:tr>
        <w:tc>
          <w:tcPr>
            <w:tcW w:type="dxa" w:w="2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Разведка по видам полезных ископаемых</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2-й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3-й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4-й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5-й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6-й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7-й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8-й год, ПУЛ за 1 га МРП</w:t>
            </w:r>
          </w:p>
        </w:tc>
        <w:tc>
          <w:tcPr>
            <w:tcW w:type="dxa" w:w="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9-й год, ПУЛ за 1 га МРП</w:t>
            </w:r>
          </w:p>
        </w:tc>
        <w:tc>
          <w:tcPr>
            <w:tcW w:type="dxa" w:w="15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10-й и последующие годы, ПУЛ за 1 га МРП</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Неметаллические ископаемые:</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известняк-ракушечник, доломит-известняк, граниты,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Горючие ископаемые:</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2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ПУЛ - платеж за удержание лицензии.</w:t>
      </w:r>
    </w:p>
    <w:p>
      <w:pPr>
        <w:spacing w:after="120"/>
        <w:jc w:val="both"/>
      </w:pPr>
      <w:r>
        <w:rPr>
          <w:rFonts w:ascii="Arial" w:cs="Arial" w:eastAsia="Arial" w:hAnsi="Arial"/>
          <w:sz w:val="24"/>
          <w:szCs w:val="24"/>
        </w:rPr>
        <w:t xml:space="preserve">2) МРП - минимальный расчетный показатель.</w:t>
      </w:r>
    </w:p>
    <w:p>
      <w:pPr>
        <w:spacing w:after="120"/>
        <w:jc w:val="both"/>
      </w:pPr>
      <w:r>
        <w:rPr>
          <w:rFonts w:ascii="Arial" w:cs="Arial" w:eastAsia="Arial" w:hAnsi="Arial"/>
          <w:sz w:val="24"/>
          <w:szCs w:val="24"/>
        </w:rPr>
        <w:t xml:space="preserve">3) Размер ставки платежа, уплачиваемого при разработке полезных ископаемых, на последующие годы действия и продления лицензии, следующий за десятым годом, устанавливается по ставкам за 10-й год.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o9rdyx8cqdhg1mloubx">
      <w:r>
        <w:rPr>
          <w:rFonts w:ascii="Arial" w:cs="Arial" w:eastAsia="Arial" w:hAnsi="Arial"/>
          <w:color w:val="132D3F"/>
          <w:sz w:val="16"/>
          <w:szCs w:val="16"/>
          <w:u w:val="single"/>
        </w:rPr>
        <w:t xml:space="preserve">dalil.kg/document/93893</w:t>
      </w:r>
    </w:hyperlink>
  </w:p>
  <w:p>
    <w:pPr>
      <w:spacing w:after="0" w:before="40"/>
      <w:jc w:val="center"/>
    </w:pPr>
    <w:hyperlink w:history="1" r:id="rId4wkm7_cudwopdnnzfbl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nvhywnkzpz7qameilyib" Type="http://schemas.openxmlformats.org/officeDocument/2006/relationships/hyperlink" Target="https://dalil.kg/document/98154" TargetMode="External"/><Relationship Id="rIdepwsycg7bjm1a8ncaduan" Type="http://schemas.openxmlformats.org/officeDocument/2006/relationships/hyperlink" Target="https://dalil.kg/document/94110" TargetMode="External"/><Relationship Id="rIdmzk0o2qvp67rn20-ie3my" Type="http://schemas.openxmlformats.org/officeDocument/2006/relationships/hyperlink" Target="https://dalil.kg/document/94491" TargetMode="External"/><Relationship Id="rIdffyyd-t3nsxdvvtnnokwy" Type="http://schemas.openxmlformats.org/officeDocument/2006/relationships/hyperlink" Target="https://dalil.kg/document/59903" TargetMode="External"/><Relationship Id="rIdsq_f7wdyftokilkflwr8c" Type="http://schemas.openxmlformats.org/officeDocument/2006/relationships/hyperlink" Target="https://dalil.kg/document/203760" TargetMode="External"/><Relationship Id="rIdvini6l6mq7qtww7fvd9d8" Type="http://schemas.openxmlformats.org/officeDocument/2006/relationships/hyperlink" Target="https://dalil.kg/document/741" TargetMode="External"/><Relationship Id="rId-ju6m2ikplnamk8fg9avr" Type="http://schemas.openxmlformats.org/officeDocument/2006/relationships/hyperlink" Target="https://dalil.kg/document/93222#p1" TargetMode="External"/><Relationship Id="rIdf17lai7dlblmmphrjjm8h" Type="http://schemas.openxmlformats.org/officeDocument/2006/relationships/hyperlink" Target="https://dalil.kg/document/93893#p2" TargetMode="External"/><Relationship Id="rIdydddvvle0njqdiul80k59" Type="http://schemas.openxmlformats.org/officeDocument/2006/relationships/hyperlink" Target="https://dalil.kg/document/203760" TargetMode="External"/><Relationship Id="rIdagsrtwk6yt_t-4oefqxu6" Type="http://schemas.openxmlformats.org/officeDocument/2006/relationships/hyperlink" Target="https://dalil.kg/document/9668" TargetMode="External"/><Relationship Id="rIdc1lfhi-zmxxzivxybxroh" Type="http://schemas.openxmlformats.org/officeDocument/2006/relationships/hyperlink" Target="https://dalil.kg/document/203760" TargetMode="External"/><Relationship Id="rIdpmz5awhpo-tsv88lczjc2" Type="http://schemas.openxmlformats.org/officeDocument/2006/relationships/hyperlink" Target="https://dalil.kg/document/94491" TargetMode="External"/><Relationship Id="rIdhvq7mdfs12yxs3qceb39y" Type="http://schemas.openxmlformats.org/officeDocument/2006/relationships/hyperlink" Target="https://dalil.kg/document/59903" TargetMode="External"/><Relationship Id="rIdjgpgjsi68nvg611gpaa7f" Type="http://schemas.openxmlformats.org/officeDocument/2006/relationships/hyperlink" Target="https://dalil.kg/document/94491" TargetMode="External"/><Relationship Id="rIdzmto9lgm6nxdrdliqnzmm" Type="http://schemas.openxmlformats.org/officeDocument/2006/relationships/hyperlink" Target="https://dalil.kg/document/94491" TargetMode="External"/><Relationship Id="rIdtjrnahyxl4plvkyqq9ngb" Type="http://schemas.openxmlformats.org/officeDocument/2006/relationships/hyperlink" Target="https://dalil.kg/document/94491" TargetMode="External"/><Relationship Id="rIdhmfhprspwr002ejfarxik" Type="http://schemas.openxmlformats.org/officeDocument/2006/relationships/hyperlink" Target="https://dalil.kg/document/59903" TargetMode="External"/><Relationship Id="rIdyvap-uhhvdzqzzxpyiove" Type="http://schemas.openxmlformats.org/officeDocument/2006/relationships/hyperlink" Target="https://dalil.kg/document/203760" TargetMode="External"/><Relationship Id="rIdt6s6vm1g6tk2vmhrjuqrs" Type="http://schemas.openxmlformats.org/officeDocument/2006/relationships/hyperlink" Target="https://dalil.kg/document/59903" TargetMode="External"/><Relationship Id="rIdetysbhba0ahlcjzx55mtz" Type="http://schemas.openxmlformats.org/officeDocument/2006/relationships/hyperlink" Target="https://dalil.kg/document/94491" TargetMode="External"/><Relationship Id="rIdatgzxedftm5pm3zokpztw" Type="http://schemas.openxmlformats.org/officeDocument/2006/relationships/hyperlink" Target="https://dalil.kg/document/59903" TargetMode="External"/><Relationship Id="rIdzf44hfur3syq9ghtobv-y" Type="http://schemas.openxmlformats.org/officeDocument/2006/relationships/hyperlink" Target="https://dalil.kg/document/93893" TargetMode="External"/><Relationship Id="rIdxxktxacd2iyx11ft_cyke" Type="http://schemas.openxmlformats.org/officeDocument/2006/relationships/hyperlink" Target="https://dalil.kg/document/59903" TargetMode="External"/><Relationship Id="rIdg99nkxk3yteqdhsgjwg5b" Type="http://schemas.openxmlformats.org/officeDocument/2006/relationships/hyperlink" Target="https://dalil.kg/document/93893" TargetMode="External"/><Relationship Id="rIdteiduigb93rzs9ict3xlz" Type="http://schemas.openxmlformats.org/officeDocument/2006/relationships/hyperlink" Target="https://dalil.kg/document/5990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o9rdyx8cqdhg1mloubx" Type="http://schemas.openxmlformats.org/officeDocument/2006/relationships/hyperlink" Target="https://dalil.kg/document/93893" TargetMode="External"/><Relationship Id="rId4wkm7_cudwopdnnzfbl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2026-09-25T06:59:14.510Z</dcterms:created>
  <dcterms:modified xsi:type="dcterms:W3CDTF">2026-09-25T06:59:14.510Z</dcterms:modified>
</cp:coreProperties>
</file>

<file path=docProps/custom.xml><?xml version="1.0" encoding="utf-8"?>
<Properties xmlns="http://schemas.openxmlformats.org/officeDocument/2006/custom-properties" xmlns:vt="http://schemas.openxmlformats.org/officeDocument/2006/docPropsVTypes"/>
</file>