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hecxjz3g2n2q0d7xlzl5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2016 года N 40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к </w:t>
      </w:r>
      <w:hyperlink w:history="1" r:id="rId-rvewe9h5hsgrszssbwti">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Правительства
 Кыргызской Республики
 от 12 января 2013 года № 12</w:t>
      </w:r>
    </w:p>
    <w:p>
      <w:pPr>
        <w:spacing w:after="120"/>
        <w:jc w:val="both"/>
      </w:pPr>
      <w:r>
        <w:rPr>
          <w:rFonts w:ascii="Arial" w:cs="Arial" w:eastAsia="Arial" w:hAnsi="Arial"/>
          <w:sz w:val="24"/>
          <w:szCs w:val="24"/>
        </w:rPr>
        <w:t xml:space="preserve">ПОЛОЖЕНИЕ
 о Специальном счете Государственного агентства по геологии и минеральным ресурсам при Правительстве Кыргызской Республики по развитию минерально-сырьевой базы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bmyru_lyowyi9dijx2pwa">
        <w:r>
          <w:rPr>
            <w:rFonts w:ascii="Arial" w:cs="Arial" w:eastAsia="Arial" w:hAnsi="Arial"/>
            <w:i/>
            <w:iCs/>
            <w:color w:val="1D4ED8"/>
            <w:sz w:val="24"/>
            <w:szCs w:val="24"/>
            <w:u w:val="single"/>
          </w:rPr>
          <w:t xml:space="preserve">3 апреля 2015 года № 190</w:t>
        </w:r>
      </w:hyperlink>
      <w:r>
        <w:rPr>
          <w:rFonts w:ascii="Arial" w:cs="Arial" w:eastAsia="Arial" w:hAnsi="Arial"/>
          <w:i/>
          <w:iCs/>
          <w:sz w:val="24"/>
          <w:szCs w:val="24"/>
        </w:rPr>
        <w:t xml:space="preserve">, </w:t>
      </w:r>
      <w:hyperlink w:history="1" r:id="rIde8oqo9eliq-qricmqlbsx">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Источники образования Специального счета</w:t>
      </w:r>
    </w:p>
    <w:p>
      <w:pPr>
        <w:spacing w:after="120"/>
        <w:jc w:val="both"/>
      </w:pPr>
      <w:r>
        <w:rPr>
          <w:rFonts w:ascii="Arial" w:cs="Arial" w:eastAsia="Arial" w:hAnsi="Arial"/>
          <w:sz w:val="24"/>
          <w:szCs w:val="24"/>
        </w:rPr>
        <w:t xml:space="preserve">III. Порядок использования и учета средств Специального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счет Государственного агентства по геологии и минеральным ресурсам при Правительстве Кыргызской Республики по развитию минерально-сырьевой базы Кыргызской Республики (далее - Специальный счет) создан в соответствии с </w:t>
      </w:r>
      <w:hyperlink w:history="1" r:id="rId5vwmzr_ojxzl6jmm5ud4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w:t>
      </w:r>
      <w:hyperlink w:history="1" r:id="rIdu1jvsa99wikstr1nk-3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специальных средствах и депозитных суммах учреждений, состоящих на государственном бюджете Кыргызской Республики" от 28 августа 2000 года № 531.</w:t>
      </w:r>
    </w:p>
    <w:p>
      <w:pPr>
        <w:spacing w:after="120"/>
        <w:jc w:val="both"/>
      </w:pPr>
      <w:r>
        <w:rPr>
          <w:rFonts w:ascii="Arial" w:cs="Arial" w:eastAsia="Arial" w:hAnsi="Arial"/>
          <w:sz w:val="24"/>
          <w:szCs w:val="24"/>
        </w:rPr>
        <w:t xml:space="preserve">Средства Специального счета расходуются строго по целевому назначению.</w:t>
      </w:r>
    </w:p>
    <w:p>
      <w:pPr>
        <w:spacing w:after="120"/>
        <w:jc w:val="both"/>
      </w:pPr>
      <w:r>
        <w:rPr>
          <w:rFonts w:ascii="Arial" w:cs="Arial" w:eastAsia="Arial" w:hAnsi="Arial"/>
          <w:sz w:val="24"/>
          <w:szCs w:val="24"/>
        </w:rPr>
        <w:t xml:space="preserve">Специальный счет открывается в целях пополнения погашенных запасов полезных ископаемых в недрах, удовлетворения потребностей экономики в новых видах минерального сырья и воспроизводства минерально-сырьевой базы.</w:t>
      </w:r>
    </w:p>
    <w:p>
      <w:pPr>
        <w:spacing w:after="120"/>
        <w:jc w:val="both"/>
      </w:pPr>
      <w:r>
        <w:rPr>
          <w:rFonts w:ascii="Arial" w:cs="Arial" w:eastAsia="Arial" w:hAnsi="Arial"/>
          <w:sz w:val="24"/>
          <w:szCs w:val="24"/>
        </w:rPr>
        <w:t xml:space="preserve">2. Специальный счет открывается в Центральном казначействе при Министерстве финансов Кыргызской Республики.</w:t>
      </w:r>
    </w:p>
    <w:p>
      <w:pPr>
        <w:spacing w:after="120"/>
        <w:jc w:val="both"/>
      </w:pPr>
      <w:r>
        <w:rPr>
          <w:rFonts w:ascii="Arial" w:cs="Arial" w:eastAsia="Arial" w:hAnsi="Arial"/>
          <w:sz w:val="24"/>
          <w:szCs w:val="24"/>
        </w:rPr>
        <w:t xml:space="preserve">3. Распорядителем средств Специального счета является директор Государственного агентства по геологии и минеральным ресурсам при Правительстве Кыргызской Республики. Распоряжение средствами осуществляется на основании решений комиссии, возглавляемой заместителем директора Государственного агентства по геологии и минеральным ресурсам при Правительстве Кыргызской Республики, в составе представителей профильного отдела Аппарата Правительства Кыргызской Республики, Министерства экономики Кыргызской Республики, Министерства финансов Кыргызской Республики, Института геологии имени М.М.Адышева Национальной академии наук Кыргызской Республики, принимаемых большинством голосов. Состав комиссии утверждается приказом Государственного агентства по геологии и минеральным ресурсам при Правительстве Кыргызской Республики.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kz1s9e59rau1hjtii2fco">
        <w:r>
          <w:rPr>
            <w:rFonts w:ascii="Arial" w:cs="Arial" w:eastAsia="Arial" w:hAnsi="Arial"/>
            <w:i/>
            <w:iCs/>
            <w:color w:val="1D4ED8"/>
            <w:sz w:val="24"/>
            <w:szCs w:val="24"/>
            <w:u w:val="single"/>
          </w:rPr>
          <w:t xml:space="preserve">3 апреля 2015 года № 190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Источники образования Специального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Средства Специального счета формируются за счет:</w:t>
      </w:r>
    </w:p>
    <w:p>
      <w:pPr>
        <w:spacing w:after="120"/>
        <w:jc w:val="both"/>
      </w:pPr>
      <w:r>
        <w:rPr>
          <w:rFonts w:ascii="Arial" w:cs="Arial" w:eastAsia="Arial" w:hAnsi="Arial"/>
          <w:sz w:val="24"/>
          <w:szCs w:val="24"/>
        </w:rPr>
        <w:t xml:space="preserve">- 3 процентов от итоговой суммы, предложенной за право пользования недрами объекта конкурса, за вычетом бонуса (налога на право пользования недрами);</w:t>
      </w:r>
    </w:p>
    <w:p>
      <w:pPr>
        <w:spacing w:after="120"/>
        <w:jc w:val="both"/>
      </w:pPr>
      <w:r>
        <w:rPr>
          <w:rFonts w:ascii="Arial" w:cs="Arial" w:eastAsia="Arial" w:hAnsi="Arial"/>
          <w:sz w:val="24"/>
          <w:szCs w:val="24"/>
        </w:rPr>
        <w:t xml:space="preserve">- 3 процентов от окончательной цены объекта аукциона на право пользования недрами, за вычетом бонуса (налога на право пользования недрами);</w:t>
      </w:r>
    </w:p>
    <w:p>
      <w:pPr>
        <w:spacing w:after="120"/>
        <w:jc w:val="both"/>
      </w:pPr>
      <w:r>
        <w:rPr>
          <w:rFonts w:ascii="Arial" w:cs="Arial" w:eastAsia="Arial" w:hAnsi="Arial"/>
          <w:sz w:val="24"/>
          <w:szCs w:val="24"/>
        </w:rPr>
        <w:t xml:space="preserve">- а также других поступлений, не противоречащих законодательству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7du0awanvcspwscumqguu">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Поступление денежных средств осуществляется в наличной и безналичной формах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использования и учета средств Специального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Средства Специального счета используются на:</w:t>
      </w:r>
    </w:p>
    <w:p>
      <w:pPr>
        <w:spacing w:after="120"/>
        <w:jc w:val="both"/>
      </w:pPr>
      <w:r>
        <w:rPr>
          <w:rFonts w:ascii="Arial" w:cs="Arial" w:eastAsia="Arial" w:hAnsi="Arial"/>
          <w:sz w:val="24"/>
          <w:szCs w:val="24"/>
        </w:rPr>
        <w:t xml:space="preserve">- финансирование проведения геолого-поисковых работ подведомственных предприятий;</w:t>
      </w:r>
    </w:p>
    <w:p>
      <w:pPr>
        <w:spacing w:after="120"/>
        <w:jc w:val="both"/>
      </w:pPr>
      <w:r>
        <w:rPr>
          <w:rFonts w:ascii="Arial" w:cs="Arial" w:eastAsia="Arial" w:hAnsi="Arial"/>
          <w:sz w:val="24"/>
          <w:szCs w:val="24"/>
        </w:rPr>
        <w:t xml:space="preserve">- финансирование проведения геологоразведочных работ подведомственных предприятий;</w:t>
      </w:r>
    </w:p>
    <w:p>
      <w:pPr>
        <w:spacing w:after="120"/>
        <w:jc w:val="both"/>
      </w:pPr>
      <w:r>
        <w:rPr>
          <w:rFonts w:ascii="Arial" w:cs="Arial" w:eastAsia="Arial" w:hAnsi="Arial"/>
          <w:sz w:val="24"/>
          <w:szCs w:val="24"/>
        </w:rPr>
        <w:t xml:space="preserve">- приобретение специального оборудования по проведению поисковых и геологоразведочных работ для подведомственных предприятий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7. Средства Специального счета используются в строгом соответствии с настоящим Положением.</w:t>
      </w:r>
    </w:p>
    <w:p>
      <w:pPr>
        <w:spacing w:after="120"/>
        <w:jc w:val="both"/>
      </w:pPr>
      <w:r>
        <w:rPr>
          <w:rFonts w:ascii="Arial" w:cs="Arial" w:eastAsia="Arial" w:hAnsi="Arial"/>
          <w:sz w:val="24"/>
          <w:szCs w:val="24"/>
        </w:rPr>
        <w:t xml:space="preserve">8. Указанные средства аккумулируются на Специальном счете.</w:t>
      </w:r>
    </w:p>
    <w:p>
      <w:pPr>
        <w:spacing w:after="120"/>
        <w:jc w:val="both"/>
      </w:pPr>
      <w:r>
        <w:rPr>
          <w:rFonts w:ascii="Arial" w:cs="Arial" w:eastAsia="Arial" w:hAnsi="Arial"/>
          <w:sz w:val="24"/>
          <w:szCs w:val="24"/>
        </w:rPr>
        <w:t xml:space="preserve">9. Расходование средств Специального счета до утверждения сметы расходов не допускается и осуществляется только в пределах утвержденной сметы. При необходимости, смета расходов средств, поступивших сверх утвержденной сметы, может быть дополнительно представлена на утверждение.</w:t>
      </w:r>
    </w:p>
    <w:p>
      <w:pPr>
        <w:spacing w:after="120"/>
        <w:jc w:val="both"/>
      </w:pPr>
      <w:r>
        <w:rPr>
          <w:rFonts w:ascii="Arial" w:cs="Arial" w:eastAsia="Arial" w:hAnsi="Arial"/>
          <w:sz w:val="24"/>
          <w:szCs w:val="24"/>
        </w:rPr>
        <w:t xml:space="preserve">10. Остатки средств Специального счета, образовавшиеся к концу отчетного года, регулируются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cl7cgexy8_uti4-x1bz">
      <w:r>
        <w:rPr>
          <w:rFonts w:ascii="Arial" w:cs="Arial" w:eastAsia="Arial" w:hAnsi="Arial"/>
          <w:color w:val="132D3F"/>
          <w:sz w:val="16"/>
          <w:szCs w:val="16"/>
          <w:u w:val="single"/>
        </w:rPr>
        <w:t xml:space="preserve">dalil.kg/document/94180</w:t>
      </w:r>
    </w:hyperlink>
  </w:p>
  <w:p>
    <w:pPr>
      <w:spacing w:after="0" w:before="40"/>
      <w:jc w:val="center"/>
    </w:pPr>
    <w:hyperlink w:history="1" r:id="rIdb8avqh4g1kzzoidllzj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ecxjz3g2n2q0d7xlzl5f" Type="http://schemas.openxmlformats.org/officeDocument/2006/relationships/hyperlink" Target="https://dalil.kg/document/99440" TargetMode="External"/><Relationship Id="rId-rvewe9h5hsgrszssbwti" Type="http://schemas.openxmlformats.org/officeDocument/2006/relationships/hyperlink" Target="https://dalil.kg/document/94110" TargetMode="External"/><Relationship Id="rIdbmyru_lyowyi9dijx2pwa" Type="http://schemas.openxmlformats.org/officeDocument/2006/relationships/hyperlink" Target="https://dalil.kg/document/97441" TargetMode="External"/><Relationship Id="rIde8oqo9eliq-qricmqlbsx" Type="http://schemas.openxmlformats.org/officeDocument/2006/relationships/hyperlink" Target="https://dalil.kg/document/99442" TargetMode="External"/><Relationship Id="rId5vwmzr_ojxzl6jmm5ud49" Type="http://schemas.openxmlformats.org/officeDocument/2006/relationships/hyperlink" Target="https://dalil.kg/document/86" TargetMode="External"/><Relationship Id="rIdu1jvsa99wikstr1nk-3ax" Type="http://schemas.openxmlformats.org/officeDocument/2006/relationships/hyperlink" Target="https://dalil.kg/document/7614" TargetMode="External"/><Relationship Id="rIdkz1s9e59rau1hjtii2fco" Type="http://schemas.openxmlformats.org/officeDocument/2006/relationships/hyperlink" Target="https://dalil.kg/document/97441" TargetMode="External"/><Relationship Id="rId7du0awanvcspwscumqguu" Type="http://schemas.openxmlformats.org/officeDocument/2006/relationships/hyperlink" Target="https://dalil.kg/document/9944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cl7cgexy8_uti4-x1bz" Type="http://schemas.openxmlformats.org/officeDocument/2006/relationships/hyperlink" Target="https://dalil.kg/document/94180" TargetMode="External"/><Relationship Id="rIdb8avqh4g1kzzoidllzj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2026-09-24T20:08:36.004Z</dcterms:created>
  <dcterms:modified xsi:type="dcterms:W3CDTF">2026-09-24T20:08:36.004Z</dcterms:modified>
</cp:coreProperties>
</file>

<file path=docProps/custom.xml><?xml version="1.0" encoding="utf-8"?>
<Properties xmlns="http://schemas.openxmlformats.org/officeDocument/2006/custom-properties" xmlns:vt="http://schemas.openxmlformats.org/officeDocument/2006/docPropsVTypes"/>
</file>