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8hny3aktru5oof1sfh90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6e1fwgdlizhtu2abak0ns">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лицензирования недропользования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yjkkdhomat79xy8yq7sju">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 </w:t>
      </w:r>
      <w:hyperlink w:history="1" r:id="rIdw37zxun1fq42sd7jqdnon">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 </w:t>
      </w:r>
      <w:hyperlink w:history="1" r:id="rIdnr1hgq6mbzlvhu0ukk11t">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pzsqtolbqu_nk7v0qq45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2. Организационное обеспечение государственной системы лицензирования прав пользования недрами осуществляет Государственное агентство по геологии и минеральным ресурсам при Правительстве Кыргызской Республики, как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Уполномоченный государственный орган по реализации государственной политики по недропользованию осуществляет администрирование лицензирования прав пользования недрами в качестве лицензионного органа - лицензиара.</w:t>
      </w:r>
    </w:p>
    <w:p>
      <w:pPr>
        <w:spacing w:after="60"/>
        <w:ind w:firstLine="567"/>
        <w:jc w:val="both"/>
      </w:pPr>
      <w:r>
        <w:rPr>
          <w:rFonts w:ascii="Arial" w:cs="Arial" w:eastAsia="Arial" w:hAnsi="Arial"/>
          <w:sz w:val="24"/>
          <w:szCs w:val="24"/>
        </w:rPr>
        <w:t xml:space="preserve">3. Право пользования недрами возникает на основании лицензии. Пользование недрами без лицензии запрещается, за исключением случаев, предусмотренных законами Кыргызской Республики и настоящим Положением.</w:t>
      </w:r>
    </w:p>
    <w:p>
      <w:pPr>
        <w:spacing w:after="60"/>
        <w:ind w:firstLine="567"/>
        <w:jc w:val="both"/>
      </w:pPr>
      <w:r>
        <w:rPr>
          <w:rFonts w:ascii="Arial" w:cs="Arial" w:eastAsia="Arial" w:hAnsi="Arial"/>
          <w:sz w:val="24"/>
          <w:szCs w:val="24"/>
        </w:rPr>
        <w:t xml:space="preserve">4. Лицензированию подлежат все виды пользования недрами по всем видам минерального сырья, в том числе пресные, минеральные и термальные подземные воды, за исключением предоставления прав пользования недрами по концессионному договору и по соглашению о разделе продукции, а также проведения работ на основании государственной регистрации.</w:t>
      </w:r>
    </w:p>
    <w:p>
      <w:pPr>
        <w:spacing w:after="60"/>
        <w:ind w:firstLine="567"/>
        <w:jc w:val="both"/>
      </w:pPr>
      <w:r>
        <w:rPr>
          <w:rFonts w:ascii="Arial" w:cs="Arial" w:eastAsia="Arial" w:hAnsi="Arial"/>
          <w:sz w:val="24"/>
          <w:szCs w:val="24"/>
        </w:rPr>
        <w:t xml:space="preserve">5. Пользователями недр могут быть юридические и физические лица, созданные в соответствии с законодательством Кыргызской Республики, а также иностранные юридические лица, прошедшие государственную регистрацию в соответствии с законодательством Кыргызской Республики, и физические лица, зарегистрированные в соответствии с законодательством Кыргызской Республики в качестве индивидуальных предпринимателей.</w:t>
      </w:r>
    </w:p>
    <w:p>
      <w:pPr>
        <w:spacing w:after="60"/>
        <w:ind w:firstLine="567"/>
        <w:jc w:val="both"/>
      </w:pPr>
      <w:r>
        <w:rPr>
          <w:rFonts w:ascii="Arial" w:cs="Arial" w:eastAsia="Arial" w:hAnsi="Arial"/>
          <w:sz w:val="24"/>
          <w:szCs w:val="24"/>
        </w:rPr>
        <w:t xml:space="preserve">6. Если иное не предусмотрено законодательством Кыргызской Республики и настоящим Положением, иностранные юридические и физические лица получают лицензию на таких же условиях и в таком же порядке, как юридические и физические лица Кыргызской Республики.</w:t>
      </w:r>
    </w:p>
    <w:p>
      <w:pPr>
        <w:spacing w:after="200" w:before="200"/>
        <w:jc w:val="center"/>
      </w:pPr>
      <w:r>
        <w:rPr>
          <w:rFonts w:ascii="Arial" w:cs="Arial" w:eastAsia="Arial" w:hAnsi="Arial"/>
          <w:b/>
          <w:bCs/>
          <w:sz w:val="24"/>
          <w:szCs w:val="24"/>
        </w:rPr>
        <w:t xml:space="preserve">II. Предоставление прав пользования недрами</w:t>
      </w:r>
    </w:p>
    <w:p>
      <w:pPr>
        <w:spacing w:after="60"/>
        <w:ind w:firstLine="567"/>
        <w:jc w:val="both"/>
      </w:pPr>
      <w:r>
        <w:rPr>
          <w:rFonts w:ascii="Arial" w:cs="Arial" w:eastAsia="Arial" w:hAnsi="Arial"/>
          <w:sz w:val="24"/>
          <w:szCs w:val="24"/>
        </w:rPr>
        <w:t xml:space="preserve">7. Право пользования недрами может предоставляться на основании проведения конкурсов, аукционов и путем проведения прямых переговоров.</w:t>
      </w:r>
    </w:p>
    <w:p>
      <w:pPr>
        <w:spacing w:after="60"/>
        <w:ind w:firstLine="567"/>
        <w:jc w:val="both"/>
      </w:pPr>
      <w:r>
        <w:rPr>
          <w:rFonts w:ascii="Arial" w:cs="Arial" w:eastAsia="Arial" w:hAnsi="Arial"/>
          <w:sz w:val="24"/>
          <w:szCs w:val="24"/>
        </w:rPr>
        <w:t xml:space="preserve">8. Предоставление прав пользования недрами на объекты месторождений полезных ископаемых общегосударственного значения проводится по итогам конкурсов. Перечень объектов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реализации государственной политики по недропользованию и публикуется в средствах массовой информации. Конкурс по каждому объекту месторождений полезных ископаемых общегосударственного значения проводится по решению Правительства Кыргызской Республики межведомственной конкурсной комиссией согласно Положению, утверждаемому Правительством Кыргызской Республики.</w:t>
      </w:r>
    </w:p>
    <w:p>
      <w:pPr>
        <w:spacing w:after="60"/>
        <w:ind w:firstLine="567"/>
        <w:jc w:val="both"/>
      </w:pPr>
      <w:r>
        <w:rPr>
          <w:rFonts w:ascii="Arial" w:cs="Arial" w:eastAsia="Arial" w:hAnsi="Arial"/>
          <w:sz w:val="24"/>
          <w:szCs w:val="24"/>
        </w:rPr>
        <w:t xml:space="preserve">По проведенным конкурсам лицензия на право пользования недрами выдается на основании протокола конкурсной комиссии.</w:t>
      </w:r>
    </w:p>
    <w:p>
      <w:pPr>
        <w:spacing w:after="60"/>
        <w:ind w:firstLine="567"/>
        <w:jc w:val="both"/>
      </w:pPr>
      <w:r>
        <w:rPr>
          <w:rFonts w:ascii="Arial" w:cs="Arial" w:eastAsia="Arial" w:hAnsi="Arial"/>
          <w:sz w:val="24"/>
          <w:szCs w:val="24"/>
        </w:rPr>
        <w:t xml:space="preserve">9. Предоставление права пользования недрами на основании проведения аукционов производится:</w:t>
      </w:r>
    </w:p>
    <w:p>
      <w:pPr>
        <w:spacing w:after="60"/>
        <w:ind w:firstLine="567"/>
        <w:jc w:val="both"/>
      </w:pPr>
      <w:r>
        <w:rPr>
          <w:rFonts w:ascii="Arial" w:cs="Arial" w:eastAsia="Arial" w:hAnsi="Arial"/>
          <w:sz w:val="24"/>
          <w:szCs w:val="24"/>
        </w:rPr>
        <w:t xml:space="preserve">- по объектам, перечень которых утверждает уполномоченный государственный орган по реализации государственной политики по недропользованию на основе рекомендаций Научно-технического совета при данном уполномоченном органе;</w:t>
      </w:r>
    </w:p>
    <w:p>
      <w:pPr>
        <w:spacing w:after="60"/>
        <w:ind w:firstLine="567"/>
        <w:jc w:val="both"/>
      </w:pPr>
      <w:r>
        <w:rPr>
          <w:rFonts w:ascii="Arial" w:cs="Arial" w:eastAsia="Arial" w:hAnsi="Arial"/>
          <w:sz w:val="24"/>
          <w:szCs w:val="24"/>
        </w:rPr>
        <w:t xml:space="preserve">- по объектам общегосударственного значения, по которым не выявлены победители по результатам двух проведенных конкурсов;</w:t>
      </w:r>
    </w:p>
    <w:p>
      <w:pPr>
        <w:spacing w:after="60"/>
        <w:ind w:firstLine="567"/>
        <w:jc w:val="both"/>
      </w:pPr>
      <w:r>
        <w:rPr>
          <w:rFonts w:ascii="Arial" w:cs="Arial" w:eastAsia="Arial" w:hAnsi="Arial"/>
          <w:sz w:val="24"/>
          <w:szCs w:val="24"/>
        </w:rPr>
        <w:t xml:space="preserve">- по объектам, не включенным в перечень месторождений, выставляемых на аукцион, но на которые поступило две и более заявки с приложением полного перечня документов, предусмотренных пунктом 36 настоящего Положения.</w:t>
      </w:r>
    </w:p>
    <w:p>
      <w:pPr>
        <w:spacing w:after="60"/>
        <w:ind w:firstLine="567"/>
        <w:jc w:val="both"/>
      </w:pPr>
      <w:r>
        <w:rPr>
          <w:rFonts w:ascii="Arial" w:cs="Arial" w:eastAsia="Arial" w:hAnsi="Arial"/>
          <w:sz w:val="24"/>
          <w:szCs w:val="24"/>
        </w:rPr>
        <w:t xml:space="preserve">По проведенным аукционам лицензия на право пользования недрами выдается на основании протокола аукционной комиссии.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8q9t4wx_njd3anbhnegs">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 </w:t>
      </w:r>
      <w:hyperlink w:history="1" r:id="rId72fa4zhfwcmz3xxyzzghk">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Порядок проведения конкурсов и аукционов по предоставлению прав пользования недрами определяется отдельными положениями, утверждаемыми Правительством Кыргызской Республики.</w:t>
      </w:r>
    </w:p>
    <w:p>
      <w:pPr>
        <w:spacing w:after="60"/>
        <w:ind w:firstLine="567"/>
        <w:jc w:val="both"/>
      </w:pPr>
      <w:r>
        <w:rPr>
          <w:rFonts w:ascii="Arial" w:cs="Arial" w:eastAsia="Arial" w:hAnsi="Arial"/>
          <w:sz w:val="24"/>
          <w:szCs w:val="24"/>
        </w:rPr>
        <w:t xml:space="preserve">11. Предоставление права пользования недрами путем проведения прямых переговоров производится:</w:t>
      </w:r>
    </w:p>
    <w:p>
      <w:pPr>
        <w:spacing w:after="60"/>
        <w:ind w:firstLine="567"/>
        <w:jc w:val="both"/>
      </w:pPr>
      <w:r>
        <w:rPr>
          <w:rFonts w:ascii="Arial" w:cs="Arial" w:eastAsia="Arial" w:hAnsi="Arial"/>
          <w:sz w:val="24"/>
          <w:szCs w:val="24"/>
        </w:rPr>
        <w:t xml:space="preserve">- на объекты недр, не входящие в Перечень объектов общегосударственного значения и Перечень объектов, выставляемых на аукцион;</w:t>
      </w:r>
    </w:p>
    <w:p>
      <w:pPr>
        <w:spacing w:after="60"/>
        <w:ind w:firstLine="567"/>
        <w:jc w:val="both"/>
      </w:pPr>
      <w:r>
        <w:rPr>
          <w:rFonts w:ascii="Arial" w:cs="Arial" w:eastAsia="Arial" w:hAnsi="Arial"/>
          <w:sz w:val="24"/>
          <w:szCs w:val="24"/>
        </w:rPr>
        <w:t xml:space="preserve">- на объекты недр, если по ним признаны не состоявшимися два аукциона;</w:t>
      </w:r>
    </w:p>
    <w:p>
      <w:pPr>
        <w:spacing w:after="60"/>
        <w:ind w:firstLine="567"/>
        <w:jc w:val="both"/>
      </w:pPr>
      <w:r>
        <w:rPr>
          <w:rFonts w:ascii="Arial" w:cs="Arial" w:eastAsia="Arial" w:hAnsi="Arial"/>
          <w:sz w:val="24"/>
          <w:szCs w:val="24"/>
        </w:rPr>
        <w:t xml:space="preserve">- на объекты недр, не связанные с геологическим изучением и разработкой месторождений полезных ископаемых;</w:t>
      </w:r>
    </w:p>
    <w:p>
      <w:pPr>
        <w:spacing w:after="60"/>
        <w:ind w:firstLine="567"/>
        <w:jc w:val="both"/>
      </w:pPr>
      <w:r>
        <w:rPr>
          <w:rFonts w:ascii="Arial" w:cs="Arial" w:eastAsia="Arial" w:hAnsi="Arial"/>
          <w:sz w:val="24"/>
          <w:szCs w:val="24"/>
        </w:rPr>
        <w:t xml:space="preserve">- на объекты недр, подпадающие под лицензирование в порядке реализации исключительного права недропользователя.</w:t>
      </w:r>
    </w:p>
    <w:p>
      <w:pPr>
        <w:spacing w:after="60"/>
        <w:ind w:firstLine="567"/>
        <w:jc w:val="both"/>
      </w:pPr>
      <w:r>
        <w:rPr>
          <w:rFonts w:ascii="Arial" w:cs="Arial" w:eastAsia="Arial" w:hAnsi="Arial"/>
          <w:sz w:val="24"/>
          <w:szCs w:val="24"/>
        </w:rPr>
        <w:t xml:space="preserve">12. Решение о ведении прямых переговоров с заявителем на получение прав пользования недрами путем прямых переговоров принимается Комиссией по вопросам лицензирования недропользования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Прямые переговоры с заявителем проводятся руководителем уполномоченного государственного органа по реализации государственной политики по недропользованию, результаты которых оформляются протоколом, подписанным сторонами. Протокол является основанием для выдачи лицензии на право пользования недрами.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4dakxiagzdpaodfkzlpx">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Информация о пролицензированных и свободных объектах недропользования размещается на официальном сайте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s95ectswxgs4ybzyplfw">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Лицензии на право пользования недрами выдаются на сроки:</w:t>
      </w:r>
    </w:p>
    <w:p>
      <w:pPr>
        <w:spacing w:after="60"/>
        <w:ind w:firstLine="567"/>
        <w:jc w:val="both"/>
      </w:pPr>
      <w:r>
        <w:rPr>
          <w:rFonts w:ascii="Arial" w:cs="Arial" w:eastAsia="Arial" w:hAnsi="Arial"/>
          <w:sz w:val="24"/>
          <w:szCs w:val="24"/>
        </w:rPr>
        <w:t xml:space="preserve">- на геолого-поисковые работы - до 5 лет, с последующим продлением в соответствии с техническим проектом;</w:t>
      </w:r>
    </w:p>
    <w:p>
      <w:pPr>
        <w:spacing w:after="60"/>
        <w:ind w:firstLine="567"/>
        <w:jc w:val="both"/>
      </w:pPr>
      <w:r>
        <w:rPr>
          <w:rFonts w:ascii="Arial" w:cs="Arial" w:eastAsia="Arial" w:hAnsi="Arial"/>
          <w:sz w:val="24"/>
          <w:szCs w:val="24"/>
        </w:rPr>
        <w:t xml:space="preserve">- на геологоразведочные работы - до 10 лет, с последующим продлением в соответствии с техническим проектом;</w:t>
      </w:r>
    </w:p>
    <w:p>
      <w:pPr>
        <w:spacing w:after="60"/>
        <w:ind w:firstLine="567"/>
        <w:jc w:val="both"/>
      </w:pPr>
      <w:r>
        <w:rPr>
          <w:rFonts w:ascii="Arial" w:cs="Arial" w:eastAsia="Arial" w:hAnsi="Arial"/>
          <w:sz w:val="24"/>
          <w:szCs w:val="24"/>
        </w:rPr>
        <w:t xml:space="preserve">- на разработку месторождений полезных ископаемых - до 20 лет, с последующим продлением до истощения запасов полезных ископаемых;</w:t>
      </w:r>
    </w:p>
    <w:p>
      <w:pPr>
        <w:spacing w:after="60"/>
        <w:ind w:firstLine="567"/>
        <w:jc w:val="both"/>
      </w:pPr>
      <w:r>
        <w:rPr>
          <w:rFonts w:ascii="Arial" w:cs="Arial" w:eastAsia="Arial" w:hAnsi="Arial"/>
          <w:sz w:val="24"/>
          <w:szCs w:val="24"/>
        </w:rPr>
        <w:t xml:space="preserve">-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60"/>
        <w:ind w:firstLine="567"/>
        <w:jc w:val="both"/>
      </w:pPr>
      <w:r>
        <w:rPr>
          <w:rFonts w:ascii="Arial" w:cs="Arial" w:eastAsia="Arial" w:hAnsi="Arial"/>
          <w:sz w:val="24"/>
          <w:szCs w:val="24"/>
        </w:rPr>
        <w:t xml:space="preserve">14. Лицензия на право пользования недрами для проведения геолого-поисковых работ предоставляет исключительное право на проведение геолого-поисковых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для проведения геологоразведочных работ на объекте полезного ископаемого.</w:t>
      </w:r>
    </w:p>
    <w:p>
      <w:pPr>
        <w:spacing w:after="60"/>
        <w:ind w:firstLine="567"/>
        <w:jc w:val="both"/>
      </w:pPr>
      <w:r>
        <w:rPr>
          <w:rFonts w:ascii="Arial" w:cs="Arial" w:eastAsia="Arial" w:hAnsi="Arial"/>
          <w:sz w:val="24"/>
          <w:szCs w:val="24"/>
        </w:rPr>
        <w:t xml:space="preserve">15. На пролицензированную площадь на определенные виды поисков полезных ископаемых может быть выдана лицензия на право пользования недрами других групп полезных ископаемых другим заявителям.</w:t>
      </w:r>
    </w:p>
    <w:p>
      <w:pPr>
        <w:spacing w:after="60"/>
        <w:ind w:firstLine="567"/>
        <w:jc w:val="both"/>
      </w:pPr>
      <w:r>
        <w:rPr>
          <w:rFonts w:ascii="Arial" w:cs="Arial" w:eastAsia="Arial" w:hAnsi="Arial"/>
          <w:sz w:val="24"/>
          <w:szCs w:val="24"/>
        </w:rPr>
        <w:t xml:space="preserve">16. Лицензия на право пользования недрами для проведения геологоразведочных работ предоставляет исключительное право на проведение геологоразведочных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17. После учета запасов полезных ископаемых в Государственном балансе запасов полезных ископаемых Кыргызской Республики, на основании заключения апробации Государственной комиссии по запасам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60"/>
        <w:ind w:firstLine="567"/>
        <w:jc w:val="both"/>
      </w:pPr>
      <w:r>
        <w:rPr>
          <w:rFonts w:ascii="Arial" w:cs="Arial" w:eastAsia="Arial" w:hAnsi="Arial"/>
          <w:sz w:val="24"/>
          <w:szCs w:val="24"/>
        </w:rPr>
        <w:t xml:space="preserve">18. Лицензия на право пользования недрами на разработку месторождений полезных ископаемых выдается на лицензионные объекты, запасы которых апробированы и учтены Государственной комиссией по запасам полезных ископаемых Кыргызской Республики, а также бывшими компетентными ведомствами СССР (Государственная комиссия по запасам полезных ископаемых СССР, Территориальная комиссия по запасам полезных ископаемых Киргизской ССР, Центральная комиссия по запасам полезных ископаемых Министерства геологии СССР и др.).</w:t>
      </w:r>
    </w:p>
    <w:p>
      <w:pPr>
        <w:spacing w:after="60"/>
        <w:ind w:firstLine="567"/>
        <w:jc w:val="both"/>
      </w:pPr>
      <w:r>
        <w:rPr>
          <w:rFonts w:ascii="Arial" w:cs="Arial" w:eastAsia="Arial" w:hAnsi="Arial"/>
          <w:sz w:val="24"/>
          <w:szCs w:val="24"/>
        </w:rPr>
        <w:t xml:space="preserve">Лицензия на право пользования недрами для разработки месторождений полезных ископаемых предоставляет лицензиату исключительное право на:</w:t>
      </w:r>
    </w:p>
    <w:p>
      <w:pPr>
        <w:spacing w:after="60"/>
        <w:ind w:firstLine="567"/>
        <w:jc w:val="both"/>
      </w:pPr>
      <w:r>
        <w:rPr>
          <w:rFonts w:ascii="Arial" w:cs="Arial" w:eastAsia="Arial" w:hAnsi="Arial"/>
          <w:sz w:val="24"/>
          <w:szCs w:val="24"/>
        </w:rPr>
        <w:t xml:space="preserve">- разработку полезных ископаемых в пределах горного отвода с правом на проведение всех необходимых подготовительных работ;</w:t>
      </w:r>
    </w:p>
    <w:p>
      <w:pPr>
        <w:spacing w:after="60"/>
        <w:ind w:firstLine="567"/>
        <w:jc w:val="both"/>
      </w:pPr>
      <w:r>
        <w:rPr>
          <w:rFonts w:ascii="Arial" w:cs="Arial" w:eastAsia="Arial" w:hAnsi="Arial"/>
          <w:sz w:val="24"/>
          <w:szCs w:val="24"/>
        </w:rPr>
        <w:t xml:space="preserve">-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60"/>
        <w:ind w:firstLine="567"/>
        <w:jc w:val="both"/>
      </w:pPr>
      <w:r>
        <w:rPr>
          <w:rFonts w:ascii="Arial" w:cs="Arial" w:eastAsia="Arial" w:hAnsi="Arial"/>
          <w:sz w:val="24"/>
          <w:szCs w:val="24"/>
        </w:rPr>
        <w:t xml:space="preserve">- продажу полезных ископаемых и продуктов их переработки, включая экспорт;</w:t>
      </w:r>
    </w:p>
    <w:p>
      <w:pPr>
        <w:spacing w:after="60"/>
        <w:ind w:firstLine="567"/>
        <w:jc w:val="both"/>
      </w:pPr>
      <w:r>
        <w:rPr>
          <w:rFonts w:ascii="Arial" w:cs="Arial" w:eastAsia="Arial" w:hAnsi="Arial"/>
          <w:sz w:val="24"/>
          <w:szCs w:val="24"/>
        </w:rPr>
        <w:t xml:space="preserve">- геологическое изучение недр в пределах горного отвода по техническому проекту с соответствующими положительными экспертными заключениями.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fs9nfo91zpxcribz9zf-">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экстренных случаях, в целях предотвращения чрезвычайных ситуаций для берегоукрепительных работ, при проведении дорожно-строительных работ по заявке Министерства чрезвычайных ситуаций Кыргызской Республики, Министерства транспорта и коммуникаций Кыргызской Республики,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реализации государственной политики по недропользованию с уведомлением его о проведенных работах и объемах добычи.</w:t>
      </w:r>
    </w:p>
    <w:p>
      <w:pPr>
        <w:spacing w:after="60"/>
        <w:ind w:firstLine="567"/>
        <w:jc w:val="both"/>
      </w:pPr>
      <w:r>
        <w:rPr>
          <w:rFonts w:ascii="Arial" w:cs="Arial" w:eastAsia="Arial" w:hAnsi="Arial"/>
          <w:sz w:val="24"/>
          <w:szCs w:val="24"/>
        </w:rPr>
        <w:t xml:space="preserve">При этом, обязательным условием согласования является требование выполнения работ по техническому проекту разработки месторождения полезного ископаемого, включающему и последующие техническую и биологическую рекультивации.</w:t>
      </w:r>
    </w:p>
    <w:p>
      <w:pPr>
        <w:spacing w:after="60"/>
        <w:ind w:firstLine="567"/>
        <w:jc w:val="both"/>
      </w:pPr>
      <w:r>
        <w:rPr>
          <w:rFonts w:ascii="Arial" w:cs="Arial" w:eastAsia="Arial" w:hAnsi="Arial"/>
          <w:sz w:val="24"/>
          <w:szCs w:val="24"/>
        </w:rPr>
        <w:t xml:space="preserve">20. Лицензия на право пользования недрами, не связанного с геологическим изучением недр и разработкой полезных ископаемых, предоставляет лицензиату в пределах горного отвода право проводить работы в соответствии с техническим проектом.</w:t>
      </w:r>
    </w:p>
    <w:p>
      <w:pPr>
        <w:spacing w:after="200" w:before="200"/>
        <w:jc w:val="center"/>
      </w:pPr>
      <w:r>
        <w:rPr>
          <w:rFonts w:ascii="Arial" w:cs="Arial" w:eastAsia="Arial" w:hAnsi="Arial"/>
          <w:b/>
          <w:bCs/>
          <w:sz w:val="24"/>
          <w:szCs w:val="24"/>
        </w:rPr>
        <w:t xml:space="preserve">III. Комиссия по вопросам лицензирования недропользования</w:t>
      </w:r>
    </w:p>
    <w:p>
      <w:pPr>
        <w:spacing w:after="60"/>
        <w:ind w:firstLine="567"/>
        <w:jc w:val="both"/>
      </w:pPr>
      <w:r>
        <w:rPr>
          <w:rFonts w:ascii="Arial" w:cs="Arial" w:eastAsia="Arial" w:hAnsi="Arial"/>
          <w:sz w:val="24"/>
          <w:szCs w:val="24"/>
        </w:rPr>
        <w:t xml:space="preserve">21. Для решения вопросов, связанных с лицензированием недропользования, в уполномоченном государственном органе по реализации государственной политики по недропользованию создается Комиссия по вопросам лицензирования недропользования (далее - Комиссия).</w:t>
      </w:r>
    </w:p>
    <w:p>
      <w:pPr>
        <w:spacing w:after="60"/>
        <w:ind w:firstLine="567"/>
        <w:jc w:val="both"/>
      </w:pPr>
      <w:r>
        <w:rPr>
          <w:rFonts w:ascii="Arial" w:cs="Arial" w:eastAsia="Arial" w:hAnsi="Arial"/>
          <w:sz w:val="24"/>
          <w:szCs w:val="24"/>
        </w:rPr>
        <w:t xml:space="preserve">22. В полномочия Комиссии входит рассмотрение следующих вопросов:</w:t>
      </w:r>
    </w:p>
    <w:p>
      <w:pPr>
        <w:spacing w:after="60"/>
        <w:ind w:firstLine="567"/>
        <w:jc w:val="both"/>
      </w:pPr>
      <w:r>
        <w:rPr>
          <w:rFonts w:ascii="Arial" w:cs="Arial" w:eastAsia="Arial" w:hAnsi="Arial"/>
          <w:sz w:val="24"/>
          <w:szCs w:val="24"/>
        </w:rPr>
        <w:t xml:space="preserve">- принятие решений о ведении прямых переговоров с заявителями на получение прав пользования недрами;</w:t>
      </w:r>
    </w:p>
    <w:p>
      <w:pPr>
        <w:spacing w:after="60"/>
        <w:ind w:firstLine="567"/>
        <w:jc w:val="both"/>
      </w:pPr>
      <w:r>
        <w:rPr>
          <w:rFonts w:ascii="Arial" w:cs="Arial" w:eastAsia="Arial" w:hAnsi="Arial"/>
          <w:sz w:val="24"/>
          <w:szCs w:val="24"/>
        </w:rPr>
        <w:t xml:space="preserve">- продление срока действия лицензий;</w:t>
      </w:r>
    </w:p>
    <w:p>
      <w:pPr>
        <w:spacing w:after="60"/>
        <w:ind w:firstLine="567"/>
        <w:jc w:val="both"/>
      </w:pPr>
      <w:r>
        <w:rPr>
          <w:rFonts w:ascii="Arial" w:cs="Arial" w:eastAsia="Arial" w:hAnsi="Arial"/>
          <w:sz w:val="24"/>
          <w:szCs w:val="24"/>
        </w:rPr>
        <w:t xml:space="preserve">- внесение изменений и дополнений в лицензионные соглашения;</w:t>
      </w:r>
    </w:p>
    <w:p>
      <w:pPr>
        <w:spacing w:after="60"/>
        <w:ind w:firstLine="567"/>
        <w:jc w:val="both"/>
      </w:pPr>
      <w:r>
        <w:rPr>
          <w:rFonts w:ascii="Arial" w:cs="Arial" w:eastAsia="Arial" w:hAnsi="Arial"/>
          <w:sz w:val="24"/>
          <w:szCs w:val="24"/>
        </w:rPr>
        <w:t xml:space="preserve">- приостановление и прекращение лицензий на право пользования недрами;</w:t>
      </w:r>
    </w:p>
    <w:p>
      <w:pPr>
        <w:spacing w:after="60"/>
        <w:ind w:firstLine="567"/>
        <w:jc w:val="both"/>
      </w:pPr>
      <w:r>
        <w:rPr>
          <w:rFonts w:ascii="Arial" w:cs="Arial" w:eastAsia="Arial" w:hAnsi="Arial"/>
          <w:sz w:val="24"/>
          <w:szCs w:val="24"/>
        </w:rPr>
        <w:t xml:space="preserve">- решение вопроса о переоформлении лицензий в связи с передачей доли;</w:t>
      </w:r>
    </w:p>
    <w:p>
      <w:pPr>
        <w:spacing w:after="60"/>
        <w:ind w:firstLine="567"/>
        <w:jc w:val="both"/>
      </w:pPr>
      <w:r>
        <w:rPr>
          <w:rFonts w:ascii="Arial" w:cs="Arial" w:eastAsia="Arial" w:hAnsi="Arial"/>
          <w:sz w:val="24"/>
          <w:szCs w:val="24"/>
        </w:rPr>
        <w:t xml:space="preserve">- рассмотрение иных вопросов, связанных с недропользованием.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gvwynnevebobhova5icf">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Состав Комиссии утверждается руководителем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24. Председателем Комиссии является руководитель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25. Руководит работой Комиссии председатель Комиссии, а в его отсутствие - заместитель председателя Комиссии.</w:t>
      </w:r>
    </w:p>
    <w:p>
      <w:pPr>
        <w:spacing w:after="60"/>
        <w:ind w:firstLine="567"/>
        <w:jc w:val="both"/>
      </w:pPr>
      <w:r>
        <w:rPr>
          <w:rFonts w:ascii="Arial" w:cs="Arial" w:eastAsia="Arial" w:hAnsi="Arial"/>
          <w:sz w:val="24"/>
          <w:szCs w:val="24"/>
        </w:rPr>
        <w:t xml:space="preserve">26. Заседание Комиссии считается правомочным, если на нем присутствует более половины от списочного состава Комиссии.</w:t>
      </w:r>
    </w:p>
    <w:p>
      <w:pPr>
        <w:spacing w:after="60"/>
        <w:ind w:firstLine="567"/>
        <w:jc w:val="both"/>
      </w:pPr>
      <w:r>
        <w:rPr>
          <w:rFonts w:ascii="Arial" w:cs="Arial" w:eastAsia="Arial" w:hAnsi="Arial"/>
          <w:sz w:val="24"/>
          <w:szCs w:val="24"/>
        </w:rPr>
        <w:t xml:space="preserve">27. Решение Комиссии принимается открытым голосованием, большинством от общего числа голосов членов Комиссии. В случае равенства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28. Комиссия собирается на свои заседания по мере поступления материалов и необходимости решения вопросов в сфере лицензирования недропользования.</w:t>
      </w:r>
    </w:p>
    <w:p>
      <w:pPr>
        <w:spacing w:after="60"/>
        <w:ind w:firstLine="567"/>
        <w:jc w:val="both"/>
      </w:pPr>
      <w:r>
        <w:rPr>
          <w:rFonts w:ascii="Arial" w:cs="Arial" w:eastAsia="Arial" w:hAnsi="Arial"/>
          <w:sz w:val="24"/>
          <w:szCs w:val="24"/>
        </w:rPr>
        <w:t xml:space="preserve">29. Недропользователи вправе участвовать в заседаниях Комиссии лично, либо через своих представителей, имеющих доверенности, оформленные в установленном порядке.</w:t>
      </w:r>
    </w:p>
    <w:p>
      <w:pPr>
        <w:spacing w:after="60"/>
        <w:ind w:firstLine="567"/>
        <w:jc w:val="both"/>
      </w:pPr>
      <w:r>
        <w:rPr>
          <w:rFonts w:ascii="Arial" w:cs="Arial" w:eastAsia="Arial" w:hAnsi="Arial"/>
          <w:sz w:val="24"/>
          <w:szCs w:val="24"/>
        </w:rPr>
        <w:t xml:space="preserve">30. Заседание Комиссии, а также принятые решения оформляются протоколом.</w:t>
      </w:r>
    </w:p>
    <w:p>
      <w:pPr>
        <w:spacing w:after="60"/>
        <w:ind w:firstLine="567"/>
        <w:jc w:val="both"/>
      </w:pPr>
      <w:r>
        <w:rPr>
          <w:rFonts w:ascii="Arial" w:cs="Arial" w:eastAsia="Arial" w:hAnsi="Arial"/>
          <w:sz w:val="24"/>
          <w:szCs w:val="24"/>
        </w:rPr>
        <w:t xml:space="preserve">31. Члены Комиссии, не согласные с решением Комиссии, вправе указать в протоколе Комиссии либо отдельно в приложении свою позицию.</w:t>
      </w:r>
    </w:p>
    <w:p>
      <w:pPr>
        <w:spacing w:after="60"/>
        <w:ind w:firstLine="567"/>
        <w:jc w:val="both"/>
      </w:pPr>
      <w:r>
        <w:rPr>
          <w:rFonts w:ascii="Arial" w:cs="Arial" w:eastAsia="Arial" w:hAnsi="Arial"/>
          <w:sz w:val="24"/>
          <w:szCs w:val="24"/>
        </w:rPr>
        <w:t xml:space="preserve">32. Выписка из протокола заседания Комиссии вручается недропользователю, либо высылается ему по последнему известному адресу, в течение десяти рабочих дней с момента проведения заседания Комиссии и принятия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6vy-2n4i4m9lb3wtv-e_">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Решение Комиссии вступает в силу немедленно и может быть обжаловано в судебном порядке в течение трех месяцев.</w:t>
      </w:r>
    </w:p>
    <w:p>
      <w:pPr>
        <w:spacing w:after="60"/>
        <w:ind w:firstLine="567"/>
        <w:jc w:val="both"/>
      </w:pPr>
      <w:r>
        <w:rPr>
          <w:rFonts w:ascii="Arial" w:cs="Arial" w:eastAsia="Arial" w:hAnsi="Arial"/>
          <w:sz w:val="24"/>
          <w:szCs w:val="24"/>
        </w:rPr>
        <w:t xml:space="preserve">34. При поступлении дополнительных материалов, свидетельствующих в пользу недропользователя, о которых не было известно членам Комиссии при принятии решения, решение Комиссии может быть пересмотрено.</w:t>
      </w:r>
    </w:p>
    <w:p>
      <w:pPr>
        <w:spacing w:after="60"/>
        <w:ind w:firstLine="567"/>
        <w:jc w:val="both"/>
      </w:pPr>
      <w:r>
        <w:rPr>
          <w:rFonts w:ascii="Arial" w:cs="Arial" w:eastAsia="Arial" w:hAnsi="Arial"/>
          <w:sz w:val="24"/>
          <w:szCs w:val="24"/>
        </w:rPr>
        <w:t xml:space="preserve">Решение о прекращении прав пользования недрами может быть пересмотрено Комиссией в течение одного месяца со дня вынесения такого решения. Решение об отказе в предоставлении прав пользования недрами путем прямых переговоров пересмотру не подлежит.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4djprepam-a-3lwitg3s">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Предоставление права пользования недрами путем проведения прямых переговоров</w:t>
      </w:r>
    </w:p>
    <w:p>
      <w:pPr>
        <w:spacing w:after="60"/>
        <w:ind w:firstLine="567"/>
        <w:jc w:val="both"/>
      </w:pPr>
      <w:r>
        <w:rPr>
          <w:rFonts w:ascii="Arial" w:cs="Arial" w:eastAsia="Arial" w:hAnsi="Arial"/>
          <w:sz w:val="24"/>
          <w:szCs w:val="24"/>
        </w:rPr>
        <w:t xml:space="preserve">35. Для получения права пользования недрами путем прямых переговоров необходимо подать заявку в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36. Заявка на получение права пользования недрами подается на государственном или официальном языке, на специальном бланке уполномоченного государственного органа по реализации государственной политики по недропользованию и должна содержать данные о заявителе, месте, видах пользования полезными ископаемыми.</w:t>
      </w:r>
    </w:p>
    <w:p>
      <w:pPr>
        <w:spacing w:after="60"/>
        <w:ind w:firstLine="567"/>
        <w:jc w:val="both"/>
      </w:pPr>
      <w:r>
        <w:rPr>
          <w:rFonts w:ascii="Arial" w:cs="Arial" w:eastAsia="Arial" w:hAnsi="Arial"/>
          <w:sz w:val="24"/>
          <w:szCs w:val="24"/>
        </w:rPr>
        <w:t xml:space="preserve">К заявке прилагаются:</w:t>
      </w:r>
    </w:p>
    <w:p>
      <w:pPr>
        <w:spacing w:after="60"/>
        <w:ind w:firstLine="567"/>
        <w:jc w:val="both"/>
      </w:pPr>
      <w:r>
        <w:rPr>
          <w:rFonts w:ascii="Arial" w:cs="Arial" w:eastAsia="Arial" w:hAnsi="Arial"/>
          <w:sz w:val="24"/>
          <w:szCs w:val="24"/>
        </w:rPr>
        <w:t xml:space="preserve">-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заверенные своей печатью, - для юридических лиц, зарегистрированных, перерегистрированных позже указанного срока;</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юридического лица и (или) индивидуального предпринимателя;</w:t>
      </w:r>
    </w:p>
    <w:p>
      <w:pPr>
        <w:spacing w:after="60"/>
        <w:ind w:firstLine="567"/>
        <w:jc w:val="both"/>
      </w:pPr>
      <w:r>
        <w:rPr>
          <w:rFonts w:ascii="Arial" w:cs="Arial" w:eastAsia="Arial" w:hAnsi="Arial"/>
          <w:sz w:val="24"/>
          <w:szCs w:val="24"/>
        </w:rPr>
        <w:t xml:space="preserve">- копия паспорта, с указанием адреса прописки - для физического лица;</w:t>
      </w:r>
    </w:p>
    <w:p>
      <w:pPr>
        <w:spacing w:after="60"/>
        <w:ind w:firstLine="567"/>
        <w:jc w:val="both"/>
      </w:pPr>
      <w:r>
        <w:rPr>
          <w:rFonts w:ascii="Arial" w:cs="Arial" w:eastAsia="Arial" w:hAnsi="Arial"/>
          <w:sz w:val="24"/>
          <w:szCs w:val="24"/>
        </w:rPr>
        <w:t xml:space="preserve">- программа изучения или освоения лицензионного объекта;</w:t>
      </w:r>
    </w:p>
    <w:p>
      <w:pPr>
        <w:spacing w:after="60"/>
        <w:ind w:firstLine="567"/>
        <w:jc w:val="both"/>
      </w:pPr>
      <w:r>
        <w:rPr>
          <w:rFonts w:ascii="Arial" w:cs="Arial" w:eastAsia="Arial" w:hAnsi="Arial"/>
          <w:sz w:val="24"/>
          <w:szCs w:val="24"/>
        </w:rPr>
        <w:t xml:space="preserve">- в случае лицензирования права пользования недрами на разработку месторождений полезных ископаемых - документы, подтверждающие финансовые возможности заявителя для выполнения представленной программы освоения лицензионного объекта, выданные банками Кыргызской Республики;</w:t>
      </w:r>
    </w:p>
    <w:p>
      <w:pPr>
        <w:spacing w:after="60"/>
        <w:ind w:firstLine="567"/>
        <w:jc w:val="both"/>
      </w:pPr>
      <w:r>
        <w:rPr>
          <w:rFonts w:ascii="Arial" w:cs="Arial" w:eastAsia="Arial" w:hAnsi="Arial"/>
          <w:sz w:val="24"/>
          <w:szCs w:val="24"/>
        </w:rPr>
        <w:t xml:space="preserve">- в случае лицензирования права пользования недрами на проведение геолого-поисковых или геологоразведочных работ - документы, подтверждающие возможность уплаты заявителем лицензионных платежей в течение первых трех лет действия лицензии на право пользования недрами, выданные банками Кыргызской Республики;</w:t>
      </w:r>
    </w:p>
    <w:p>
      <w:pPr>
        <w:spacing w:after="60"/>
        <w:ind w:firstLine="567"/>
        <w:jc w:val="both"/>
      </w:pPr>
      <w:r>
        <w:rPr>
          <w:rFonts w:ascii="Arial" w:cs="Arial" w:eastAsia="Arial" w:hAnsi="Arial"/>
          <w:sz w:val="24"/>
          <w:szCs w:val="24"/>
        </w:rPr>
        <w:t xml:space="preserve">- решение или протокол о назначении руководителя юридического лица или доверенность на представление интересов заявителя;</w:t>
      </w:r>
    </w:p>
    <w:p>
      <w:pPr>
        <w:spacing w:after="60"/>
        <w:ind w:firstLine="567"/>
        <w:jc w:val="both"/>
      </w:pPr>
      <w:r>
        <w:rPr>
          <w:rFonts w:ascii="Arial" w:cs="Arial" w:eastAsia="Arial" w:hAnsi="Arial"/>
          <w:sz w:val="24"/>
          <w:szCs w:val="24"/>
        </w:rPr>
        <w:t xml:space="preserve">- иностранное юридическое лицо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sz w:val="24"/>
          <w:szCs w:val="24"/>
        </w:rPr>
        <w:t xml:space="preserve">- компании, зарегистрированные в Кыргызской Республике, включая филиалы иностранных компаний, зарегистрированных в Кыргызской Республике, дополнительно представляют справку налоговой службы об отсутствии просроченной налоговой задолженности.</w:t>
      </w:r>
    </w:p>
    <w:p>
      <w:pPr>
        <w:spacing w:after="60"/>
        <w:ind w:firstLine="567"/>
        <w:jc w:val="both"/>
      </w:pPr>
      <w:r>
        <w:rPr>
          <w:rFonts w:ascii="Arial" w:cs="Arial" w:eastAsia="Arial" w:hAnsi="Arial"/>
          <w:sz w:val="24"/>
          <w:szCs w:val="24"/>
        </w:rPr>
        <w:t xml:space="preserve">К заявке на получение лицензии на право пользования недрами по отбору и использованию подземных вод дополнительно прилагаются:</w:t>
      </w:r>
    </w:p>
    <w:p>
      <w:pPr>
        <w:spacing w:after="60"/>
        <w:ind w:firstLine="567"/>
        <w:jc w:val="both"/>
      </w:pPr>
      <w:r>
        <w:rPr>
          <w:rFonts w:ascii="Arial" w:cs="Arial" w:eastAsia="Arial" w:hAnsi="Arial"/>
          <w:sz w:val="24"/>
          <w:szCs w:val="24"/>
        </w:rPr>
        <w:t xml:space="preserve">- технологическая схема эксплуатации;</w:t>
      </w:r>
    </w:p>
    <w:p>
      <w:pPr>
        <w:spacing w:after="60"/>
        <w:ind w:firstLine="567"/>
        <w:jc w:val="both"/>
      </w:pPr>
      <w:r>
        <w:rPr>
          <w:rFonts w:ascii="Arial" w:cs="Arial" w:eastAsia="Arial" w:hAnsi="Arial"/>
          <w:sz w:val="24"/>
          <w:szCs w:val="24"/>
        </w:rPr>
        <w:t xml:space="preserve">- заключение уполномоченного государственного органа по здравоохранению в случае использования подземных вод для розлива и (или) для бальнеологического лечения.</w:t>
      </w:r>
    </w:p>
    <w:p>
      <w:pPr>
        <w:spacing w:after="60"/>
        <w:ind w:firstLine="567"/>
        <w:jc w:val="both"/>
      </w:pPr>
      <w:r>
        <w:rPr>
          <w:rFonts w:ascii="Arial" w:cs="Arial" w:eastAsia="Arial" w:hAnsi="Arial"/>
          <w:sz w:val="24"/>
          <w:szCs w:val="24"/>
        </w:rPr>
        <w:t xml:space="preserve">Документы, подтверждающие финансовые возможности заявителя для выполнения представленной программы освоения лицензионного объекта, и документы, подтверждающие возможность уплаты лицензионных платежей в течение первых трех лет действия лицензии на право пользования недрами, а также справки налоговой службы об отсутствии просроченной налоговой задолженности действуют в течение трех месяцев с момента их составления.</w:t>
      </w:r>
    </w:p>
    <w:p>
      <w:pPr>
        <w:spacing w:after="60"/>
        <w:ind w:firstLine="567"/>
        <w:jc w:val="both"/>
      </w:pPr>
      <w:r>
        <w:rPr>
          <w:rFonts w:ascii="Arial" w:cs="Arial" w:eastAsia="Arial" w:hAnsi="Arial"/>
          <w:sz w:val="24"/>
          <w:szCs w:val="24"/>
        </w:rPr>
        <w:t xml:space="preserve">Заявка с приложениями подается на бумажном носителе информации вместе с фотокопиями на электронном носителе информации.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az71hvefjrradetxwzcf">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 </w:t>
      </w:r>
      <w:hyperlink w:history="1" r:id="rIdjbytygv_hsywgzuyhvkgg">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Заявки с неполным комплектом требуемых документов и без копии на электронном носителе не принимаются.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9oaylstpcbnhf9jkl_kv">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Заявки с приложением полного комплекта документов фиксируются в специальной книге приема заявок с указанием даты и времени их принятия.</w:t>
      </w:r>
    </w:p>
    <w:p>
      <w:pPr>
        <w:spacing w:after="60"/>
        <w:ind w:firstLine="567"/>
        <w:jc w:val="both"/>
      </w:pPr>
      <w:r>
        <w:rPr>
          <w:rFonts w:ascii="Arial" w:cs="Arial" w:eastAsia="Arial" w:hAnsi="Arial"/>
          <w:sz w:val="24"/>
          <w:szCs w:val="24"/>
        </w:rPr>
        <w:t xml:space="preserve">Ответственный за прием документов ежедневно отмечает завершение приема заявок и заверяет его своей подписью.</w:t>
      </w:r>
    </w:p>
    <w:p>
      <w:pPr>
        <w:spacing w:after="60"/>
        <w:ind w:firstLine="567"/>
        <w:jc w:val="both"/>
      </w:pPr>
      <w:r>
        <w:rPr>
          <w:rFonts w:ascii="Arial" w:cs="Arial" w:eastAsia="Arial" w:hAnsi="Arial"/>
          <w:sz w:val="24"/>
          <w:szCs w:val="24"/>
        </w:rPr>
        <w:t xml:space="preserve">39. В случае если на объект права пользования недрами в течение 20 календарных дней после подачи первой заявки будет зарегистрировано две и более заявки, право пользования недрами по данному объекту подлежит предоставлению путем проведения аукциона, в соответствии с установленным порядком.</w:t>
      </w:r>
    </w:p>
    <w:p>
      <w:pPr>
        <w:spacing w:after="60"/>
        <w:ind w:firstLine="567"/>
        <w:jc w:val="both"/>
      </w:pPr>
      <w:r>
        <w:rPr>
          <w:rFonts w:ascii="Arial" w:cs="Arial" w:eastAsia="Arial" w:hAnsi="Arial"/>
          <w:sz w:val="24"/>
          <w:szCs w:val="24"/>
        </w:rPr>
        <w:t xml:space="preserve">В данном случае уполномоченным государственным органом по реализации государственной политики по недропользованию, в течение 30 календарных дней с момента подачи первой заявки, принимается решение о проведении аукциона.</w:t>
      </w:r>
    </w:p>
    <w:p>
      <w:pPr>
        <w:spacing w:after="60"/>
        <w:ind w:firstLine="567"/>
        <w:jc w:val="both"/>
      </w:pPr>
      <w:r>
        <w:rPr>
          <w:rFonts w:ascii="Arial" w:cs="Arial" w:eastAsia="Arial" w:hAnsi="Arial"/>
          <w:sz w:val="24"/>
          <w:szCs w:val="24"/>
        </w:rPr>
        <w:t xml:space="preserve">Лицам, подавшим заявки на предоставление права пользования недрами на объект путем прямых переговоров, необходимо подать заявки на участие в аукционе в соответствии с установленным порядком. При этом, представления документов, которые были уже представлены ранее, при подаче первой заявки, не требуется.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br7jxomboh2fwi6jc6t0">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Отказ в предоставлении права пользования недрами может последовать в случаях:</w:t>
      </w:r>
    </w:p>
    <w:p>
      <w:pPr>
        <w:spacing w:after="60"/>
        <w:ind w:firstLine="567"/>
        <w:jc w:val="both"/>
      </w:pPr>
      <w:r>
        <w:rPr>
          <w:rFonts w:ascii="Arial" w:cs="Arial" w:eastAsia="Arial" w:hAnsi="Arial"/>
          <w:sz w:val="24"/>
          <w:szCs w:val="24"/>
        </w:rPr>
        <w:t xml:space="preserve">- если заявитель предоставил о себе неверные сведения и (или) не обладает необходимыми финансовыми средствами для поиска и/или разведки и/или разработки объекта;</w:t>
      </w:r>
    </w:p>
    <w:p>
      <w:pPr>
        <w:spacing w:after="60"/>
        <w:ind w:firstLine="567"/>
        <w:jc w:val="both"/>
      </w:pPr>
      <w:r>
        <w:rPr>
          <w:rFonts w:ascii="Arial" w:cs="Arial" w:eastAsia="Arial" w:hAnsi="Arial"/>
          <w:sz w:val="24"/>
          <w:szCs w:val="24"/>
        </w:rPr>
        <w:t xml:space="preserve">- если на заявленный объект уже выдана лицензия на те же виды минерального сырья.</w:t>
      </w:r>
    </w:p>
    <w:p>
      <w:pPr>
        <w:spacing w:after="60"/>
        <w:ind w:firstLine="567"/>
        <w:jc w:val="both"/>
      </w:pPr>
      <w:r>
        <w:rPr>
          <w:rFonts w:ascii="Arial" w:cs="Arial" w:eastAsia="Arial" w:hAnsi="Arial"/>
          <w:sz w:val="24"/>
          <w:szCs w:val="24"/>
        </w:rPr>
        <w:t xml:space="preserve">41. Решение о выдаче лицензии на право пользования недрами или об отказе в выдаче лицензии на право пользования недрами путем проведения прямых переговоров принимается лицензионным органом в течение 30 календарных дней.</w:t>
      </w:r>
    </w:p>
    <w:p>
      <w:pPr>
        <w:spacing w:after="200" w:before="200"/>
        <w:jc w:val="center"/>
      </w:pPr>
      <w:r>
        <w:rPr>
          <w:rFonts w:ascii="Arial" w:cs="Arial" w:eastAsia="Arial" w:hAnsi="Arial"/>
          <w:b/>
          <w:bCs/>
          <w:sz w:val="24"/>
          <w:szCs w:val="24"/>
        </w:rPr>
        <w:t xml:space="preserve">V. Порядок оформления условий лицензирования и продления сроков лицензирования</w:t>
      </w:r>
    </w:p>
    <w:p>
      <w:pPr>
        <w:spacing w:after="60"/>
        <w:ind w:firstLine="567"/>
        <w:jc w:val="both"/>
      </w:pPr>
      <w:r>
        <w:rPr>
          <w:rFonts w:ascii="Arial" w:cs="Arial" w:eastAsia="Arial" w:hAnsi="Arial"/>
          <w:sz w:val="24"/>
          <w:szCs w:val="24"/>
        </w:rPr>
        <w:t xml:space="preserve">42. После утверждения конкурсной комиссией результатов конкурса по объектам общегосударственного значения, а также после подписания протокола аукционной комиссией об определении победителя аукциона и уплаты им окончательной цены объекта аукциона, а также после подписания сторонами протокола прямых переговоров, выдается лицензия и лицензионное соглашение на проектирование работ (геологическое изучение недр, разработка месторождений полезных ископаемых, строительство и эксплуатация подземных сооружений, не связанных с добычей полезных ископаемых) на лицензионном объекте.</w:t>
      </w:r>
    </w:p>
    <w:p>
      <w:pPr>
        <w:spacing w:after="60"/>
        <w:ind w:firstLine="567"/>
        <w:jc w:val="both"/>
      </w:pPr>
      <w:r>
        <w:rPr>
          <w:rFonts w:ascii="Arial" w:cs="Arial" w:eastAsia="Arial" w:hAnsi="Arial"/>
          <w:sz w:val="24"/>
          <w:szCs w:val="24"/>
        </w:rPr>
        <w:t xml:space="preserve">43. Для получения лицензии иностранному юридическому лицу необходимо до получения лицензии произвести регистрацию дочерней компании (со 100% долей участия) в Кыргызской Республике, с указанием наименования и адреса лицензиата в Кыргызской Республике. В лицензионном соглашении делается указание на то, что лицензия выдана дочерней компании.</w:t>
      </w:r>
    </w:p>
    <w:p>
      <w:pPr>
        <w:spacing w:after="60"/>
        <w:ind w:firstLine="567"/>
        <w:jc w:val="both"/>
      </w:pPr>
      <w:r>
        <w:rPr>
          <w:rFonts w:ascii="Arial" w:cs="Arial" w:eastAsia="Arial" w:hAnsi="Arial"/>
          <w:sz w:val="24"/>
          <w:szCs w:val="24"/>
        </w:rPr>
        <w:t xml:space="preserve">44. Лицензионное соглашение является неотъемлемой частью лицензии.</w:t>
      </w:r>
    </w:p>
    <w:p>
      <w:pPr>
        <w:spacing w:after="60"/>
        <w:ind w:firstLine="567"/>
        <w:jc w:val="both"/>
      </w:pPr>
      <w:r>
        <w:rPr>
          <w:rFonts w:ascii="Arial" w:cs="Arial" w:eastAsia="Arial" w:hAnsi="Arial"/>
          <w:sz w:val="24"/>
          <w:szCs w:val="24"/>
        </w:rPr>
        <w:t xml:space="preserve">45. Лицензия на право пользования представляет собой установленной формы бланк строгой отчетности с наименованием лицензионного органа, с изображением Государственного герба Кыргызской Республики, порядковым номером и сведениями по лицензированию.</w:t>
      </w:r>
    </w:p>
    <w:p>
      <w:pPr>
        <w:spacing w:after="60"/>
        <w:ind w:firstLine="567"/>
        <w:jc w:val="both"/>
      </w:pPr>
      <w:r>
        <w:rPr>
          <w:rFonts w:ascii="Arial" w:cs="Arial" w:eastAsia="Arial" w:hAnsi="Arial"/>
          <w:sz w:val="24"/>
          <w:szCs w:val="24"/>
        </w:rPr>
        <w:t xml:space="preserve">Лицензия на право пользования недрами содержит следующие сведения:</w:t>
      </w:r>
    </w:p>
    <w:p>
      <w:pPr>
        <w:spacing w:after="60"/>
        <w:ind w:firstLine="567"/>
        <w:jc w:val="both"/>
      </w:pPr>
      <w:r>
        <w:rPr>
          <w:rFonts w:ascii="Arial" w:cs="Arial" w:eastAsia="Arial" w:hAnsi="Arial"/>
          <w:sz w:val="24"/>
          <w:szCs w:val="24"/>
        </w:rPr>
        <w:t xml:space="preserve">- алфавитно-цифровой код лицензии на право пользования недрами;</w:t>
      </w:r>
    </w:p>
    <w:p>
      <w:pPr>
        <w:spacing w:after="60"/>
        <w:ind w:firstLine="567"/>
        <w:jc w:val="both"/>
      </w:pPr>
      <w:r>
        <w:rPr>
          <w:rFonts w:ascii="Arial" w:cs="Arial" w:eastAsia="Arial" w:hAnsi="Arial"/>
          <w:sz w:val="24"/>
          <w:szCs w:val="24"/>
        </w:rPr>
        <w:t xml:space="preserve">- вид пользования недрами;</w:t>
      </w:r>
    </w:p>
    <w:p>
      <w:pPr>
        <w:spacing w:after="60"/>
        <w:ind w:firstLine="567"/>
        <w:jc w:val="both"/>
      </w:pPr>
      <w:r>
        <w:rPr>
          <w:rFonts w:ascii="Arial" w:cs="Arial" w:eastAsia="Arial" w:hAnsi="Arial"/>
          <w:sz w:val="24"/>
          <w:szCs w:val="24"/>
        </w:rPr>
        <w:t xml:space="preserve">- наименование и реквизиты лицензиата;</w:t>
      </w:r>
    </w:p>
    <w:p>
      <w:pPr>
        <w:spacing w:after="60"/>
        <w:ind w:firstLine="567"/>
        <w:jc w:val="both"/>
      </w:pPr>
      <w:r>
        <w:rPr>
          <w:rFonts w:ascii="Arial" w:cs="Arial" w:eastAsia="Arial" w:hAnsi="Arial"/>
          <w:sz w:val="24"/>
          <w:szCs w:val="24"/>
        </w:rPr>
        <w:t xml:space="preserve">- лицензионный номер объекта недропользования;</w:t>
      </w:r>
    </w:p>
    <w:p>
      <w:pPr>
        <w:spacing w:after="60"/>
        <w:ind w:firstLine="567"/>
        <w:jc w:val="both"/>
      </w:pPr>
      <w:r>
        <w:rPr>
          <w:rFonts w:ascii="Arial" w:cs="Arial" w:eastAsia="Arial" w:hAnsi="Arial"/>
          <w:sz w:val="24"/>
          <w:szCs w:val="24"/>
        </w:rPr>
        <w:t xml:space="preserve">- вид полезного ископаемого;</w:t>
      </w:r>
    </w:p>
    <w:p>
      <w:pPr>
        <w:spacing w:after="60"/>
        <w:ind w:firstLine="567"/>
        <w:jc w:val="both"/>
      </w:pPr>
      <w:r>
        <w:rPr>
          <w:rFonts w:ascii="Arial" w:cs="Arial" w:eastAsia="Arial" w:hAnsi="Arial"/>
          <w:sz w:val="24"/>
          <w:szCs w:val="24"/>
        </w:rPr>
        <w:t xml:space="preserve">- административное местоположение лицензионного объекта;</w:t>
      </w:r>
    </w:p>
    <w:p>
      <w:pPr>
        <w:spacing w:after="60"/>
        <w:ind w:firstLine="567"/>
        <w:jc w:val="both"/>
      </w:pPr>
      <w:r>
        <w:rPr>
          <w:rFonts w:ascii="Arial" w:cs="Arial" w:eastAsia="Arial" w:hAnsi="Arial"/>
          <w:sz w:val="24"/>
          <w:szCs w:val="24"/>
        </w:rPr>
        <w:t xml:space="preserve">- дата выдачи и срок действия лицензии на право пользования недрами;</w:t>
      </w:r>
    </w:p>
    <w:p>
      <w:pPr>
        <w:spacing w:after="60"/>
        <w:ind w:firstLine="567"/>
        <w:jc w:val="both"/>
      </w:pPr>
      <w:r>
        <w:rPr>
          <w:rFonts w:ascii="Arial" w:cs="Arial" w:eastAsia="Arial" w:hAnsi="Arial"/>
          <w:sz w:val="24"/>
          <w:szCs w:val="24"/>
        </w:rPr>
        <w:t xml:space="preserve">- дата внесения изменений и дополнений;</w:t>
      </w:r>
    </w:p>
    <w:p>
      <w:pPr>
        <w:spacing w:after="60"/>
        <w:ind w:firstLine="567"/>
        <w:jc w:val="both"/>
      </w:pPr>
      <w:r>
        <w:rPr>
          <w:rFonts w:ascii="Arial" w:cs="Arial" w:eastAsia="Arial" w:hAnsi="Arial"/>
          <w:sz w:val="24"/>
          <w:szCs w:val="24"/>
        </w:rPr>
        <w:t xml:space="preserve">-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46. Лицензионное соглашение, как неотъемлемая часть лицензии на право пользования недрами, содержит следующие сведения:</w:t>
      </w:r>
    </w:p>
    <w:p>
      <w:pPr>
        <w:spacing w:after="60"/>
        <w:ind w:firstLine="567"/>
        <w:jc w:val="both"/>
      </w:pPr>
      <w:r>
        <w:rPr>
          <w:rFonts w:ascii="Arial" w:cs="Arial" w:eastAsia="Arial" w:hAnsi="Arial"/>
          <w:sz w:val="24"/>
          <w:szCs w:val="24"/>
        </w:rPr>
        <w:t xml:space="preserve">- координаты угловых точек и размер лицензионной площади;</w:t>
      </w:r>
    </w:p>
    <w:p>
      <w:pPr>
        <w:spacing w:after="60"/>
        <w:ind w:firstLine="567"/>
        <w:jc w:val="both"/>
      </w:pPr>
      <w:r>
        <w:rPr>
          <w:rFonts w:ascii="Arial" w:cs="Arial" w:eastAsia="Arial" w:hAnsi="Arial"/>
          <w:sz w:val="24"/>
          <w:szCs w:val="24"/>
        </w:rPr>
        <w:t xml:space="preserve">- целевое назначение работ;</w:t>
      </w:r>
    </w:p>
    <w:p>
      <w:pPr>
        <w:spacing w:after="60"/>
        <w:ind w:firstLine="567"/>
        <w:jc w:val="both"/>
      </w:pPr>
      <w:r>
        <w:rPr>
          <w:rFonts w:ascii="Arial" w:cs="Arial" w:eastAsia="Arial" w:hAnsi="Arial"/>
          <w:sz w:val="24"/>
          <w:szCs w:val="24"/>
        </w:rPr>
        <w:t xml:space="preserve">- порядок и условия пользования недрами;</w:t>
      </w:r>
    </w:p>
    <w:p>
      <w:pPr>
        <w:spacing w:after="60"/>
        <w:ind w:firstLine="567"/>
        <w:jc w:val="both"/>
      </w:pPr>
      <w:r>
        <w:rPr>
          <w:rFonts w:ascii="Arial" w:cs="Arial" w:eastAsia="Arial" w:hAnsi="Arial"/>
          <w:sz w:val="24"/>
          <w:szCs w:val="24"/>
        </w:rPr>
        <w:t xml:space="preserve">- сведения о регистрации передачи лицензии на право пользования недрами в залог;</w:t>
      </w:r>
    </w:p>
    <w:p>
      <w:pPr>
        <w:spacing w:after="60"/>
        <w:ind w:firstLine="567"/>
        <w:jc w:val="both"/>
      </w:pPr>
      <w:r>
        <w:rPr>
          <w:rFonts w:ascii="Arial" w:cs="Arial" w:eastAsia="Arial" w:hAnsi="Arial"/>
          <w:sz w:val="24"/>
          <w:szCs w:val="24"/>
        </w:rPr>
        <w:t xml:space="preserve">- сроки отчетности;</w:t>
      </w:r>
    </w:p>
    <w:p>
      <w:pPr>
        <w:spacing w:after="60"/>
        <w:ind w:firstLine="567"/>
        <w:jc w:val="both"/>
      </w:pPr>
      <w:r>
        <w:rPr>
          <w:rFonts w:ascii="Arial" w:cs="Arial" w:eastAsia="Arial" w:hAnsi="Arial"/>
          <w:sz w:val="24"/>
          <w:szCs w:val="24"/>
        </w:rPr>
        <w:t xml:space="preserve">- дополнительные сведения;</w:t>
      </w:r>
    </w:p>
    <w:p>
      <w:pPr>
        <w:spacing w:after="60"/>
        <w:ind w:firstLine="567"/>
        <w:jc w:val="both"/>
      </w:pPr>
      <w:r>
        <w:rPr>
          <w:rFonts w:ascii="Arial" w:cs="Arial" w:eastAsia="Arial" w:hAnsi="Arial"/>
          <w:sz w:val="24"/>
          <w:szCs w:val="24"/>
        </w:rPr>
        <w:t xml:space="preserve">-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 фамилия, имя, отчество руководителя предприятия.</w:t>
      </w:r>
    </w:p>
    <w:p>
      <w:pPr>
        <w:spacing w:after="60"/>
        <w:ind w:firstLine="567"/>
        <w:jc w:val="both"/>
      </w:pPr>
      <w:r>
        <w:rPr>
          <w:rFonts w:ascii="Arial" w:cs="Arial" w:eastAsia="Arial" w:hAnsi="Arial"/>
          <w:sz w:val="24"/>
          <w:szCs w:val="24"/>
        </w:rPr>
        <w:t xml:space="preserve">В лицензионном соглашении,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60"/>
        <w:ind w:firstLine="567"/>
        <w:jc w:val="both"/>
      </w:pPr>
      <w:r>
        <w:rPr>
          <w:rFonts w:ascii="Arial" w:cs="Arial" w:eastAsia="Arial" w:hAnsi="Arial"/>
          <w:sz w:val="24"/>
          <w:szCs w:val="24"/>
        </w:rPr>
        <w:t xml:space="preserve">- дебит скважины или родника, количество и категория запасов;</w:t>
      </w:r>
    </w:p>
    <w:p>
      <w:pPr>
        <w:spacing w:after="60"/>
        <w:ind w:firstLine="567"/>
        <w:jc w:val="both"/>
      </w:pPr>
      <w:r>
        <w:rPr>
          <w:rFonts w:ascii="Arial" w:cs="Arial" w:eastAsia="Arial" w:hAnsi="Arial"/>
          <w:sz w:val="24"/>
          <w:szCs w:val="24"/>
        </w:rPr>
        <w:t xml:space="preserve">- тип подземной воды;</w:t>
      </w:r>
    </w:p>
    <w:p>
      <w:pPr>
        <w:spacing w:after="60"/>
        <w:ind w:firstLine="567"/>
        <w:jc w:val="both"/>
      </w:pPr>
      <w:r>
        <w:rPr>
          <w:rFonts w:ascii="Arial" w:cs="Arial" w:eastAsia="Arial" w:hAnsi="Arial"/>
          <w:sz w:val="24"/>
          <w:szCs w:val="24"/>
        </w:rPr>
        <w:t xml:space="preserve">- координаты устья скважины или родника;</w:t>
      </w:r>
    </w:p>
    <w:p>
      <w:pPr>
        <w:spacing w:after="60"/>
        <w:ind w:firstLine="567"/>
        <w:jc w:val="both"/>
      </w:pPr>
      <w:r>
        <w:rPr>
          <w:rFonts w:ascii="Arial" w:cs="Arial" w:eastAsia="Arial" w:hAnsi="Arial"/>
          <w:sz w:val="24"/>
          <w:szCs w:val="24"/>
        </w:rPr>
        <w:t xml:space="preserve">- целевое использование подземных вод;</w:t>
      </w:r>
    </w:p>
    <w:p>
      <w:pPr>
        <w:spacing w:after="60"/>
        <w:ind w:firstLine="567"/>
        <w:jc w:val="both"/>
      </w:pPr>
      <w:r>
        <w:rPr>
          <w:rFonts w:ascii="Arial" w:cs="Arial" w:eastAsia="Arial" w:hAnsi="Arial"/>
          <w:sz w:val="24"/>
          <w:szCs w:val="24"/>
        </w:rPr>
        <w:t xml:space="preserve">- размер горно-санитарной охранной зоны, зоны санитарной охраны вокруг скважины (родника) подземных вод;</w:t>
      </w:r>
    </w:p>
    <w:p>
      <w:pPr>
        <w:spacing w:after="60"/>
        <w:ind w:firstLine="567"/>
        <w:jc w:val="both"/>
      </w:pPr>
      <w:r>
        <w:rPr>
          <w:rFonts w:ascii="Arial" w:cs="Arial" w:eastAsia="Arial" w:hAnsi="Arial"/>
          <w:sz w:val="24"/>
          <w:szCs w:val="24"/>
        </w:rPr>
        <w:t xml:space="preserve">- согласованный объем отбора подземных вод;</w:t>
      </w:r>
    </w:p>
    <w:p>
      <w:pPr>
        <w:spacing w:after="60"/>
        <w:ind w:firstLine="567"/>
        <w:jc w:val="both"/>
      </w:pPr>
      <w:r>
        <w:rPr>
          <w:rFonts w:ascii="Arial" w:cs="Arial" w:eastAsia="Arial" w:hAnsi="Arial"/>
          <w:sz w:val="24"/>
          <w:szCs w:val="24"/>
        </w:rPr>
        <w:t xml:space="preserve">- сроки отчетности о режимных наблюдениях.</w:t>
      </w:r>
    </w:p>
    <w:p>
      <w:pPr>
        <w:spacing w:after="60"/>
        <w:ind w:firstLine="567"/>
        <w:jc w:val="both"/>
      </w:pPr>
      <w:r>
        <w:rPr>
          <w:rFonts w:ascii="Arial" w:cs="Arial" w:eastAsia="Arial" w:hAnsi="Arial"/>
          <w:sz w:val="24"/>
          <w:szCs w:val="24"/>
        </w:rPr>
        <w:t xml:space="preserve">В лицензионные соглашения всех видов лицензирования могут быть внесены и другие дополнительные условия, согласованные сторонами.</w:t>
      </w:r>
    </w:p>
    <w:p>
      <w:pPr>
        <w:spacing w:after="60"/>
        <w:ind w:firstLine="567"/>
        <w:jc w:val="both"/>
      </w:pPr>
      <w:r>
        <w:rPr>
          <w:rFonts w:ascii="Arial" w:cs="Arial" w:eastAsia="Arial" w:hAnsi="Arial"/>
          <w:sz w:val="24"/>
          <w:szCs w:val="24"/>
        </w:rPr>
        <w:t xml:space="preserve">За выдачу лицензии взимается плата в размере понесенных материальных расходов. Расчет расходов ежегодно согласовывается с уполномоченным антимонопольным государственным органом.</w:t>
      </w:r>
    </w:p>
    <w:p>
      <w:pPr>
        <w:spacing w:after="60"/>
        <w:ind w:firstLine="567"/>
        <w:jc w:val="both"/>
      </w:pPr>
      <w:r>
        <w:rPr>
          <w:rFonts w:ascii="Arial" w:cs="Arial" w:eastAsia="Arial" w:hAnsi="Arial"/>
          <w:sz w:val="24"/>
          <w:szCs w:val="24"/>
        </w:rPr>
        <w:t xml:space="preserve">47. После получения лицензии на право пользования недрами и лицензионного соглашения лицензиат составляет и представляет лицензиару технический проект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На объекты недр, по которым право пользование недрами предоставлено путем проведения конкурса, лицензионное соглашение на составление технического проекта выдается на срок, предусмотренный конкурсными условиями, на остальные объекты недр - на срок действия лицензии.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4_aqk2dpmwxt4htmkarh">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 соответствии с проектом лицензиаром выдается следующее лицензионное соглашение на проведение работ.</w:t>
      </w:r>
    </w:p>
    <w:p>
      <w:pPr>
        <w:spacing w:after="60"/>
        <w:ind w:firstLine="567"/>
        <w:jc w:val="both"/>
      </w:pPr>
      <w:r>
        <w:rPr>
          <w:rFonts w:ascii="Arial" w:cs="Arial" w:eastAsia="Arial" w:hAnsi="Arial"/>
          <w:sz w:val="24"/>
          <w:szCs w:val="24"/>
        </w:rPr>
        <w:t xml:space="preserve">49. В случае наличия замечаний к проекту Комиссией по вопросам лицензирования недропользования может быть установлен срок для исправления недостатков.</w:t>
      </w:r>
    </w:p>
    <w:p>
      <w:pPr>
        <w:spacing w:after="60"/>
        <w:ind w:firstLine="567"/>
        <w:jc w:val="both"/>
      </w:pPr>
      <w:r>
        <w:rPr>
          <w:rFonts w:ascii="Arial" w:cs="Arial" w:eastAsia="Arial" w:hAnsi="Arial"/>
          <w:i/>
          <w:iCs/>
          <w:sz w:val="24"/>
          <w:szCs w:val="24"/>
        </w:rPr>
        <w:t xml:space="preserve">50. (Утратил силу в соответствии с </w:t>
      </w:r>
      <w:hyperlink w:history="1" r:id="rIdre6uk1hwrxyewholbkyd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2013 года N 12)</w:t>
      </w:r>
    </w:p>
    <w:p>
      <w:pPr>
        <w:spacing w:after="60"/>
        <w:ind w:firstLine="567"/>
        <w:jc w:val="both"/>
      </w:pPr>
      <w:r>
        <w:rPr>
          <w:rFonts w:ascii="Arial" w:cs="Arial" w:eastAsia="Arial" w:hAnsi="Arial"/>
          <w:i/>
          <w:iCs/>
          <w:sz w:val="24"/>
          <w:szCs w:val="24"/>
        </w:rPr>
        <w:t xml:space="preserve">51. (Утратил силу в соответствии с </w:t>
      </w:r>
      <w:hyperlink w:history="1" r:id="rId-75suchd_uiihhnl_syd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2013 года N 12)</w:t>
      </w:r>
    </w:p>
    <w:p>
      <w:pPr>
        <w:spacing w:after="60"/>
        <w:ind w:firstLine="567"/>
        <w:jc w:val="both"/>
      </w:pPr>
      <w:r>
        <w:rPr>
          <w:rFonts w:ascii="Arial" w:cs="Arial" w:eastAsia="Arial" w:hAnsi="Arial"/>
          <w:sz w:val="24"/>
          <w:szCs w:val="24"/>
        </w:rPr>
        <w:t xml:space="preserve">52. Лицензированным объектам недропользования присваивается кадастровый алфавитно-нумерический код, являющийся одновременно номером дела по лицензионному объекту и номером на кадастровой топографической карте масштаба 1:100000, состоящий из цифры, указывающей на кадастровый порядковый номер объекта, и букв: "Н" - для нефти и газа, "С" - для углей, "М" - для металлов, кроме драгоценных металлов, "А" - для драгоценных металлов, "Т" - для неметаллов, "В" - для подземных вод, "Г" - для работ, проводимых за счет государственного бюджета, и он заносится в журнал регистрации лицензий, заводится лицензионное дело на бумажном и электронном носителях.</w:t>
      </w:r>
    </w:p>
    <w:p>
      <w:pPr>
        <w:spacing w:after="60"/>
        <w:ind w:firstLine="567"/>
        <w:jc w:val="both"/>
      </w:pPr>
      <w:r>
        <w:rPr>
          <w:rFonts w:ascii="Arial" w:cs="Arial" w:eastAsia="Arial" w:hAnsi="Arial"/>
          <w:sz w:val="24"/>
          <w:szCs w:val="24"/>
        </w:rPr>
        <w:t xml:space="preserve">53. Границы лицензионной площади (геологический отвод) выносятся на топографическую карту масштаба 1:100000 (кадастровая карта) и на электронную карту лицензионных площадей. Координаты угловых точек указываются в прямоугольной системе координат 1942 года. Каждая лицензионная площадь замыкается только собственным контуром. Границы лицензионных площадей отклоняются от прямолинейной в случаях:</w:t>
      </w:r>
    </w:p>
    <w:p>
      <w:pPr>
        <w:spacing w:after="60"/>
        <w:ind w:firstLine="567"/>
        <w:jc w:val="both"/>
      </w:pPr>
      <w:r>
        <w:rPr>
          <w:rFonts w:ascii="Arial" w:cs="Arial" w:eastAsia="Arial" w:hAnsi="Arial"/>
          <w:sz w:val="24"/>
          <w:szCs w:val="24"/>
        </w:rPr>
        <w:t xml:space="preserve">- пересечения с государственной границей;</w:t>
      </w:r>
    </w:p>
    <w:p>
      <w:pPr>
        <w:spacing w:after="60"/>
        <w:ind w:firstLine="567"/>
        <w:jc w:val="both"/>
      </w:pPr>
      <w:r>
        <w:rPr>
          <w:rFonts w:ascii="Arial" w:cs="Arial" w:eastAsia="Arial" w:hAnsi="Arial"/>
          <w:sz w:val="24"/>
          <w:szCs w:val="24"/>
        </w:rPr>
        <w:t xml:space="preserve">- пересечения с границами особо охраняемых территорий;</w:t>
      </w:r>
    </w:p>
    <w:p>
      <w:pPr>
        <w:spacing w:after="60"/>
        <w:ind w:firstLine="567"/>
        <w:jc w:val="both"/>
      </w:pPr>
      <w:r>
        <w:rPr>
          <w:rFonts w:ascii="Arial" w:cs="Arial" w:eastAsia="Arial" w:hAnsi="Arial"/>
          <w:sz w:val="24"/>
          <w:szCs w:val="24"/>
        </w:rPr>
        <w:t xml:space="preserve">- пересечения с водоемами (озера, водохранилища).</w:t>
      </w:r>
    </w:p>
    <w:p>
      <w:pPr>
        <w:spacing w:after="60"/>
        <w:ind w:firstLine="567"/>
        <w:jc w:val="both"/>
      </w:pPr>
      <w:r>
        <w:rPr>
          <w:rFonts w:ascii="Arial" w:cs="Arial" w:eastAsia="Arial" w:hAnsi="Arial"/>
          <w:sz w:val="24"/>
          <w:szCs w:val="24"/>
        </w:rPr>
        <w:t xml:space="preserve">Размер лицензионной площади не ограничивается.</w:t>
      </w:r>
    </w:p>
    <w:p>
      <w:pPr>
        <w:spacing w:after="60"/>
        <w:ind w:firstLine="567"/>
        <w:jc w:val="both"/>
      </w:pPr>
      <w:r>
        <w:rPr>
          <w:rFonts w:ascii="Arial" w:cs="Arial" w:eastAsia="Arial" w:hAnsi="Arial"/>
          <w:sz w:val="24"/>
          <w:szCs w:val="24"/>
        </w:rPr>
        <w:t xml:space="preserve">54. Границы горного отвода для разработки месторождений полезных ископаемых и для целей, не связанных с добычей полезных ископаемых, определяются трехмерными координатами угловых точек в прямоугольной системе координат 1942 года.</w:t>
      </w:r>
    </w:p>
    <w:p>
      <w:pPr>
        <w:spacing w:after="60"/>
        <w:ind w:firstLine="567"/>
        <w:jc w:val="both"/>
      </w:pPr>
      <w:r>
        <w:rPr>
          <w:rFonts w:ascii="Arial" w:cs="Arial" w:eastAsia="Arial" w:hAnsi="Arial"/>
          <w:sz w:val="24"/>
          <w:szCs w:val="24"/>
        </w:rPr>
        <w:t xml:space="preserve">55. В случаях, когда из-за малых размеров лицензионного и горного отводов невозможно отобразить границы объекта на кадастровой карте, объект обозначается точкой на кадастровой карте масштаба 1:100000 с алфавитно-нумерическим кодом и дополнительно составляется врезка-накладка в соответствующем масштабе.</w:t>
      </w:r>
    </w:p>
    <w:p>
      <w:pPr>
        <w:spacing w:after="60"/>
        <w:ind w:firstLine="567"/>
        <w:jc w:val="both"/>
      </w:pPr>
      <w:r>
        <w:rPr>
          <w:rFonts w:ascii="Arial" w:cs="Arial" w:eastAsia="Arial" w:hAnsi="Arial"/>
          <w:sz w:val="24"/>
          <w:szCs w:val="24"/>
        </w:rPr>
        <w:t xml:space="preserve">56. Окончательные размеры геологического и горного отводов могут корректироваться по результатам проектирования. В случае изменения контура и размера отвода в сторону их уменьшения, или увеличения, если смежная площадь не занята, лицензионное соглашение согласовывается лицензиаром без дополнительных условий. В случае если смежная площадь занята, изменение может вноситься только с письменного согласия владельца лицензии смежной площади и только после согласования нового лицензионного соглашения с ним.</w:t>
      </w:r>
    </w:p>
    <w:p>
      <w:pPr>
        <w:spacing w:after="60"/>
        <w:ind w:firstLine="567"/>
        <w:jc w:val="both"/>
      </w:pPr>
      <w:r>
        <w:rPr>
          <w:rFonts w:ascii="Arial" w:cs="Arial" w:eastAsia="Arial" w:hAnsi="Arial"/>
          <w:sz w:val="24"/>
          <w:szCs w:val="24"/>
        </w:rPr>
        <w:t xml:space="preserve">В случае снижения или увеличения объемов добычи полезных ископаемых, согласованных лицензированием, размеры горного отвода по заявке лицензиата могут корректироваться лицензиаром с составлением нового лицензионного соглашения.</w:t>
      </w:r>
    </w:p>
    <w:p>
      <w:pPr>
        <w:spacing w:after="60"/>
        <w:ind w:firstLine="567"/>
        <w:jc w:val="both"/>
      </w:pPr>
      <w:r>
        <w:rPr>
          <w:rFonts w:ascii="Arial" w:cs="Arial" w:eastAsia="Arial" w:hAnsi="Arial"/>
          <w:sz w:val="24"/>
          <w:szCs w:val="24"/>
        </w:rPr>
        <w:t xml:space="preserve">После получения лицензионного соглашения на проведение работ координаты угловых точек горного отвода изменению не подлежат, за исключением случаев, указанных в пункте 57 настоящего Положения. Координаты угловых точек геологического отвода могут быть скорректированы в сторону увеличения при условии наличия обоснованного заключения соответствующего структурного подразделения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w5dwa6zawabgjjduanki">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Лицензиат имеет право сократить лицензионную площадь. Сокращение по его заявлению производится после приема отчета о результатах выполненных работ на сокращаемой площади и предоставления акта о выполнении рекультивационных работ.</w:t>
      </w:r>
    </w:p>
    <w:p>
      <w:pPr>
        <w:spacing w:after="60"/>
        <w:ind w:firstLine="567"/>
        <w:jc w:val="both"/>
      </w:pPr>
      <w:r>
        <w:rPr>
          <w:rFonts w:ascii="Arial" w:cs="Arial" w:eastAsia="Arial" w:hAnsi="Arial"/>
          <w:sz w:val="24"/>
          <w:szCs w:val="24"/>
        </w:rPr>
        <w:t xml:space="preserve">58. Для продления срока действия лицензии недропользователь подает заявку о продлении срока действия лицензии в уполномоченный государственный орган по реализации государственной политики по недропользованию не ранее одного года и не позднее 30 дней до истечения срока действия лицензии, представляет отчет о выполнении условий лицензирования за весь предыдущий срок действия лицензии в соответствии со стандартами отчетности и программу работ на период продлеваемого срока действия лицензии. Представленные материалы рассматриваются лицензиаром в течение 30 дней и принимается соответствующее решение, которое оформляется протоколом.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bksep4oqtgj_qaajg9uh">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58-1. В случае, если лицензиат подал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реализации государственной политики по недропользованию не примет решение в отношении заявления на продление срока действия лицензии.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l_totqg1uxp0oys9hrfz">
        <w:r>
          <w:rPr>
            <w:rFonts w:ascii="Arial" w:cs="Arial" w:eastAsia="Arial" w:hAnsi="Arial"/>
            <w:i/>
            <w:iCs/>
            <w:color w:val="1D4ED8"/>
            <w:sz w:val="24"/>
            <w:szCs w:val="24"/>
            <w:u w:val="single"/>
          </w:rPr>
          <w:t xml:space="preserve">4 августа 2014 года № 436)</w:t>
        </w:r>
      </w:hyperlink>
    </w:p>
    <w:p>
      <w:pPr>
        <w:spacing w:after="200" w:before="200"/>
        <w:jc w:val="center"/>
      </w:pPr>
      <w:r>
        <w:rPr>
          <w:rFonts w:ascii="Arial" w:cs="Arial" w:eastAsia="Arial" w:hAnsi="Arial"/>
          <w:b/>
          <w:bCs/>
          <w:sz w:val="24"/>
          <w:szCs w:val="24"/>
        </w:rPr>
        <w:t xml:space="preserve">VI. Экспертиза технических проектов</w:t>
      </w:r>
    </w:p>
    <w:p>
      <w:pPr>
        <w:spacing w:after="60"/>
        <w:ind w:firstLine="567"/>
        <w:jc w:val="both"/>
      </w:pPr>
      <w:r>
        <w:rPr>
          <w:rFonts w:ascii="Arial" w:cs="Arial" w:eastAsia="Arial" w:hAnsi="Arial"/>
          <w:sz w:val="24"/>
          <w:szCs w:val="24"/>
        </w:rPr>
        <w:t xml:space="preserve">59. Технические проекты на проведение соответствующих работ подлежат экспертизе на соответствие требованиям промышленной, экологической безопасности и охраны недр.</w:t>
      </w:r>
    </w:p>
    <w:p>
      <w:pPr>
        <w:spacing w:after="60"/>
        <w:ind w:firstLine="567"/>
        <w:jc w:val="both"/>
      </w:pPr>
      <w:r>
        <w:rPr>
          <w:rFonts w:ascii="Arial" w:cs="Arial" w:eastAsia="Arial" w:hAnsi="Arial"/>
          <w:sz w:val="24"/>
          <w:szCs w:val="24"/>
        </w:rPr>
        <w:t xml:space="preserve">60. Указанные экспертизы проводятся соответствующими уполномоченными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sncu4mlxia6nuro9eajj">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Для проведения экспертиз лицензиат обязан представить технический проект, включающий материалы по охране окружающей среды:</w:t>
      </w:r>
    </w:p>
    <w:p>
      <w:pPr>
        <w:spacing w:after="60"/>
        <w:ind w:firstLine="567"/>
        <w:jc w:val="both"/>
      </w:pPr>
      <w:r>
        <w:rPr>
          <w:rFonts w:ascii="Arial" w:cs="Arial" w:eastAsia="Arial" w:hAnsi="Arial"/>
          <w:sz w:val="24"/>
          <w:szCs w:val="24"/>
        </w:rPr>
        <w:t xml:space="preserve">- для объектов недр общегосударственного значения - не позднее, чем за три месяца до истечения срока действия лицензионного соглашения, в котором предусмотрено составление технического проекта;</w:t>
      </w:r>
    </w:p>
    <w:p>
      <w:pPr>
        <w:spacing w:after="60"/>
        <w:ind w:firstLine="567"/>
        <w:jc w:val="both"/>
      </w:pPr>
      <w:r>
        <w:rPr>
          <w:rFonts w:ascii="Arial" w:cs="Arial" w:eastAsia="Arial" w:hAnsi="Arial"/>
          <w:sz w:val="24"/>
          <w:szCs w:val="24"/>
        </w:rPr>
        <w:t xml:space="preserve">- для всех иных объектов недр - не позднее, чем за один месяц до истечения срока действия лицензионного соглашения, в котором предусмотрено составление технического проекта.</w:t>
      </w:r>
    </w:p>
    <w:p>
      <w:pPr>
        <w:spacing w:after="60"/>
        <w:ind w:firstLine="567"/>
        <w:jc w:val="both"/>
      </w:pPr>
      <w:r>
        <w:rPr>
          <w:rFonts w:ascii="Arial" w:cs="Arial" w:eastAsia="Arial" w:hAnsi="Arial"/>
          <w:sz w:val="24"/>
          <w:szCs w:val="24"/>
        </w:rPr>
        <w:t xml:space="preserve">В случае несоблюдения лицензиатом сроков представления проекта, указанных в настоящем Положении, в отношении представленного проекта экспертиза не проводится до продления срока действия лицензионного соглашения.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vmluniirv1zya0m1ea0d">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Уполномоченные государственные органы, ответственные за проведение экспертиз, должны обеспечить их проведение в следующие сроки со дня поступления технического проекта:</w:t>
      </w:r>
    </w:p>
    <w:p>
      <w:pPr>
        <w:spacing w:after="60"/>
        <w:ind w:firstLine="567"/>
        <w:jc w:val="both"/>
      </w:pPr>
      <w:r>
        <w:rPr>
          <w:rFonts w:ascii="Arial" w:cs="Arial" w:eastAsia="Arial" w:hAnsi="Arial"/>
          <w:sz w:val="24"/>
          <w:szCs w:val="24"/>
        </w:rPr>
        <w:t xml:space="preserve">- для объектов недр общегосударственного значения - в течение трех месяцев;</w:t>
      </w:r>
    </w:p>
    <w:p>
      <w:pPr>
        <w:spacing w:after="60"/>
        <w:ind w:firstLine="567"/>
        <w:jc w:val="both"/>
      </w:pPr>
      <w:r>
        <w:rPr>
          <w:rFonts w:ascii="Arial" w:cs="Arial" w:eastAsia="Arial" w:hAnsi="Arial"/>
          <w:sz w:val="24"/>
          <w:szCs w:val="24"/>
        </w:rPr>
        <w:t xml:space="preserve">- для всех иных объектов недр - в течение одного месяца.</w:t>
      </w:r>
    </w:p>
    <w:p>
      <w:pPr>
        <w:spacing w:after="60"/>
        <w:ind w:firstLine="567"/>
        <w:jc w:val="both"/>
      </w:pPr>
      <w:r>
        <w:rPr>
          <w:rFonts w:ascii="Arial" w:cs="Arial" w:eastAsia="Arial" w:hAnsi="Arial"/>
          <w:sz w:val="24"/>
          <w:szCs w:val="24"/>
        </w:rPr>
        <w:t xml:space="preserve">В случае несоблюдения уполномоченными государственными органами сроков проведения экспертиз наступает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kiiglcynboanidlkp0b">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63. (Утратил силу в соответствии с </w:t>
      </w:r>
      <w:hyperlink w:history="1" r:id="rId1ejqxvogvv-wgivg2so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августа 2014 года № 436)</w:t>
      </w:r>
    </w:p>
    <w:p>
      <w:pPr>
        <w:spacing w:after="60"/>
        <w:ind w:firstLine="567"/>
        <w:jc w:val="both"/>
      </w:pPr>
      <w:r>
        <w:rPr>
          <w:rFonts w:ascii="Arial" w:cs="Arial" w:eastAsia="Arial" w:hAnsi="Arial"/>
          <w:sz w:val="24"/>
          <w:szCs w:val="24"/>
        </w:rPr>
        <w:t xml:space="preserve">64. Производство работ без технического проекта, получившего все необходимые положительные экспертные заключения, запрещается.</w:t>
      </w:r>
    </w:p>
    <w:p>
      <w:pPr>
        <w:spacing w:after="200" w:before="200"/>
        <w:jc w:val="center"/>
      </w:pPr>
      <w:r>
        <w:rPr>
          <w:rFonts w:ascii="Arial" w:cs="Arial" w:eastAsia="Arial" w:hAnsi="Arial"/>
          <w:b/>
          <w:bCs/>
          <w:sz w:val="24"/>
          <w:szCs w:val="24"/>
        </w:rPr>
        <w:t xml:space="preserve">VII. Порядок представления геологической, горной отчетности и геологической информации</w:t>
      </w:r>
    </w:p>
    <w:p>
      <w:pPr>
        <w:spacing w:after="60"/>
        <w:ind w:firstLine="567"/>
        <w:jc w:val="both"/>
      </w:pPr>
      <w:r>
        <w:rPr>
          <w:rFonts w:ascii="Arial" w:cs="Arial" w:eastAsia="Arial" w:hAnsi="Arial"/>
          <w:sz w:val="24"/>
          <w:szCs w:val="24"/>
        </w:rPr>
        <w:t xml:space="preserve">65. После выполнения всех условий лицензионного соглашения на составление технического проекта подписывается лицензионное соглашение на проведение работ.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yvx278y7uzi7lsmorg6y">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Лицензиат после получения лицензионного соглашения на проведение работ обязан представить в уполномоченный государственный орган по реализации государственной политики по недропользованию отчет о выполненных работах и план геологических и горных работ на последующий год в письменном виде, по форме, утверждаемой уполномоченным государственным органом по реализации государственной политики по недропользованию, а также на электронном носителе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ifdc30fueajwnpotp436">
        <w:r>
          <w:rPr>
            <w:rFonts w:ascii="Arial" w:cs="Arial" w:eastAsia="Arial" w:hAnsi="Arial"/>
            <w:i/>
            <w:iCs/>
            <w:color w:val="1D4ED8"/>
            <w:sz w:val="24"/>
            <w:szCs w:val="24"/>
            <w:u w:val="single"/>
          </w:rPr>
          <w:t xml:space="preserve">4 августа 2014 года № 436)</w:t>
        </w:r>
      </w:hyperlink>
    </w:p>
    <w:p>
      <w:pPr>
        <w:spacing w:after="60"/>
        <w:ind w:firstLine="567"/>
        <w:jc w:val="both"/>
      </w:pPr>
      <w:r>
        <w:rPr>
          <w:rFonts w:ascii="Arial" w:cs="Arial" w:eastAsia="Arial" w:hAnsi="Arial"/>
          <w:sz w:val="24"/>
          <w:szCs w:val="24"/>
        </w:rPr>
        <w:t xml:space="preserve">67. Структурные подразделения уполномоченного государственного органа по реализации государственной политики по недропользованию рассматривают отчеты и согласовывают планы геологических и горных работ, которые утверждаются руководителем.</w:t>
      </w:r>
    </w:p>
    <w:p>
      <w:pPr>
        <w:spacing w:after="60"/>
        <w:ind w:firstLine="567"/>
        <w:jc w:val="both"/>
      </w:pPr>
      <w:r>
        <w:rPr>
          <w:rFonts w:ascii="Arial" w:cs="Arial" w:eastAsia="Arial" w:hAnsi="Arial"/>
          <w:sz w:val="24"/>
          <w:szCs w:val="24"/>
        </w:rPr>
        <w:t xml:space="preserve">68. Отчет о выполненных работах включает в себя полугодовую информацию и годовой отчет.</w:t>
      </w:r>
    </w:p>
    <w:p>
      <w:pPr>
        <w:spacing w:after="60"/>
        <w:ind w:firstLine="567"/>
        <w:jc w:val="both"/>
      </w:pPr>
      <w:r>
        <w:rPr>
          <w:rFonts w:ascii="Arial" w:cs="Arial" w:eastAsia="Arial" w:hAnsi="Arial"/>
          <w:sz w:val="24"/>
          <w:szCs w:val="24"/>
        </w:rPr>
        <w:t xml:space="preserve">69. Сроки представления отчетности:</w:t>
      </w:r>
    </w:p>
    <w:p>
      <w:pPr>
        <w:spacing w:after="60"/>
        <w:ind w:firstLine="567"/>
        <w:jc w:val="both"/>
      </w:pPr>
      <w:r>
        <w:rPr>
          <w:rFonts w:ascii="Arial" w:cs="Arial" w:eastAsia="Arial" w:hAnsi="Arial"/>
          <w:sz w:val="24"/>
          <w:szCs w:val="24"/>
        </w:rPr>
        <w:t xml:space="preserve">- полугодовой информации - до 15 июля текущего года;</w:t>
      </w:r>
    </w:p>
    <w:p>
      <w:pPr>
        <w:spacing w:after="60"/>
        <w:ind w:firstLine="567"/>
        <w:jc w:val="both"/>
      </w:pPr>
      <w:r>
        <w:rPr>
          <w:rFonts w:ascii="Arial" w:cs="Arial" w:eastAsia="Arial" w:hAnsi="Arial"/>
          <w:sz w:val="24"/>
          <w:szCs w:val="24"/>
        </w:rPr>
        <w:t xml:space="preserve">- годового отчета и плана геологических и горных работ - до 31 января следующего года;</w:t>
      </w:r>
    </w:p>
    <w:p>
      <w:pPr>
        <w:spacing w:after="60"/>
        <w:ind w:firstLine="567"/>
        <w:jc w:val="both"/>
      </w:pPr>
      <w:r>
        <w:rPr>
          <w:rFonts w:ascii="Arial" w:cs="Arial" w:eastAsia="Arial" w:hAnsi="Arial"/>
          <w:sz w:val="24"/>
          <w:szCs w:val="24"/>
        </w:rPr>
        <w:t xml:space="preserve">- отчеты по движению запасов полезных ископаемых - до 1 марта следующего года.</w:t>
      </w:r>
    </w:p>
    <w:p>
      <w:pPr>
        <w:spacing w:after="60"/>
        <w:ind w:firstLine="567"/>
        <w:jc w:val="both"/>
      </w:pPr>
      <w:r>
        <w:rPr>
          <w:rFonts w:ascii="Arial" w:cs="Arial" w:eastAsia="Arial" w:hAnsi="Arial"/>
          <w:sz w:val="24"/>
          <w:szCs w:val="24"/>
        </w:rPr>
        <w:t xml:space="preserve">В случае, если недропользователь сдал отчет с нарушением установленных сроков, но при этом Комиссией по вопросам лицензирования недропользования не был рассмотрен вопрос о приостановлении лицензии, уполномоченный орган по реализации государственной политики по недропользованию обязан принять отчет к рассмотрению.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evbr_msjvkhpo1z1dq_q">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В случае если уполномоченный государственный орган по реализации государственной политики по недропользованию в течение двухмесячного срока после представления отчета не рассматривает отчеты лицензиатов за предыдущий год и план план геологических и горных работ на последующий год, то отчет считается утвержденным, а план считается согласованным.</w:t>
      </w:r>
    </w:p>
    <w:p>
      <w:pPr>
        <w:spacing w:after="60"/>
        <w:ind w:firstLine="567"/>
        <w:jc w:val="both"/>
      </w:pPr>
      <w:r>
        <w:rPr>
          <w:rFonts w:ascii="Arial" w:cs="Arial" w:eastAsia="Arial" w:hAnsi="Arial"/>
          <w:sz w:val="24"/>
          <w:szCs w:val="24"/>
        </w:rPr>
        <w:t xml:space="preserve">В случае, если отчеты и планы геологических и горных работ возвращаются на доработку, лицензиат обязан представить повторно доработанные отчет и план геологических и горных работ в течение 30 дней со дня получения официального уведомления. Непредставление доработанного отчета в указанный выше срок повлечет за собой ответственность согласно пункту 74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0u_18xdshqh7xfevtofi">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Информация о недрах, полученная по результатам геологоразведочных работ, финансированных из государственного бюджета, является собственностью Кыргызской Республики.</w:t>
      </w:r>
    </w:p>
    <w:p>
      <w:pPr>
        <w:spacing w:after="60"/>
        <w:ind w:firstLine="567"/>
        <w:jc w:val="both"/>
      </w:pPr>
      <w:r>
        <w:rPr>
          <w:rFonts w:ascii="Arial" w:cs="Arial" w:eastAsia="Arial" w:hAnsi="Arial"/>
          <w:sz w:val="24"/>
          <w:szCs w:val="24"/>
        </w:rPr>
        <w:t xml:space="preserve">72. Информация о недрах, полученная по результатам геологоразведочных работ, финансированных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соглашением, по истечении которого информация о недрах безвозмездно переходит в собственность государства.</w:t>
      </w:r>
    </w:p>
    <w:p>
      <w:pPr>
        <w:spacing w:after="60"/>
        <w:ind w:firstLine="567"/>
        <w:jc w:val="both"/>
      </w:pPr>
      <w:r>
        <w:rPr>
          <w:rFonts w:ascii="Arial" w:cs="Arial" w:eastAsia="Arial" w:hAnsi="Arial"/>
          <w:sz w:val="24"/>
          <w:szCs w:val="24"/>
        </w:rPr>
        <w:t xml:space="preserve">73. Информация о недрах, полученная по результатам геологоразведочных работ, независимо от источников финансирования, передается в государственный орган по недропользованию для включения в государственный фонд информации о недрах. Должностные лица, имеющие доступ к информации лицензиатов о недрах, обязаны обеспечивать ее конфиденциальность.</w:t>
      </w:r>
    </w:p>
    <w:p>
      <w:pPr>
        <w:spacing w:after="200" w:before="200"/>
        <w:jc w:val="center"/>
      </w:pPr>
      <w:r>
        <w:rPr>
          <w:rFonts w:ascii="Arial" w:cs="Arial" w:eastAsia="Arial" w:hAnsi="Arial"/>
          <w:b/>
          <w:bCs/>
          <w:sz w:val="24"/>
          <w:szCs w:val="24"/>
        </w:rPr>
        <w:t xml:space="preserve">VIII. Порядок приостановления и отзыва права пользования недрами</w:t>
      </w:r>
    </w:p>
    <w:p>
      <w:pPr>
        <w:spacing w:after="60"/>
        <w:ind w:firstLine="567"/>
        <w:jc w:val="both"/>
      </w:pPr>
      <w:r>
        <w:rPr>
          <w:rFonts w:ascii="Arial" w:cs="Arial" w:eastAsia="Arial" w:hAnsi="Arial"/>
          <w:sz w:val="24"/>
          <w:szCs w:val="24"/>
        </w:rPr>
        <w:t xml:space="preserve">74. Право пользования недрами может быть приостановлено соответствующими уполномоченными государственными органами на срок до 3 месяцев, с указанием причин приостановления и предписанием об устранении нарушений, в случаях:</w:t>
      </w:r>
    </w:p>
    <w:p>
      <w:pPr>
        <w:spacing w:after="60"/>
        <w:ind w:firstLine="567"/>
        <w:jc w:val="both"/>
      </w:pPr>
      <w:r>
        <w:rPr>
          <w:rFonts w:ascii="Arial" w:cs="Arial" w:eastAsia="Arial" w:hAnsi="Arial"/>
          <w:sz w:val="24"/>
          <w:szCs w:val="24"/>
        </w:rPr>
        <w:t xml:space="preserve">- нарушения требований охраны недр, экологической и промышленной безопасности, установленных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 непредставления отчета о выполненных работах в случаях, предусмотренных </w:t>
      </w:r>
      <w:hyperlink w:history="1" r:id="rId7fqhfv27tn4footng75e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 представления отчета о выполненных работах, содержащего недостоверные сведения;</w:t>
      </w:r>
    </w:p>
    <w:p>
      <w:pPr>
        <w:spacing w:after="60"/>
        <w:ind w:firstLine="567"/>
        <w:jc w:val="both"/>
      </w:pPr>
      <w:r>
        <w:rPr>
          <w:rFonts w:ascii="Arial" w:cs="Arial" w:eastAsia="Arial" w:hAnsi="Arial"/>
          <w:sz w:val="24"/>
          <w:szCs w:val="24"/>
        </w:rPr>
        <w:t xml:space="preserve">- невыполнения требований по аккумулированию средств для рекультивации земельного участка и/или лицензионного объекта;</w:t>
      </w:r>
    </w:p>
    <w:p>
      <w:pPr>
        <w:spacing w:after="60"/>
        <w:ind w:firstLine="567"/>
        <w:jc w:val="both"/>
      </w:pPr>
      <w:r>
        <w:rPr>
          <w:rFonts w:ascii="Arial" w:cs="Arial" w:eastAsia="Arial" w:hAnsi="Arial"/>
          <w:sz w:val="24"/>
          <w:szCs w:val="24"/>
        </w:rPr>
        <w:t xml:space="preserve">- применения технологий по освоению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60"/>
        <w:ind w:firstLine="567"/>
        <w:jc w:val="both"/>
      </w:pPr>
      <w:r>
        <w:rPr>
          <w:rFonts w:ascii="Arial" w:cs="Arial" w:eastAsia="Arial" w:hAnsi="Arial"/>
          <w:sz w:val="24"/>
          <w:szCs w:val="24"/>
        </w:rPr>
        <w:t xml:space="preserve">75.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7 рабочих дней со дня подачи такого заявления уполномоченный государственный орган по реализации государственной политики по недропользованию вправе отказать в приостановлении права недропользования, с указанием мотивов отказа.</w:t>
      </w:r>
    </w:p>
    <w:p>
      <w:pPr>
        <w:spacing w:after="60"/>
        <w:ind w:firstLine="567"/>
        <w:jc w:val="both"/>
      </w:pPr>
      <w:r>
        <w:rPr>
          <w:rFonts w:ascii="Arial" w:cs="Arial" w:eastAsia="Arial" w:hAnsi="Arial"/>
          <w:sz w:val="24"/>
          <w:szCs w:val="24"/>
        </w:rPr>
        <w:t xml:space="preserve">Если устранение причин, повлекших приостановление права пользования недрами, в течение 90 дней невозможно в целях поддержания горного имущества в сохранном, безаварийном и безопасном для людей и окружающей среды состоянии, уполномоченный государственный орган по реализации государственной политики по недропользованию по мотивированному заявлению недропользователя вправе продлить срок для устранения нарушений.</w:t>
      </w:r>
    </w:p>
    <w:p>
      <w:pPr>
        <w:spacing w:after="60"/>
        <w:ind w:firstLine="567"/>
        <w:jc w:val="both"/>
      </w:pPr>
      <w:r>
        <w:rPr>
          <w:rFonts w:ascii="Arial" w:cs="Arial" w:eastAsia="Arial" w:hAnsi="Arial"/>
          <w:sz w:val="24"/>
          <w:szCs w:val="24"/>
        </w:rPr>
        <w:t xml:space="preserve">76. Право пользования недрами может быть также приостановлено по определению суда, на срок, определенный процессуальным законодательством.</w:t>
      </w:r>
    </w:p>
    <w:p>
      <w:pPr>
        <w:spacing w:after="60"/>
        <w:ind w:firstLine="567"/>
        <w:jc w:val="both"/>
      </w:pPr>
      <w:r>
        <w:rPr>
          <w:rFonts w:ascii="Arial" w:cs="Arial" w:eastAsia="Arial" w:hAnsi="Arial"/>
          <w:sz w:val="24"/>
          <w:szCs w:val="24"/>
        </w:rPr>
        <w:t xml:space="preserve">77. Право пользования недрами прекращается уполномоченным государственным органом по реализации государственной политики по недропользованию в случаях:</w:t>
      </w:r>
    </w:p>
    <w:p>
      <w:pPr>
        <w:spacing w:after="60"/>
        <w:ind w:firstLine="567"/>
        <w:jc w:val="both"/>
      </w:pPr>
      <w:r>
        <w:rPr>
          <w:rFonts w:ascii="Arial" w:cs="Arial" w:eastAsia="Arial" w:hAnsi="Arial"/>
          <w:sz w:val="24"/>
          <w:szCs w:val="24"/>
        </w:rPr>
        <w:t xml:space="preserve">- передачи более 10% уставного капитала общества, владеющего лицензией, третьему лицу, без регистрации соответствующего изменения в уполномоченном государственном органе по реализации государственной политики по недропользованию (за исключением публичных компаний);</w:t>
      </w:r>
    </w:p>
    <w:p>
      <w:pPr>
        <w:spacing w:after="60"/>
        <w:ind w:firstLine="567"/>
        <w:jc w:val="both"/>
      </w:pPr>
      <w:r>
        <w:rPr>
          <w:rFonts w:ascii="Arial" w:cs="Arial" w:eastAsia="Arial" w:hAnsi="Arial"/>
          <w:sz w:val="24"/>
          <w:szCs w:val="24"/>
        </w:rPr>
        <w:t xml:space="preserve">- передачи лицензии в залог, без регистрации в уполномоченном государственном органе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 нарушения более чем на 30 дней сроков уплаты бонуса и (или) лицензионных платежей и (или) роялти;</w:t>
      </w:r>
    </w:p>
    <w:p>
      <w:pPr>
        <w:spacing w:after="60"/>
        <w:ind w:firstLine="567"/>
        <w:jc w:val="both"/>
      </w:pPr>
      <w:r>
        <w:rPr>
          <w:rFonts w:ascii="Arial" w:cs="Arial" w:eastAsia="Arial" w:hAnsi="Arial"/>
          <w:sz w:val="24"/>
          <w:szCs w:val="24"/>
        </w:rPr>
        <w:t xml:space="preserve">- отказа от права пользования недрами недропользователем;</w:t>
      </w:r>
    </w:p>
    <w:p>
      <w:pPr>
        <w:spacing w:after="60"/>
        <w:ind w:firstLine="567"/>
        <w:jc w:val="both"/>
      </w:pPr>
      <w:r>
        <w:rPr>
          <w:rFonts w:ascii="Arial" w:cs="Arial" w:eastAsia="Arial" w:hAnsi="Arial"/>
          <w:sz w:val="24"/>
          <w:szCs w:val="24"/>
        </w:rPr>
        <w:t xml:space="preserve">- истечения срока действия лицензии на право пользования недрами, если лицензиатом не подано заявление о продлении или трансформации лицензии в установленный срок;</w:t>
      </w:r>
    </w:p>
    <w:p>
      <w:pPr>
        <w:spacing w:after="60"/>
        <w:ind w:firstLine="567"/>
        <w:jc w:val="both"/>
      </w:pPr>
      <w:r>
        <w:rPr>
          <w:rFonts w:ascii="Arial" w:cs="Arial" w:eastAsia="Arial" w:hAnsi="Arial"/>
          <w:sz w:val="24"/>
          <w:szCs w:val="24"/>
        </w:rPr>
        <w:t xml:space="preserve">- проведения работ без технического проекта, получившего все необходимые положительные экспертизы;</w:t>
      </w:r>
    </w:p>
    <w:p>
      <w:pPr>
        <w:spacing w:after="60"/>
        <w:ind w:firstLine="567"/>
        <w:jc w:val="both"/>
      </w:pPr>
      <w:r>
        <w:rPr>
          <w:rFonts w:ascii="Arial" w:cs="Arial" w:eastAsia="Arial" w:hAnsi="Arial"/>
          <w:sz w:val="24"/>
          <w:szCs w:val="24"/>
        </w:rPr>
        <w:t xml:space="preserve">- в случае неустранения причин, повлекших приостановку права пользования недрами в соответствии с п.74 настоящего Положения.</w:t>
      </w:r>
    </w:p>
    <w:p>
      <w:pPr>
        <w:spacing w:after="60"/>
        <w:ind w:firstLine="567"/>
        <w:jc w:val="both"/>
      </w:pPr>
      <w:r>
        <w:rPr>
          <w:rFonts w:ascii="Arial" w:cs="Arial" w:eastAsia="Arial" w:hAnsi="Arial"/>
          <w:sz w:val="24"/>
          <w:szCs w:val="24"/>
        </w:rPr>
        <w:t xml:space="preserve">78. Решение о приостановлении или прекращении права пользования недрами, с указанием оснований принятия такого решения, принимается Комиссией по вопросам лицензирования недропользования и направляется недропользователю в течение 7 рабочих дней. Решение о приостановлении или прекращении права пользования недрами вступает в силу со дня его принятия.</w:t>
      </w:r>
    </w:p>
    <w:p>
      <w:pPr>
        <w:spacing w:after="60"/>
        <w:ind w:firstLine="567"/>
        <w:jc w:val="both"/>
      </w:pPr>
      <w:r>
        <w:rPr>
          <w:rFonts w:ascii="Arial" w:cs="Arial" w:eastAsia="Arial" w:hAnsi="Arial"/>
          <w:sz w:val="24"/>
          <w:szCs w:val="24"/>
        </w:rPr>
        <w:t xml:space="preserve">Прекращение права пользования недрами не производится, если основания для этого возникли не по вине лицензиата, а по причине обстоятельств непреодолимой силы, воспрепятствовавших выполнению лицензиатом требований законодательства.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htls_8sjhrwcjfmgyaka">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Прекращение действия лицензии на право пользования недрами не прекращает обязанности недропользователя по:</w:t>
      </w:r>
    </w:p>
    <w:p>
      <w:pPr>
        <w:spacing w:after="60"/>
        <w:ind w:firstLine="567"/>
        <w:jc w:val="both"/>
      </w:pPr>
      <w:r>
        <w:rPr>
          <w:rFonts w:ascii="Arial" w:cs="Arial" w:eastAsia="Arial" w:hAnsi="Arial"/>
          <w:sz w:val="24"/>
          <w:szCs w:val="24"/>
        </w:rPr>
        <w:t xml:space="preserve">- рекультивации земельного участка и ликвидации горного имущества;</w:t>
      </w:r>
    </w:p>
    <w:p>
      <w:pPr>
        <w:spacing w:after="60"/>
        <w:ind w:firstLine="567"/>
        <w:jc w:val="both"/>
      </w:pPr>
      <w:r>
        <w:rPr>
          <w:rFonts w:ascii="Arial" w:cs="Arial" w:eastAsia="Arial" w:hAnsi="Arial"/>
          <w:sz w:val="24"/>
          <w:szCs w:val="24"/>
        </w:rPr>
        <w:t xml:space="preserve">-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права пользования недрами;</w:t>
      </w:r>
    </w:p>
    <w:p>
      <w:pPr>
        <w:spacing w:after="60"/>
        <w:ind w:firstLine="567"/>
        <w:jc w:val="both"/>
      </w:pPr>
      <w:r>
        <w:rPr>
          <w:rFonts w:ascii="Arial" w:cs="Arial" w:eastAsia="Arial" w:hAnsi="Arial"/>
          <w:sz w:val="24"/>
          <w:szCs w:val="24"/>
        </w:rPr>
        <w:t xml:space="preserve">- передаче геологической информации и первичной документации в Государственный геологический информационный фонд.</w:t>
      </w:r>
    </w:p>
    <w:p>
      <w:pPr>
        <w:spacing w:after="200" w:before="200"/>
        <w:jc w:val="center"/>
      </w:pPr>
      <w:r>
        <w:rPr>
          <w:rFonts w:ascii="Arial" w:cs="Arial" w:eastAsia="Arial" w:hAnsi="Arial"/>
          <w:b/>
          <w:bCs/>
          <w:sz w:val="24"/>
          <w:szCs w:val="24"/>
        </w:rPr>
        <w:t xml:space="preserve">IX. Рекультивация земельного участка и ликвидация горного имущества</w:t>
      </w:r>
    </w:p>
    <w:p>
      <w:pPr>
        <w:spacing w:after="60"/>
        <w:ind w:firstLine="567"/>
        <w:jc w:val="both"/>
      </w:pPr>
      <w:r>
        <w:rPr>
          <w:rFonts w:ascii="Arial" w:cs="Arial" w:eastAsia="Arial" w:hAnsi="Arial"/>
          <w:sz w:val="24"/>
          <w:szCs w:val="24"/>
        </w:rPr>
        <w:t xml:space="preserve">80. Рекультивация земельного участка и лицензионного объекта проводится в соответствии с техническим проектом рекультивации и осуществляется за счет средств фонда рекультивации, ежемесячно отчисляемых и аккумулируемых лицензиатом с начала разработки месторождения полезных ископаемых или строительства подземных сооружений, не связанных с разработкой месторождений полезных ископаемых.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01v-k_edupxyyvozumtj">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 при этом расход средств на осуществление рекультивации производится с письменного согласия уполномоченного государственного органа по реализации государственной политики по недропользованию. Данные условия расхода денежных средств рекультивационного счета должны быть отражены в договоре о банковском счете между банком и недропользователем.</w:t>
      </w:r>
    </w:p>
    <w:p>
      <w:pPr>
        <w:spacing w:after="60"/>
        <w:ind w:firstLine="567"/>
        <w:jc w:val="both"/>
      </w:pPr>
      <w:r>
        <w:rPr>
          <w:rFonts w:ascii="Arial" w:cs="Arial" w:eastAsia="Arial" w:hAnsi="Arial"/>
          <w:sz w:val="24"/>
          <w:szCs w:val="24"/>
        </w:rPr>
        <w:t xml:space="preserve">82. Лицензиат обязан открыть целевой рекультивационный счет в течение 30 рабочих дней после начала работ по освоению месторождения. Об открытии целевого рекультивационного счета и о величине отчислений финансовых средств на целевой счет недропользователь обязан ежеквартально уведомлять уполномоченный государственный орган по реализации государственной политики по недропользованию, с представлением копий банковских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t9mjrdf3l4sezwrsv41u">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В случае банкротства, ликвидации предприятия или смерти недропользователя средства фонда рекультивации, по поручению уполномоченного государственного органа по реализации государственной политики по недропользованию, перечисляются на расчетный счет владельца земельного участка для проведения рекультивационных работ. Использование средств фонда рекультивации на иные цели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ncyptf1rwqicexrceoyj">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Рекультивация нарушенных земель при геологическом изучении недр проводится в соответствии с техническим проектом.</w:t>
      </w:r>
    </w:p>
    <w:p>
      <w:pPr>
        <w:spacing w:after="200" w:before="200"/>
        <w:jc w:val="center"/>
      </w:pPr>
      <w:r>
        <w:rPr>
          <w:rFonts w:ascii="Arial" w:cs="Arial" w:eastAsia="Arial" w:hAnsi="Arial"/>
          <w:b/>
          <w:bCs/>
          <w:sz w:val="24"/>
          <w:szCs w:val="24"/>
        </w:rPr>
        <w:t xml:space="preserve">X. Прочие положения</w:t>
      </w:r>
    </w:p>
    <w:p>
      <w:pPr>
        <w:spacing w:after="60"/>
        <w:ind w:firstLine="567"/>
        <w:jc w:val="both"/>
      </w:pPr>
      <w:r>
        <w:rPr>
          <w:rFonts w:ascii="Arial" w:cs="Arial" w:eastAsia="Arial" w:hAnsi="Arial"/>
          <w:sz w:val="24"/>
          <w:szCs w:val="24"/>
        </w:rPr>
        <w:t xml:space="preserve">85.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60"/>
        <w:ind w:firstLine="567"/>
        <w:jc w:val="both"/>
      </w:pPr>
      <w:r>
        <w:rPr>
          <w:rFonts w:ascii="Arial" w:cs="Arial" w:eastAsia="Arial" w:hAnsi="Arial"/>
          <w:sz w:val="24"/>
          <w:szCs w:val="24"/>
        </w:rPr>
        <w:t xml:space="preserve">86. На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60"/>
        <w:ind w:firstLine="567"/>
        <w:jc w:val="both"/>
      </w:pPr>
      <w:r>
        <w:rPr>
          <w:rFonts w:ascii="Arial" w:cs="Arial" w:eastAsia="Arial" w:hAnsi="Arial"/>
          <w:sz w:val="24"/>
          <w:szCs w:val="24"/>
        </w:rPr>
        <w:t xml:space="preserve">87.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по которому подано заявление.</w:t>
      </w:r>
    </w:p>
    <w:p>
      <w:pPr>
        <w:spacing w:after="60"/>
        <w:ind w:firstLine="567"/>
        <w:jc w:val="both"/>
      </w:pPr>
      <w:r>
        <w:rPr>
          <w:rFonts w:ascii="Arial" w:cs="Arial" w:eastAsia="Arial" w:hAnsi="Arial"/>
          <w:sz w:val="24"/>
          <w:szCs w:val="24"/>
        </w:rPr>
        <w:t xml:space="preserve">88. Уполномоченный государственный орган по реализации государственной политики по недропользованию выдает разрешения на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w:t>
      </w:r>
    </w:p>
    <w:p>
      <w:pPr>
        <w:spacing w:after="60"/>
        <w:ind w:firstLine="567"/>
        <w:jc w:val="both"/>
      </w:pPr>
      <w:r>
        <w:rPr>
          <w:rFonts w:ascii="Arial" w:cs="Arial" w:eastAsia="Arial" w:hAnsi="Arial"/>
          <w:sz w:val="24"/>
          <w:szCs w:val="24"/>
        </w:rPr>
        <w:t xml:space="preserve">89. Лицензиат имеет право заложить право пользования недрами по лицензии третьему лицу по договору залога.</w:t>
      </w:r>
    </w:p>
    <w:p>
      <w:pPr>
        <w:spacing w:after="60"/>
        <w:ind w:firstLine="567"/>
        <w:jc w:val="both"/>
      </w:pPr>
      <w:r>
        <w:rPr>
          <w:rFonts w:ascii="Arial" w:cs="Arial" w:eastAsia="Arial" w:hAnsi="Arial"/>
          <w:sz w:val="24"/>
          <w:szCs w:val="24"/>
        </w:rPr>
        <w:t xml:space="preserve">90. Для регистрации залога права пользования недрами недропользователь должен в течение 30 календарных дней с момента заключения договора залога представить в уполномоченный государственный орган по реализации государственной политики по недропользованию - уведомление о заключении договора залога, с обязательным указанием наименования залогодержателя, его местонахождения, а также представить копию договора залога.</w:t>
      </w:r>
    </w:p>
    <w:p>
      <w:pPr>
        <w:spacing w:after="60"/>
        <w:ind w:firstLine="567"/>
        <w:jc w:val="both"/>
      </w:pPr>
      <w:r>
        <w:rPr>
          <w:rFonts w:ascii="Arial" w:cs="Arial" w:eastAsia="Arial" w:hAnsi="Arial"/>
          <w:sz w:val="24"/>
          <w:szCs w:val="24"/>
        </w:rPr>
        <w:t xml:space="preserve">91. Уполномоченный государственный орган по реализации государственной политики по недропользованию обязан до 30 календарных дней рассмотреть поступившее уведомление и произвести регистрацию залога права пользования недрами, путем внесения в лицензионное соглашение соответствующей записи, с проставлением печати "зарегистрировано".</w:t>
      </w:r>
    </w:p>
    <w:p>
      <w:pPr>
        <w:spacing w:after="60"/>
        <w:ind w:firstLine="567"/>
        <w:jc w:val="both"/>
      </w:pPr>
      <w:r>
        <w:rPr>
          <w:rFonts w:ascii="Arial" w:cs="Arial" w:eastAsia="Arial" w:hAnsi="Arial"/>
          <w:sz w:val="24"/>
          <w:szCs w:val="24"/>
        </w:rPr>
        <w:t xml:space="preserve">92. В случае обращения взыскания на предмет залога - право пользования недрами, в уполномоченный государственный орган по реализации государственной политики по недропользованию представляются судебное решение и акт продажи права с торгов судебным исполнителем либо мировое соглашение о передаче прав, утвержденное определением суда (если обращение взыскания производилось в судебном порядке), либо соглашение об удовлетворении требований залогодержателя во внесудебном порядке и документы, свидетельствующие о передаче права новому недропользователю, либо соглашение об отступном (если обращение взыскания на предмет залога производилось во внесудебном порядке).</w:t>
      </w:r>
    </w:p>
    <w:p>
      <w:pPr>
        <w:spacing w:after="60"/>
        <w:ind w:firstLine="567"/>
        <w:jc w:val="both"/>
      </w:pPr>
      <w:r>
        <w:rPr>
          <w:rFonts w:ascii="Arial" w:cs="Arial" w:eastAsia="Arial" w:hAnsi="Arial"/>
          <w:sz w:val="24"/>
          <w:szCs w:val="24"/>
        </w:rPr>
        <w:t xml:space="preserve">93. Указанные в пункте 92 документы должны быть представлены в течение 10 календарных дней лицом, которое приобрело право пользования недрами в результате обращения взыскания на предмет залога.</w:t>
      </w:r>
    </w:p>
    <w:p>
      <w:pPr>
        <w:spacing w:after="60"/>
        <w:ind w:firstLine="567"/>
        <w:jc w:val="both"/>
      </w:pPr>
      <w:r>
        <w:rPr>
          <w:rFonts w:ascii="Arial" w:cs="Arial" w:eastAsia="Arial" w:hAnsi="Arial"/>
          <w:sz w:val="24"/>
          <w:szCs w:val="24"/>
        </w:rPr>
        <w:t xml:space="preserve">Кроме этого представляются:</w:t>
      </w:r>
    </w:p>
    <w:p>
      <w:pPr>
        <w:spacing w:after="60"/>
        <w:ind w:firstLine="567"/>
        <w:jc w:val="both"/>
      </w:pPr>
      <w:r>
        <w:rPr>
          <w:rFonts w:ascii="Arial" w:cs="Arial" w:eastAsia="Arial" w:hAnsi="Arial"/>
          <w:sz w:val="24"/>
          <w:szCs w:val="24"/>
        </w:rPr>
        <w:t xml:space="preserve">-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заверенных своей печатью, - для юридических лиц, зарегистрированных, перерегистрированных позже указанного срока;</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юридического и (или) индивидуального предпринимателя;</w:t>
      </w:r>
    </w:p>
    <w:p>
      <w:pPr>
        <w:spacing w:after="60"/>
        <w:ind w:firstLine="567"/>
        <w:jc w:val="both"/>
      </w:pPr>
      <w:r>
        <w:rPr>
          <w:rFonts w:ascii="Arial" w:cs="Arial" w:eastAsia="Arial" w:hAnsi="Arial"/>
          <w:sz w:val="24"/>
          <w:szCs w:val="24"/>
        </w:rPr>
        <w:t xml:space="preserve">- копия паспорта, с указанием адреса прописки - для физического лица.</w:t>
      </w:r>
    </w:p>
    <w:p>
      <w:pPr>
        <w:spacing w:after="60"/>
        <w:ind w:firstLine="567"/>
        <w:jc w:val="both"/>
      </w:pPr>
      <w:r>
        <w:rPr>
          <w:rFonts w:ascii="Arial" w:cs="Arial" w:eastAsia="Arial" w:hAnsi="Arial"/>
          <w:sz w:val="24"/>
          <w:szCs w:val="24"/>
        </w:rPr>
        <w:t xml:space="preserve">94. Уполномоченный государственный орган по реализации государственной политики по недропользованию, в течение до 30 календарных дней с момента поступления всех документов обязан принять решение о передаче лицензии другому лицу, которому выдается другая лицензия.</w:t>
      </w:r>
    </w:p>
    <w:p>
      <w:pPr>
        <w:spacing w:after="60"/>
        <w:ind w:firstLine="567"/>
        <w:jc w:val="both"/>
      </w:pPr>
      <w:r>
        <w:rPr>
          <w:rFonts w:ascii="Arial" w:cs="Arial" w:eastAsia="Arial" w:hAnsi="Arial"/>
          <w:sz w:val="24"/>
          <w:szCs w:val="24"/>
        </w:rPr>
        <w:t xml:space="preserve">95. Лицо, к которому перешло право пользования недрами в результате обращения взыскания на предмет залога, обязано уплатить сумму бонуса, а также оплачивать платежи за пользование недрами с даты получения лицензии.</w:t>
      </w:r>
    </w:p>
    <w:p>
      <w:pPr>
        <w:spacing w:after="60"/>
        <w:ind w:firstLine="567"/>
        <w:jc w:val="both"/>
      </w:pPr>
      <w:r>
        <w:rPr>
          <w:rFonts w:ascii="Arial" w:cs="Arial" w:eastAsia="Arial" w:hAnsi="Arial"/>
          <w:sz w:val="24"/>
          <w:szCs w:val="24"/>
        </w:rPr>
        <w:t xml:space="preserve">96. До даты получения лицензии новым лицензиатом все права и обязанности, в том числе по уплате лицензионных платежей, относятся на счет прежнего лицензиата.</w:t>
      </w:r>
    </w:p>
    <w:p>
      <w:pPr>
        <w:spacing w:after="60"/>
        <w:ind w:firstLine="567"/>
        <w:jc w:val="both"/>
      </w:pPr>
      <w:r>
        <w:rPr>
          <w:rFonts w:ascii="Arial" w:cs="Arial" w:eastAsia="Arial" w:hAnsi="Arial"/>
          <w:sz w:val="24"/>
          <w:szCs w:val="24"/>
        </w:rPr>
        <w:t xml:space="preserve">97. Лицу, к которому перешло право пользования недрами в результате обращения взыскания на предмет залога, переходят все условия лицензирования, которые существовали до момента перехода.</w:t>
      </w:r>
    </w:p>
    <w:p>
      <w:pPr>
        <w:spacing w:after="60"/>
        <w:ind w:firstLine="567"/>
        <w:jc w:val="both"/>
      </w:pPr>
      <w:r>
        <w:rPr>
          <w:rFonts w:ascii="Arial" w:cs="Arial" w:eastAsia="Arial" w:hAnsi="Arial"/>
          <w:sz w:val="24"/>
          <w:szCs w:val="24"/>
        </w:rPr>
        <w:t xml:space="preserve">98. В случае прекращения договора залога без обращения взыскания на предмет залога, уполномоченный государственный орган по реализации государственной политики по недропользованию в течение до 30 календарных дней со дня получения уведомления о прекращении договора о залоге от залогодержателя вносит соответствующую запись в лицензионное соглашение о прекращении залога права пользования недрами.</w:t>
      </w:r>
    </w:p>
    <w:p>
      <w:pPr>
        <w:spacing w:after="60"/>
        <w:ind w:firstLine="567"/>
        <w:jc w:val="both"/>
      </w:pPr>
      <w:r>
        <w:rPr>
          <w:rFonts w:ascii="Arial" w:cs="Arial" w:eastAsia="Arial" w:hAnsi="Arial"/>
          <w:sz w:val="24"/>
          <w:szCs w:val="24"/>
        </w:rPr>
        <w:t xml:space="preserve">99. В случае реорганизации юридического лица его правопреемнику (правопреемникам) переходят соответствующие права пользования недрами и обязательства в порядке универсального правопреемства в соответствии с нормами Гражданского </w:t>
      </w:r>
      <w:hyperlink w:history="1" r:id="rIdvlz92fpqxkevdmdz8lk_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Неделимый лицензионный участок не подлежит разделу в случае разделения юридического лица или образования другого юридического лица путем выделения.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f9eumg-p_lvidm9mmwki">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Изменение доли собственности при смене учредителей в размере десяти и более процентов приравнивается к получению лицензии и является основанием для уплаты бонуса в соответствии с налоговым законодательством Кыргызской Республики, за исключением компаний, прошедших листинг на фондовых биржах. Оплата бонуса производится пропорционально изменению доли собственности.</w:t>
      </w:r>
    </w:p>
    <w:p>
      <w:pPr>
        <w:spacing w:after="60"/>
        <w:ind w:firstLine="567"/>
        <w:jc w:val="both"/>
      </w:pPr>
      <w:r>
        <w:rPr>
          <w:rFonts w:ascii="Arial" w:cs="Arial" w:eastAsia="Arial" w:hAnsi="Arial"/>
          <w:sz w:val="24"/>
          <w:szCs w:val="24"/>
        </w:rPr>
        <w:t xml:space="preserve">101. Об изменении участников (акционеров) с долей собственности 10% и более недропользователь должен в течение 30 календарных дней с момента прохождения перерегистрации в органах юстиции, либо перевода права собственности в акции, подать в уполномоченный государственный орган по реализации государственной политики по недропользованию уведомление о смене участников, с приложением документов, подтверждающих смену участников (акционеров), а также оригиналы лицензии и лицензионного соглашения.</w:t>
      </w:r>
    </w:p>
    <w:p>
      <w:pPr>
        <w:spacing w:after="60"/>
        <w:ind w:firstLine="567"/>
        <w:jc w:val="both"/>
      </w:pPr>
      <w:r>
        <w:rPr>
          <w:rFonts w:ascii="Arial" w:cs="Arial" w:eastAsia="Arial" w:hAnsi="Arial"/>
          <w:sz w:val="24"/>
          <w:szCs w:val="24"/>
        </w:rPr>
        <w:t xml:space="preserve">102. Уполномоченный государственный орган по реализации государственной политики по недропользованию обязан до 30 календарных дней рассмотреть поступившее уведомление и произвести регистрацию перехода права долей, путем внесения в лицензионное соглашение изменений, касающихся участников (акционеров) недропользователя.</w:t>
      </w:r>
    </w:p>
    <w:p>
      <w:pPr>
        <w:spacing w:after="60"/>
        <w:ind w:firstLine="567"/>
        <w:jc w:val="both"/>
      </w:pPr>
      <w:r>
        <w:rPr>
          <w:rFonts w:ascii="Arial" w:cs="Arial" w:eastAsia="Arial" w:hAnsi="Arial"/>
          <w:sz w:val="24"/>
          <w:szCs w:val="24"/>
        </w:rPr>
        <w:t xml:space="preserve">103. Экземпляры лицензий и лицензионных соглашений, в том числе аннулированных лицензий, хранятся в архиве уполномоченного государственного органа по реализации государственной политики по недропользованию до минования надобности. В случае утери или невозможности использования оригинала лицензии и (или) лицензионного соглашения лицензиат подает заявку в уполномоченный государственный орган по реализации государственной политики по недропользованию на выдачу дубликата. В дубликаты лицензии и (или) лицензионного соглашения вписывается слово "Дубликат". За выдачу дубликата взимается плата в размере, предусмотренном за выдачу лицензии.</w:t>
      </w:r>
    </w:p>
    <w:p>
      <w:pPr>
        <w:spacing w:after="60"/>
        <w:ind w:firstLine="567"/>
        <w:jc w:val="both"/>
      </w:pPr>
      <w:r>
        <w:rPr>
          <w:rFonts w:ascii="Arial" w:cs="Arial" w:eastAsia="Arial" w:hAnsi="Arial"/>
          <w:sz w:val="24"/>
          <w:szCs w:val="24"/>
        </w:rPr>
        <w:t xml:space="preserve">104. Лицензия с просроченным сроком действия является недействительной, а проведение работ на лицензионном объекте в этом случае считается самовольным пользованием недрами и влечет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105. Недропользователи, которые ранее получили лицензии на право пользования недрами по месторождениям общегосударственного значения, кроме нерудных месторождений полезных ископаемых и воды, обязаны представить в уполномоченный государственный орган по реализации государственной политики по недропользованию социальный пакет - программу инвестиций по созданию условий для развития местного сообщества (подготовка кадров, трудоустройство местного населения и строительство инфраструктуры), утвержденную представительным органом местного самоуправления, с учетом решения острых проблем местного сообщества, на территории которого находится объект.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tzaj3chwtrwobnzkwwyl">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При изменении реквизитов, правового статуса лицензиата, лицензионной площади или горного отвода, состава учредителей, руководителя предприятия, а также при установлении существенного отклонения действительных природных условий лицензионного объекта от исходной геологической информации, по заявке лицензиата, с приложением соответствующих подтверждающих документов, лицензия и (или) лицензионное соглашение переоформляются. За переоформление взимается плата в размере платы за выдачу лицензии.</w:t>
      </w:r>
    </w:p>
    <w:p>
      <w:pPr>
        <w:spacing w:after="60"/>
        <w:ind w:firstLine="567"/>
        <w:jc w:val="both"/>
      </w:pPr>
      <w:r>
        <w:rPr>
          <w:rFonts w:ascii="Arial" w:cs="Arial" w:eastAsia="Arial" w:hAnsi="Arial"/>
          <w:sz w:val="24"/>
          <w:szCs w:val="24"/>
        </w:rPr>
        <w:t xml:space="preserve">107. Заявки о предоставлении лицензий на право пользования недрами путем прямых переговоров, поступившие в уполномоченный государственный орган по реализации государственной политики по недропользованию до вступления в силу настоящего Положения, должны быть приведены в соответствие с требованиями настоящего Положения в течение месячного срока с момента получения лицензиатом уведомления о необходимости обновления заявки.</w:t>
      </w:r>
    </w:p>
    <w:p>
      <w:pPr>
        <w:spacing w:after="60"/>
        <w:ind w:firstLine="567"/>
        <w:jc w:val="both"/>
      </w:pPr>
      <w:r>
        <w:rPr>
          <w:rFonts w:ascii="Arial" w:cs="Arial" w:eastAsia="Arial" w:hAnsi="Arial"/>
          <w:sz w:val="24"/>
          <w:szCs w:val="24"/>
        </w:rPr>
        <w:t xml:space="preserve">При обновлении (представлении дополнительных документов в соответствии с требованиями настоящего Положения) лицензиатом заявки в месячный срок, за данной заявкой сохраняется дата первоначальной ее подачи. В случае необновления лицензиатом заявки в месячный срок, принимается решение об отказе в ее удовлетворении. Не обновленные в указанный срок заявки не принимаются во внимание в случаях, предусмотренных абзацем первым пункта 39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tr8tav5twij14gwpiugj">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hoqq_-5qow-um0exura">
      <w:r>
        <w:rPr>
          <w:rFonts w:ascii="Arial" w:cs="Arial" w:eastAsia="Arial" w:hAnsi="Arial"/>
          <w:color w:val="132D3F"/>
          <w:sz w:val="16"/>
          <w:szCs w:val="16"/>
          <w:u w:val="single"/>
        </w:rPr>
        <w:t xml:space="preserve">dalil.kg/document/94191</w:t>
      </w:r>
    </w:hyperlink>
  </w:p>
  <w:p>
    <w:pPr>
      <w:spacing w:after="0" w:before="40"/>
      <w:jc w:val="center"/>
    </w:pPr>
    <w:hyperlink w:history="1" r:id="rIdg0rz1lqgmb3-gw4aoym9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hny3aktru5oof1sfh90g" Type="http://schemas.openxmlformats.org/officeDocument/2006/relationships/hyperlink" Target="https://dalil.kg/document/12764" TargetMode="External"/><Relationship Id="rId6e1fwgdlizhtu2abak0ns" Type="http://schemas.openxmlformats.org/officeDocument/2006/relationships/hyperlink" Target="https://dalil.kg/document/93222" TargetMode="External"/><Relationship Id="rIdyjkkdhomat79xy8yq7sju" Type="http://schemas.openxmlformats.org/officeDocument/2006/relationships/hyperlink" Target="https://dalil.kg/document/94110" TargetMode="External"/><Relationship Id="rIdw37zxun1fq42sd7jqdnon" Type="http://schemas.openxmlformats.org/officeDocument/2006/relationships/hyperlink" Target="https://dalil.kg/document/94491" TargetMode="External"/><Relationship Id="rIdnr1hgq6mbzlvhu0ukk11t" Type="http://schemas.openxmlformats.org/officeDocument/2006/relationships/hyperlink" Target="https://dalil.kg/document/99442" TargetMode="External"/><Relationship Id="rIdpzsqtolbqu_nk7v0qq45e" Type="http://schemas.openxmlformats.org/officeDocument/2006/relationships/hyperlink" Target="https://dalil.kg/document/203760" TargetMode="External"/><Relationship Id="rIda8q9t4wx_njd3anbhnegs" Type="http://schemas.openxmlformats.org/officeDocument/2006/relationships/hyperlink" Target="https://dalil.kg/document/94491" TargetMode="External"/><Relationship Id="rId72fa4zhfwcmz3xxyzzghk" Type="http://schemas.openxmlformats.org/officeDocument/2006/relationships/hyperlink" Target="https://dalil.kg/document/99442" TargetMode="External"/><Relationship Id="rIdm4dakxiagzdpaodfkzlpx" Type="http://schemas.openxmlformats.org/officeDocument/2006/relationships/hyperlink" Target="https://dalil.kg/document/99442" TargetMode="External"/><Relationship Id="rId8s95ectswxgs4ybzyplfw" Type="http://schemas.openxmlformats.org/officeDocument/2006/relationships/hyperlink" Target="https://dalil.kg/document/94491" TargetMode="External"/><Relationship Id="rId4fs9nfo91zpxcribz9zf-" Type="http://schemas.openxmlformats.org/officeDocument/2006/relationships/hyperlink" Target="https://dalil.kg/document/99442" TargetMode="External"/><Relationship Id="rId0gvwynnevebobhova5icf" Type="http://schemas.openxmlformats.org/officeDocument/2006/relationships/hyperlink" Target="https://dalil.kg/document/99442" TargetMode="External"/><Relationship Id="rId76vy-2n4i4m9lb3wtv-e_" Type="http://schemas.openxmlformats.org/officeDocument/2006/relationships/hyperlink" Target="https://dalil.kg/document/99442" TargetMode="External"/><Relationship Id="rIdb4djprepam-a-3lwitg3s" Type="http://schemas.openxmlformats.org/officeDocument/2006/relationships/hyperlink" Target="https://dalil.kg/document/99442" TargetMode="External"/><Relationship Id="rIdaaz71hvefjrradetxwzcf" Type="http://schemas.openxmlformats.org/officeDocument/2006/relationships/hyperlink" Target="https://dalil.kg/document/94491" TargetMode="External"/><Relationship Id="rIdjbytygv_hsywgzuyhvkgg" Type="http://schemas.openxmlformats.org/officeDocument/2006/relationships/hyperlink" Target="https://dalil.kg/document/99442" TargetMode="External"/><Relationship Id="rIdz9oaylstpcbnhf9jkl_kv" Type="http://schemas.openxmlformats.org/officeDocument/2006/relationships/hyperlink" Target="https://dalil.kg/document/99442" TargetMode="External"/><Relationship Id="rIdgbr7jxomboh2fwi6jc6t0" Type="http://schemas.openxmlformats.org/officeDocument/2006/relationships/hyperlink" Target="https://dalil.kg/document/94110" TargetMode="External"/><Relationship Id="rIdb4_aqk2dpmwxt4htmkarh" Type="http://schemas.openxmlformats.org/officeDocument/2006/relationships/hyperlink" Target="https://dalil.kg/document/99442" TargetMode="External"/><Relationship Id="rIdre6uk1hwrxyewholbkyds" Type="http://schemas.openxmlformats.org/officeDocument/2006/relationships/hyperlink" Target="https://dalil.kg/document/94110" TargetMode="External"/><Relationship Id="rId-75suchd_uiihhnl_sydq" Type="http://schemas.openxmlformats.org/officeDocument/2006/relationships/hyperlink" Target="https://dalil.kg/document/94110" TargetMode="External"/><Relationship Id="rIdlw5dwa6zawabgjjduanki" Type="http://schemas.openxmlformats.org/officeDocument/2006/relationships/hyperlink" Target="https://dalil.kg/document/99442" TargetMode="External"/><Relationship Id="rIdgbksep4oqtgj_qaajg9uh" Type="http://schemas.openxmlformats.org/officeDocument/2006/relationships/hyperlink" Target="https://dalil.kg/document/99442" TargetMode="External"/><Relationship Id="rIdql_totqg1uxp0oys9hrfz" Type="http://schemas.openxmlformats.org/officeDocument/2006/relationships/hyperlink" Target="https://dalil.kg/document/99442" TargetMode="External"/><Relationship Id="rIdksncu4mlxia6nuro9eajj" Type="http://schemas.openxmlformats.org/officeDocument/2006/relationships/hyperlink" Target="https://dalil.kg/document/99442" TargetMode="External"/><Relationship Id="rIdevmluniirv1zya0m1ea0d" Type="http://schemas.openxmlformats.org/officeDocument/2006/relationships/hyperlink" Target="https://dalil.kg/document/99442" TargetMode="External"/><Relationship Id="rId4-kiiglcynboanidlkp0b" Type="http://schemas.openxmlformats.org/officeDocument/2006/relationships/hyperlink" Target="https://dalil.kg/document/99442" TargetMode="External"/><Relationship Id="rId1ejqxvogvv-wgivg2somc" Type="http://schemas.openxmlformats.org/officeDocument/2006/relationships/hyperlink" Target="https://dalil.kg/document/99442" TargetMode="External"/><Relationship Id="rIdlyvx278y7uzi7lsmorg6y" Type="http://schemas.openxmlformats.org/officeDocument/2006/relationships/hyperlink" Target="https://dalil.kg/document/99342" TargetMode="External"/><Relationship Id="rIdwifdc30fueajwnpotp436" Type="http://schemas.openxmlformats.org/officeDocument/2006/relationships/hyperlink" Target="https://dalil.kg/document/99442" TargetMode="External"/><Relationship Id="rIdzevbr_msjvkhpo1z1dq_q" Type="http://schemas.openxmlformats.org/officeDocument/2006/relationships/hyperlink" Target="https://dalil.kg/document/99442" TargetMode="External"/><Relationship Id="rIdr0u_18xdshqh7xfevtofi" Type="http://schemas.openxmlformats.org/officeDocument/2006/relationships/hyperlink" Target="https://dalil.kg/document/99442" TargetMode="External"/><Relationship Id="rId7fqhfv27tn4footng75ez" Type="http://schemas.openxmlformats.org/officeDocument/2006/relationships/hyperlink" Target="https://dalil.kg/document/203760" TargetMode="External"/><Relationship Id="rIdyhtls_8sjhrwcjfmgyaka" Type="http://schemas.openxmlformats.org/officeDocument/2006/relationships/hyperlink" Target="https://dalil.kg/document/94110" TargetMode="External"/><Relationship Id="rIdi01v-k_edupxyyvozumtj" Type="http://schemas.openxmlformats.org/officeDocument/2006/relationships/hyperlink" Target="https://dalil.kg/document/99442" TargetMode="External"/><Relationship Id="rIdzt9mjrdf3l4sezwrsv41u" Type="http://schemas.openxmlformats.org/officeDocument/2006/relationships/hyperlink" Target="https://dalil.kg/document/94491" TargetMode="External"/><Relationship Id="rIdsncyptf1rwqicexrceoyj" Type="http://schemas.openxmlformats.org/officeDocument/2006/relationships/hyperlink" Target="https://dalil.kg/document/99442" TargetMode="External"/><Relationship Id="rIdvlz92fpqxkevdmdz8lk_u" Type="http://schemas.openxmlformats.org/officeDocument/2006/relationships/hyperlink" Target="https://dalil.kg/document/4" TargetMode="External"/><Relationship Id="rIdqf9eumg-p_lvidm9mmwki" Type="http://schemas.openxmlformats.org/officeDocument/2006/relationships/hyperlink" Target="https://dalil.kg/document/94110" TargetMode="External"/><Relationship Id="rIdetzaj3chwtrwobnzkwwyl" Type="http://schemas.openxmlformats.org/officeDocument/2006/relationships/hyperlink" Target="https://dalil.kg/document/94491" TargetMode="External"/><Relationship Id="rIdhtr8tav5twij14gwpiugj" Type="http://schemas.openxmlformats.org/officeDocument/2006/relationships/hyperlink" Target="https://dalil.kg/document/94491"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hoqq_-5qow-um0exura" Type="http://schemas.openxmlformats.org/officeDocument/2006/relationships/hyperlink" Target="https://dalil.kg/document/94191" TargetMode="External"/><Relationship Id="rIdg0rz1lqgmb3-gw4aoym9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2026-09-23T23:26:34.568Z</dcterms:created>
  <dcterms:modified xsi:type="dcterms:W3CDTF">2026-09-23T23:26:34.568Z</dcterms:modified>
</cp:coreProperties>
</file>

<file path=docProps/custom.xml><?xml version="1.0" encoding="utf-8"?>
<Properties xmlns="http://schemas.openxmlformats.org/officeDocument/2006/custom-properties" xmlns:vt="http://schemas.openxmlformats.org/officeDocument/2006/docPropsVTypes"/>
</file>