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irf17udrlirmnwqq07rj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февраля 2013 года № 96</w:t>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 "О внесении изменений и дополнений в Закон Кыргызской Республики "Об обогащении муки хлебопекарной" и "О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В соответствии со статьей 80 </w:t>
      </w:r>
      <w:hyperlink w:history="1" r:id="rIdyt0btgw_4ya9m3pjyhj4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конституционного </w:t>
      </w:r>
      <w:hyperlink w:history="1" r:id="rIdsccbv6tofaf4yg1lp_nt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p6ixlhar8uhcgxsqenada">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 внесении изменений и дополнений в Закон Кыргызской Республики "Об обогащении муки хлебопекарной" и "О внесении дополнений и изменений в Кодекс Кыргызской Республики об административной ответственности", инициированные депутатом Жогорку Кенеша Кыргызской Республики Д.А.Ниязалиевой.</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проекты законов Кыргызской Республики "О внесении изменений и дополнений в Закон Кыргызской Республики "Об обогащении муки хлебопекарной" и "О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w:t>
      </w:r>
      <w:hyperlink w:history="1" r:id="rIdrm77hoh5icadphvytkpz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проекты законов Кыргызской Республики "О внесении изменений и дополнений в Закон Кыргызской Республики "</w:t>
      </w:r>
      <w:hyperlink w:history="1" r:id="rIdtg4jt6jof1tffquxmqhvr">
        <w:r>
          <w:rPr>
            <w:rFonts w:ascii="Arial" w:cs="Arial" w:eastAsia="Arial" w:hAnsi="Arial"/>
            <w:color w:val="1D4ED8"/>
            <w:sz w:val="24"/>
            <w:szCs w:val="24"/>
            <w:u w:val="single"/>
          </w:rPr>
          <w:t xml:space="preserve">Об обогащении муки хлебопекарной</w:t>
        </w:r>
      </w:hyperlink>
      <w:r>
        <w:rPr>
          <w:rFonts w:ascii="Arial" w:cs="Arial" w:eastAsia="Arial" w:hAnsi="Arial"/>
          <w:sz w:val="24"/>
          <w:szCs w:val="24"/>
        </w:rPr>
        <w:t xml:space="preserve">" и "О внесении дополнений и изменений в </w:t>
      </w:r>
      <w:hyperlink w:history="1" r:id="rIds5tta2muyrk7urkkaias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приходит к следующему заключению.</w:t>
      </w:r>
    </w:p>
    <w:p>
      <w:pPr>
        <w:spacing w:after="120"/>
        <w:jc w:val="both"/>
      </w:pPr>
      <w:r>
        <w:rPr>
          <w:rFonts w:ascii="Arial" w:cs="Arial" w:eastAsia="Arial" w:hAnsi="Arial"/>
          <w:sz w:val="24"/>
          <w:szCs w:val="24"/>
        </w:rPr>
        <w:t xml:space="preserve">По проекту Закона Кыргызской Республики "О внесении изменений и дополнений в </w:t>
      </w:r>
      <w:hyperlink w:history="1" r:id="rId-1g_ic3g3igteuxzpqf8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обогащении муки хлебопекарной" (далее - законопроект).</w:t>
      </w:r>
    </w:p>
    <w:p>
      <w:pPr>
        <w:spacing w:after="120"/>
        <w:jc w:val="both"/>
      </w:pPr>
      <w:r>
        <w:rPr>
          <w:rFonts w:ascii="Arial" w:cs="Arial" w:eastAsia="Arial" w:hAnsi="Arial"/>
          <w:sz w:val="24"/>
          <w:szCs w:val="24"/>
        </w:rPr>
        <w:t xml:space="preserve">Абзацем пятым части 1 статьи 1 законопроекта предлагается внести поправки в </w:t>
      </w:r>
      <w:hyperlink w:history="1" r:id="rIdusqglteab_h8ulk7p5sk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обогащении муки хлебопекарной", предусматривающие дополнительные полномочия Правительства по экономическому стимулированию юридических и физических лиц, занимающихся поставкой премикса, обогащенной муки или производством обогащенной муки (выделение средств на приобретение премиксов, предоставление налоговых и таможенных льгот).</w:t>
      </w:r>
    </w:p>
    <w:p>
      <w:pPr>
        <w:spacing w:after="120"/>
        <w:jc w:val="both"/>
      </w:pPr>
      <w:r>
        <w:rPr>
          <w:rFonts w:ascii="Arial" w:cs="Arial" w:eastAsia="Arial" w:hAnsi="Arial"/>
          <w:sz w:val="24"/>
          <w:szCs w:val="24"/>
        </w:rPr>
        <w:t xml:space="preserve">Абзацем восьмым части 1 статьи 1 законопроекта предлагается к полномочиям Правительства отнести освобождение от налога на добавленную стоимость импорта премикса.</w:t>
      </w:r>
    </w:p>
    <w:p>
      <w:pPr>
        <w:spacing w:after="120"/>
        <w:jc w:val="both"/>
      </w:pPr>
      <w:r>
        <w:rPr>
          <w:rFonts w:ascii="Arial" w:cs="Arial" w:eastAsia="Arial" w:hAnsi="Arial"/>
          <w:sz w:val="24"/>
          <w:szCs w:val="24"/>
        </w:rPr>
        <w:t xml:space="preserve">В свою очередь, частью 3 статьи 1 законопроекта статью 8 вышеназванного </w:t>
      </w:r>
      <w:hyperlink w:history="1" r:id="rId4lmfdrpoqtqftzcmvmfi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предлагается дополнить положениями, согласно которым в качестве мер государственной поддержки производителей обогащенной муки будут выступать освобождение от налога на прибыль производителей (переработчиков) обогащенной муки и предоставление льгот по освобождению от налога на добавленную стоимость переработчикам сельскохозяйственной продукции в случае обязательной фортификации производимой муки первого и высшего сортов.</w:t>
      </w:r>
    </w:p>
    <w:p>
      <w:pPr>
        <w:spacing w:after="120"/>
        <w:jc w:val="both"/>
      </w:pPr>
      <w:r>
        <w:rPr>
          <w:rFonts w:ascii="Arial" w:cs="Arial" w:eastAsia="Arial" w:hAnsi="Arial"/>
          <w:sz w:val="24"/>
          <w:szCs w:val="24"/>
        </w:rPr>
        <w:t xml:space="preserve">По вышеназванным положениям необходимо отметить, что согласно статье 13 </w:t>
      </w:r>
      <w:hyperlink w:history="1" r:id="rIde4zqwobqb-wphpw2dxgh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 территории Кыргызской Республики действует единая налоговая система, при этом право установления налогов принадлежит Жогорку Кенешу Кыргызской Республики.</w:t>
      </w:r>
    </w:p>
    <w:p>
      <w:pPr>
        <w:spacing w:after="120"/>
        <w:jc w:val="both"/>
      </w:pPr>
      <w:r>
        <w:rPr>
          <w:rFonts w:ascii="Arial" w:cs="Arial" w:eastAsia="Arial" w:hAnsi="Arial"/>
          <w:sz w:val="24"/>
          <w:szCs w:val="24"/>
        </w:rPr>
        <w:t xml:space="preserve">В соответствии со статьей 5 Налогового </w:t>
      </w:r>
      <w:hyperlink w:history="1" r:id="rIdwmekiqu5dlps6z5me6sv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 кроме случаев, предусмотренных Налоговым кодексом.</w:t>
      </w:r>
    </w:p>
    <w:p>
      <w:pPr>
        <w:spacing w:after="120"/>
        <w:jc w:val="both"/>
      </w:pPr>
      <w:r>
        <w:rPr>
          <w:rFonts w:ascii="Arial" w:cs="Arial" w:eastAsia="Arial" w:hAnsi="Arial"/>
          <w:sz w:val="24"/>
          <w:szCs w:val="24"/>
        </w:rPr>
        <w:t xml:space="preserve">Кроме того, в соответствии с Меморандумом об экономической и финансовой политике между Правительством Кыргызской Республики и Международным Валютным Фондом на 2011-2014 годы, Правительство Кыргызской Республики обязалось не вводить новые налоговые льготы на протяжении срока действия Меморандума. Предоставление различного рода налоговых преференций может привести к неисполнению заявленных Правительством Кыргызской Республики структурных параметров и возможному ограничению кредитных траншей Международного Валютного Фонда.</w:t>
      </w:r>
    </w:p>
    <w:p>
      <w:pPr>
        <w:spacing w:after="120"/>
        <w:jc w:val="both"/>
      </w:pPr>
      <w:r>
        <w:rPr>
          <w:rFonts w:ascii="Arial" w:cs="Arial" w:eastAsia="Arial" w:hAnsi="Arial"/>
          <w:sz w:val="24"/>
          <w:szCs w:val="24"/>
        </w:rPr>
        <w:t xml:space="preserve">Любые налоговые льготы, предоставляемые отдельным категориям налогоплательщиков, не предусмотренные налоговым законодательством Кыргызской Республики, могут привести к нарушению принципа, предполагающего создание одинаковых условий экономической деятельности для всех категорий налогоплательщиков.</w:t>
      </w:r>
    </w:p>
    <w:p>
      <w:pPr>
        <w:spacing w:after="120"/>
        <w:jc w:val="both"/>
      </w:pPr>
      <w:r>
        <w:rPr>
          <w:rFonts w:ascii="Arial" w:cs="Arial" w:eastAsia="Arial" w:hAnsi="Arial"/>
          <w:sz w:val="24"/>
          <w:szCs w:val="24"/>
        </w:rPr>
        <w:t xml:space="preserve">Также необходимо отметить, что реализация положений представленного законопроекта, в случае его принятия, потребует выделения дополнительных средств из республиканского бюджета. Вместе с тем, в соответствии со статьей 26 </w:t>
      </w:r>
      <w:hyperlink w:history="1" r:id="rIddvequard4dv8lxrbmcvj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Кроме того, в соответствии со статьей 2 </w:t>
      </w:r>
      <w:hyperlink w:history="1" r:id="rIdmuera5sw6q1rbku6ukbl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проекты законов об изменении финансовых обязательств государства, другие проекты законов, предусматривающие увеличение расходов, покрываемых за счет государственного бюджета, могут быть приняты только с согласия Правительства Кыргызской Республики. Проекты законов, предусматривающие сокращение доходной части государственного бюджета, могут быть приняты Жогорку Кенешем Кыргызской Республики только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Абзацем восьмым части 1 статьи 1 законопроекта предлагается статью 4 </w:t>
      </w:r>
      <w:hyperlink w:history="1" r:id="rIdxjeppmcbxss1f430tvfr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обогащении муки хлебопекарной" дополнить положением, в соответствии с которым Правительство будет предпринимать меры по упрощенному и ускоренному режиму таможенного оформления импортируемого премикса, в том числе освобождению от налога на добавленную стоимость на импорт премикса, уменьшению таможенных пошлин за поставку премикса. Вместе с тем, в соответствии с Законом Кыргызской Республики "О таможенном тарифе Кыргызской Республики" товарная номенклатура внешнеэкономической деятельности (ТН ВЭД) не выделяет премиксы отдельным кодом, поэтому предоставление таможенных льгот для импортеров премикса не представляется возможным.</w:t>
      </w:r>
    </w:p>
    <w:p>
      <w:pPr>
        <w:spacing w:after="120"/>
        <w:jc w:val="both"/>
      </w:pPr>
      <w:r>
        <w:rPr>
          <w:rFonts w:ascii="Arial" w:cs="Arial" w:eastAsia="Arial" w:hAnsi="Arial"/>
          <w:sz w:val="24"/>
          <w:szCs w:val="24"/>
        </w:rPr>
        <w:t xml:space="preserve">Частью 3 статьи 1 законопроекта предлагается ввести меры нетарифного регулирования на ввоз необогащенной муки. В этой связи также отмечаем, что подгруппы товаров муки не выделяют необогащенную муку отдельным кодом ТН ВЭД.</w:t>
      </w:r>
    </w:p>
    <w:p>
      <w:pPr>
        <w:spacing w:after="120"/>
        <w:jc w:val="both"/>
      </w:pPr>
      <w:r>
        <w:rPr>
          <w:rFonts w:ascii="Arial" w:cs="Arial" w:eastAsia="Arial" w:hAnsi="Arial"/>
          <w:sz w:val="24"/>
          <w:szCs w:val="24"/>
        </w:rPr>
        <w:t xml:space="preserve">Абзацем шестым части 1 статьи 1 законопроекта предлагается статью 4 </w:t>
      </w:r>
      <w:hyperlink w:history="1" r:id="rId4b9jft8kiqczu1utqykw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обогащении муки хлебопекарной" дополнить положением, согласно которому Правительству Кыргызской Республики будет предоставляться бесплатное эфирное время по пропаганде использования обогащенной муки. Поскольку данный вопрос является предметом регулирования </w:t>
      </w:r>
      <w:hyperlink w:history="1" r:id="rIdnuveyfnhtnxxu9pr3rd_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 предлагаем указанный абзац части 1 статьи 1 законопроекта исключить.</w:t>
      </w:r>
    </w:p>
    <w:p>
      <w:pPr>
        <w:spacing w:after="120"/>
        <w:jc w:val="both"/>
      </w:pPr>
      <w:r>
        <w:rPr>
          <w:rFonts w:ascii="Arial" w:cs="Arial" w:eastAsia="Arial" w:hAnsi="Arial"/>
          <w:sz w:val="24"/>
          <w:szCs w:val="24"/>
        </w:rPr>
        <w:t xml:space="preserve">Аналогичное замечание по абзацу одиннадцатому части 3 статьи 1 законопроекта.</w:t>
      </w:r>
    </w:p>
    <w:p>
      <w:pPr>
        <w:spacing w:after="120"/>
        <w:jc w:val="both"/>
      </w:pPr>
      <w:r>
        <w:rPr>
          <w:rFonts w:ascii="Arial" w:cs="Arial" w:eastAsia="Arial" w:hAnsi="Arial"/>
          <w:sz w:val="24"/>
          <w:szCs w:val="24"/>
        </w:rPr>
        <w:t xml:space="preserve">Абзацем девятым части 1 статьи 1 законопроекта утверждение стандартов премикса предлагается отнести к компетенции Правительства. Однако, согласно статье 1 </w:t>
      </w:r>
      <w:hyperlink w:history="1" r:id="rIdkdlt20g4lgx-orqwsvgw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под стандартами следует понимать документ, разработанный на основе консенсуса, в котором устанавливаются для добровольного многократного использования правила, общие принципы, характеристики продукции или процессов проектирования, строительства, монтажа, наладки, хранения, перевозки, реализации, эксплуатации, утилизации, выполнения работ, оказания услуг. В соответствии со статьей 2 </w:t>
      </w:r>
      <w:hyperlink w:history="1" r:id="rIdx2bok7tycaad6mn_nkr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стандарты премикса, ввиду их рекомендательного характера, не будут обладать характеристиками нормативного правового акта.</w:t>
      </w:r>
    </w:p>
    <w:p>
      <w:pPr>
        <w:spacing w:after="120"/>
        <w:jc w:val="both"/>
      </w:pPr>
      <w:r>
        <w:rPr>
          <w:rFonts w:ascii="Arial" w:cs="Arial" w:eastAsia="Arial" w:hAnsi="Arial"/>
          <w:sz w:val="24"/>
          <w:szCs w:val="24"/>
        </w:rPr>
        <w:t xml:space="preserve">Учитывая положения абзаца пятого части 1 статьи 1 законопроекта, в абзаце десятом части 1 указанной статьи законопроекта слова ", выделяет денежные средства для покупки премикса" предлагаем исключить.</w:t>
      </w:r>
    </w:p>
    <w:p>
      <w:pPr>
        <w:spacing w:after="120"/>
        <w:jc w:val="both"/>
      </w:pPr>
      <w:r>
        <w:rPr>
          <w:rFonts w:ascii="Arial" w:cs="Arial" w:eastAsia="Arial" w:hAnsi="Arial"/>
          <w:sz w:val="24"/>
          <w:szCs w:val="24"/>
        </w:rPr>
        <w:t xml:space="preserve">Поскольку в статье 6 </w:t>
      </w:r>
      <w:hyperlink w:history="1" r:id="rIdvd9mrjdsretf-1qsqsjw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обогащении муки хлебопекарной" слово "производства" используется дважды, предлагаем пересмотреть редакцию части 2 статьи 1 законопроекта.</w:t>
      </w:r>
    </w:p>
    <w:p>
      <w:pPr>
        <w:spacing w:after="120"/>
        <w:jc w:val="both"/>
      </w:pPr>
      <w:r>
        <w:rPr>
          <w:rFonts w:ascii="Arial" w:cs="Arial" w:eastAsia="Arial" w:hAnsi="Arial"/>
          <w:sz w:val="24"/>
          <w:szCs w:val="24"/>
        </w:rPr>
        <w:t xml:space="preserve">Так как по всему тексту вышеназванного Закона используется слово "ввоз", в абзаце втором части 3 статьи 1 законопроекта слово "импорта" предлагаем заменить словом "ввоза".</w:t>
      </w:r>
    </w:p>
    <w:p>
      <w:pPr>
        <w:spacing w:after="120"/>
        <w:jc w:val="both"/>
      </w:pPr>
      <w:r>
        <w:rPr>
          <w:rFonts w:ascii="Arial" w:cs="Arial" w:eastAsia="Arial" w:hAnsi="Arial"/>
          <w:sz w:val="24"/>
          <w:szCs w:val="24"/>
        </w:rPr>
        <w:t xml:space="preserve">Частью 3 статьи 1 законопроекта предлагается статью 8 </w:t>
      </w:r>
      <w:hyperlink w:history="1" r:id="rIdnjsoqi8l2wklkhwmhf-y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обогащении муки хлебопекарной" дополнить частью, определяющей меры государственной поддержки производителей обогащенной муки. Вместе с тем, учитывая, что предметом регулирования статьи 8 указанного Закона является определение обязанностей юридических и физических лиц в области обеспечения безопасности обогащенной муки, предлагаем вышеназванное дополнение оформить в качестве самостоятельной статьи.</w:t>
      </w:r>
    </w:p>
    <w:p>
      <w:pPr>
        <w:spacing w:after="120"/>
        <w:jc w:val="both"/>
      </w:pPr>
      <w:r>
        <w:rPr>
          <w:rFonts w:ascii="Arial" w:cs="Arial" w:eastAsia="Arial" w:hAnsi="Arial"/>
          <w:sz w:val="24"/>
          <w:szCs w:val="24"/>
        </w:rPr>
        <w:t xml:space="preserve">Абзацы второй и пятый части 4 статьи 1 законопроекта предлагаем исключить, так как в соответствии с </w:t>
      </w:r>
      <w:hyperlink w:history="1" r:id="rIdxnfgd2w2_9osexppihxm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к продукции и/или связанным с ней процессам производства, проектирования, строительства, монтажа, наладки, хранения, перевозки, реализации, эксплуатации, утилизации, выполнения работ, оказания услуг предъявляются минимально необходимые требования безопасности, которые содержатся в технических регламентах.</w:t>
      </w:r>
    </w:p>
    <w:p>
      <w:pPr>
        <w:spacing w:after="120"/>
        <w:jc w:val="both"/>
      </w:pPr>
      <w:r>
        <w:rPr>
          <w:rFonts w:ascii="Arial" w:cs="Arial" w:eastAsia="Arial" w:hAnsi="Arial"/>
          <w:sz w:val="24"/>
          <w:szCs w:val="24"/>
        </w:rPr>
        <w:t xml:space="preserve">При этом у потребителей должно быть право выбора также и муки, не содержащей премикс. В связи с этим, предлагаем установить необходимость обогащения только определенного количества муки, а не всей, которая находится в обращении.</w:t>
      </w:r>
    </w:p>
    <w:p>
      <w:pPr>
        <w:spacing w:after="120"/>
        <w:jc w:val="both"/>
      </w:pPr>
      <w:r>
        <w:rPr>
          <w:rFonts w:ascii="Arial" w:cs="Arial" w:eastAsia="Arial" w:hAnsi="Arial"/>
          <w:sz w:val="24"/>
          <w:szCs w:val="24"/>
        </w:rPr>
        <w:t xml:space="preserve">В порядке информации также отмечаем, что постановлением Правительства Кыргызской Республики от 16 августа 2012 года № 569 утвержден </w:t>
      </w:r>
      <w:hyperlink w:history="1" r:id="rIdznrczlqchyk5mtjip8e8d">
        <w:r>
          <w:rPr>
            <w:rFonts w:ascii="Arial" w:cs="Arial" w:eastAsia="Arial" w:hAnsi="Arial"/>
            <w:color w:val="1D4ED8"/>
            <w:sz w:val="24"/>
            <w:szCs w:val="24"/>
            <w:u w:val="single"/>
          </w:rPr>
          <w:t xml:space="preserve">Технический регламент</w:t>
        </w:r>
      </w:hyperlink>
      <w:r>
        <w:rPr>
          <w:rFonts w:ascii="Arial" w:cs="Arial" w:eastAsia="Arial" w:hAnsi="Arial"/>
          <w:sz w:val="24"/>
          <w:szCs w:val="24"/>
        </w:rPr>
        <w:t xml:space="preserve"> "О безопасности обогащенной муки", которым, в том числе, определены формы оценки соответствия.</w:t>
      </w:r>
    </w:p>
    <w:p>
      <w:pPr>
        <w:spacing w:after="120"/>
        <w:jc w:val="both"/>
      </w:pPr>
      <w:r>
        <w:rPr>
          <w:rFonts w:ascii="Arial" w:cs="Arial" w:eastAsia="Arial" w:hAnsi="Arial"/>
          <w:sz w:val="24"/>
          <w:szCs w:val="24"/>
        </w:rPr>
        <w:t xml:space="preserve">Вместе с тем, отмечаем, что предлагаемое абзацем вторым части 4 статьи 1 законопроекта изменение потребует пересмотра абзаца шестого статьи 4 </w:t>
      </w:r>
      <w:hyperlink w:history="1" r:id="rIdtnit_1jhxqnafn47nxwy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обогащении муки хлебопекарной".</w:t>
      </w:r>
    </w:p>
    <w:p>
      <w:pPr>
        <w:spacing w:after="120"/>
        <w:jc w:val="both"/>
      </w:pPr>
      <w:r>
        <w:rPr>
          <w:rFonts w:ascii="Arial" w:cs="Arial" w:eastAsia="Arial" w:hAnsi="Arial"/>
          <w:sz w:val="24"/>
          <w:szCs w:val="24"/>
        </w:rPr>
        <w:t xml:space="preserve">Кроме того, предлагаем дополнить законопроект положениями следующего содержания:</w:t>
      </w:r>
    </w:p>
    <w:p>
      <w:pPr>
        <w:spacing w:after="120"/>
        <w:jc w:val="both"/>
      </w:pPr>
      <w:r>
        <w:rPr>
          <w:rFonts w:ascii="Arial" w:cs="Arial" w:eastAsia="Arial" w:hAnsi="Arial"/>
          <w:sz w:val="24"/>
          <w:szCs w:val="24"/>
        </w:rPr>
        <w:t xml:space="preserve">"- статьи 6 и 7 изложить в следующей редакции:</w:t>
      </w:r>
    </w:p>
    <w:p>
      <w:pPr>
        <w:spacing w:after="120"/>
        <w:jc w:val="both"/>
      </w:pPr>
      <w:r>
        <w:rPr>
          <w:rFonts w:ascii="Arial" w:cs="Arial" w:eastAsia="Arial" w:hAnsi="Arial"/>
          <w:sz w:val="24"/>
          <w:szCs w:val="24"/>
        </w:rPr>
        <w:t xml:space="preserve">"Статья 6. Полномочия органов, осуществляющих государственный</w:t>
      </w:r>
    </w:p>
    <w:p>
      <w:pPr>
        <w:spacing w:after="120"/>
        <w:jc w:val="both"/>
      </w:pPr>
      <w:r>
        <w:rPr>
          <w:rFonts w:ascii="Arial" w:cs="Arial" w:eastAsia="Arial" w:hAnsi="Arial"/>
          <w:sz w:val="24"/>
          <w:szCs w:val="24"/>
        </w:rPr>
        <w:t xml:space="preserve">надзор за безопасностью и качеством обогащенной муки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надзор за соблюдением требований технических регламентов в отношении обогащенной муки хлебопекарной осуществляется специально уполномоченным государственным органом. Государственный надзор в отношении обогащенной муки и процессов ее хранения, перевозки и реализации осуществляется на стадии обращения обогащенной муки. Государственный надзор в отношении производственных объектов и процессов производства, реализации обогащенной муки осуществляется в процессе эксплуатации объектов производства путем проведения периодических плановых и внеплановых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Обеспечение безопасности обогащенной муки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регулирование требований безопасности производимой, ввозимой и реализуемой в Кыргызской Республике обогащенной муки устанавливается техническими регламентами.".</w:t>
      </w:r>
    </w:p>
    <w:p>
      <w:pPr>
        <w:spacing w:after="120"/>
        <w:jc w:val="both"/>
      </w:pPr>
      <w:r>
        <w:rPr>
          <w:rFonts w:ascii="Arial" w:cs="Arial" w:eastAsia="Arial" w:hAnsi="Arial"/>
          <w:sz w:val="24"/>
          <w:szCs w:val="24"/>
        </w:rPr>
        <w:t xml:space="preserve">Статьей 3 законопроекта предлагается определить, что в случае его принятия, Закон вступает в силу с момента его официального опубликования. Вместе с тем отмечаем, что в соответствии со статьей 30 </w:t>
      </w:r>
      <w:hyperlink w:history="1" r:id="rIdw111qpuazh_k3unm1fwv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регулирующие предпринимательскую деятельность, вступают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Согласно статье 19 </w:t>
      </w:r>
      <w:hyperlink w:history="1" r:id="rId61ieilkamr1gce-ugcox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Согласно статье 22 названного Закона, проекты нормативных правовых актов, непосредственно затрагивающие интересы граждан и юридических лиц, подлежат общественному обсуждению посредством размещения на официальном сайте нормотворческого органа. При этом, итоговая информация о результатах общественного обсуждения отражается в справке-обосновании к проекту нормативного правового акта.</w:t>
      </w:r>
    </w:p>
    <w:p>
      <w:pPr>
        <w:spacing w:after="120"/>
        <w:jc w:val="both"/>
      </w:pPr>
      <w:r>
        <w:rPr>
          <w:rFonts w:ascii="Arial" w:cs="Arial" w:eastAsia="Arial" w:hAnsi="Arial"/>
          <w:sz w:val="24"/>
          <w:szCs w:val="24"/>
        </w:rPr>
        <w:t xml:space="preserve">Поскольку согласно статье 3 </w:t>
      </w:r>
      <w:hyperlink w:history="1" r:id="rId3hzcype_kafbh8ypp7cs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государственная власть в Кыргызской Республике основывается, в том числе, на принципах разделения государственной власти, а также учитывая, что в соответствии со статьей 88 </w:t>
      </w:r>
      <w:hyperlink w:history="1" r:id="rIdytnnplpceuqdoo67mlvn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Правительство обеспечивает исполнение Конституции и законов, предлагаем статью 2 законопроекта изложить в следующей редакции: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принять необходимые меры по реализации настоящего Закона.".</w:t>
      </w:r>
    </w:p>
    <w:p>
      <w:pPr>
        <w:spacing w:after="120"/>
        <w:jc w:val="both"/>
      </w:pPr>
      <w:r>
        <w:rPr>
          <w:rFonts w:ascii="Arial" w:cs="Arial" w:eastAsia="Arial" w:hAnsi="Arial"/>
          <w:sz w:val="24"/>
          <w:szCs w:val="24"/>
        </w:rPr>
        <w:t xml:space="preserve">Так как вопросы освобождения лица от административной ответственности регулируются Кодексом Кыргызской Республики об административной ответственности, абзац четвертый статьи 2 законопроекта необходимо исключить.</w:t>
      </w:r>
    </w:p>
    <w:p>
      <w:pPr>
        <w:spacing w:after="120"/>
        <w:jc w:val="both"/>
      </w:pPr>
      <w:r>
        <w:rPr>
          <w:rFonts w:ascii="Arial" w:cs="Arial" w:eastAsia="Arial" w:hAnsi="Arial"/>
          <w:sz w:val="24"/>
          <w:szCs w:val="24"/>
        </w:rPr>
        <w:t xml:space="preserve">По проекту Закона Кыргызской Республики "О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Положения абзацев четвертого и пятого части 1 статьи 1 проекта выходят за рамки предмета регулирования статьи 92 </w:t>
      </w:r>
      <w:hyperlink w:history="1" r:id="rIdooowsahu7ur545dv3eao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Частью 5 статьи 1 проекта Закона предлагается рассмотрение административных правонарушений по статье 92 вышеназванного Кодекса возложить на административные комиссии. В связи с чем из компетенции судов соответствующее полномочие исключается. Однако необходимо отметить, что статья 92 </w:t>
      </w:r>
      <w:hyperlink w:history="1" r:id="rIdlkibaw4grrmqa7bdbjsv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 качестве административного наказания предусматривает конфискацию продукта. Согласно статье 37 названного </w:t>
      </w:r>
      <w:hyperlink w:history="1" r:id="rIdvpbreazlqqjf3xoatid1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конфискация применяется только судом (судьей).</w:t>
      </w:r>
    </w:p>
    <w:p>
      <w:pPr>
        <w:spacing w:after="120"/>
        <w:jc w:val="both"/>
      </w:pPr>
      <w:r>
        <w:rPr>
          <w:rFonts w:ascii="Arial" w:cs="Arial" w:eastAsia="Arial" w:hAnsi="Arial"/>
          <w:sz w:val="24"/>
          <w:szCs w:val="24"/>
        </w:rPr>
        <w:t xml:space="preserve">Более того, в соответствии со статьей 12 </w:t>
      </w:r>
      <w:hyperlink w:history="1" r:id="rIdubmx2kn4jkuvs1f5zob9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изъятие имущества помимо воли собственника допускается только по решению суда.</w:t>
      </w:r>
    </w:p>
    <w:p>
      <w:pPr>
        <w:spacing w:after="120"/>
        <w:jc w:val="both"/>
      </w:pPr>
      <w:r>
        <w:rPr>
          <w:rFonts w:ascii="Arial" w:cs="Arial" w:eastAsia="Arial" w:hAnsi="Arial"/>
          <w:sz w:val="24"/>
          <w:szCs w:val="24"/>
        </w:rPr>
        <w:t xml:space="preserve">По частям 3 и 5 статьи 1 проекта Закона предлагаем уточнить использование терминов "районные государственные администрации", "государственные администрации". Согласно статье 91 </w:t>
      </w:r>
      <w:hyperlink w:history="1" r:id="rIdvjhjyg-dl5yqtwktatiu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исполнительную власть на территории соответствующей административно-территориальной единицы осуществляет местная государственная администрация.</w:t>
      </w:r>
    </w:p>
    <w:p>
      <w:pPr>
        <w:spacing w:after="120"/>
        <w:jc w:val="both"/>
      </w:pPr>
      <w:r>
        <w:rPr>
          <w:rFonts w:ascii="Arial" w:cs="Arial" w:eastAsia="Arial" w:hAnsi="Arial"/>
          <w:sz w:val="24"/>
          <w:szCs w:val="24"/>
        </w:rPr>
        <w:t xml:space="preserve">Так как положения абзацев пятого и шестого части 6 статьи 1 проекта выходят за предмет регулирования статьи 614 </w:t>
      </w:r>
      <w:hyperlink w:history="1" r:id="rIdlpigcshqxcr-z-tbkvv8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предлагаем их исключить, а указанные положения отразить в общей части названного Кодекса.</w:t>
      </w:r>
    </w:p>
    <w:p>
      <w:pPr>
        <w:spacing w:after="120"/>
        <w:jc w:val="both"/>
      </w:pPr>
      <w:r>
        <w:rPr>
          <w:rFonts w:ascii="Arial" w:cs="Arial" w:eastAsia="Arial" w:hAnsi="Arial"/>
          <w:sz w:val="24"/>
          <w:szCs w:val="24"/>
        </w:rPr>
        <w:t xml:space="preserve">В связи с вышеизложенным принятие проектов законов Кыргызской Республики "О внесении изменений и дополнений в</w:t>
      </w:r>
      <w:hyperlink w:history="1" r:id="rIdphfgpovh_nqlp9gl42q_k">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"Об обогащении муки хлебопекарной" и "О внесении дополнений и изменений в </w:t>
      </w:r>
      <w:hyperlink w:history="1" r:id="rIdoahh8nratysyufizv6ry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 настоящее время считаем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ztwt4cd9ijesveod7rxr">
      <w:r>
        <w:rPr>
          <w:rFonts w:ascii="Arial" w:cs="Arial" w:eastAsia="Arial" w:hAnsi="Arial"/>
          <w:color w:val="132D3F"/>
          <w:sz w:val="16"/>
          <w:szCs w:val="16"/>
          <w:u w:val="single"/>
        </w:rPr>
        <w:t xml:space="preserve">dalil.kg/document/94203</w:t>
      </w:r>
    </w:hyperlink>
  </w:p>
  <w:p>
    <w:pPr>
      <w:spacing w:after="0" w:before="40"/>
      <w:jc w:val="center"/>
    </w:pPr>
    <w:hyperlink w:history="1" r:id="rIdzslpxkrnbxxvfkqsmo0m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f17udrlirmnwqq07rjl" Type="http://schemas.openxmlformats.org/officeDocument/2006/relationships/hyperlink" Target="https://dalil.kg/document/159126" TargetMode="External"/><Relationship Id="rIdyt0btgw_4ya9m3pjyhj4q" Type="http://schemas.openxmlformats.org/officeDocument/2006/relationships/hyperlink" Target="https://dalil.kg/document/202913" TargetMode="External"/><Relationship Id="rIdsccbv6tofaf4yg1lp_ntc" Type="http://schemas.openxmlformats.org/officeDocument/2006/relationships/hyperlink" Target="https://dalil.kg/document/203685" TargetMode="External"/><Relationship Id="rIdp6ixlhar8uhcgxsqenada" Type="http://schemas.openxmlformats.org/officeDocument/2006/relationships/hyperlink" Target="https://dalil.kg/document/94203#p1" TargetMode="External"/><Relationship Id="rIdrm77hoh5icadphvytkpz2" Type="http://schemas.openxmlformats.org/officeDocument/2006/relationships/hyperlink" Target="https://dalil.kg/document/203685" TargetMode="External"/><Relationship Id="rIdtg4jt6jof1tffquxmqhvr" Type="http://schemas.openxmlformats.org/officeDocument/2006/relationships/hyperlink" Target="https://dalil.kg/document/202534" TargetMode="External"/><Relationship Id="rIds5tta2muyrk7urkkaiasc" Type="http://schemas.openxmlformats.org/officeDocument/2006/relationships/hyperlink" Target="https://dalil.kg/document/6" TargetMode="External"/><Relationship Id="rId-1g_ic3g3igteuxzpqf8n" Type="http://schemas.openxmlformats.org/officeDocument/2006/relationships/hyperlink" Target="https://dalil.kg/document/202534" TargetMode="External"/><Relationship Id="rIdusqglteab_h8ulk7p5skt" Type="http://schemas.openxmlformats.org/officeDocument/2006/relationships/hyperlink" Target="https://dalil.kg/document/202534" TargetMode="External"/><Relationship Id="rId4lmfdrpoqtqftzcmvmfi5" Type="http://schemas.openxmlformats.org/officeDocument/2006/relationships/hyperlink" Target="https://dalil.kg/document/202534" TargetMode="External"/><Relationship Id="rIde4zqwobqb-wphpw2dxghf" Type="http://schemas.openxmlformats.org/officeDocument/2006/relationships/hyperlink" Target="https://dalil.kg/document/202913" TargetMode="External"/><Relationship Id="rIdwmekiqu5dlps6z5me6sv9" Type="http://schemas.openxmlformats.org/officeDocument/2006/relationships/hyperlink" Target="https://dalil.kg/document/202445" TargetMode="External"/><Relationship Id="rIddvequard4dv8lxrbmcvjf" Type="http://schemas.openxmlformats.org/officeDocument/2006/relationships/hyperlink" Target="https://dalil.kg/document/202591" TargetMode="External"/><Relationship Id="rIdmuera5sw6q1rbku6ukblo" Type="http://schemas.openxmlformats.org/officeDocument/2006/relationships/hyperlink" Target="https://dalil.kg/document/86" TargetMode="External"/><Relationship Id="rIdxjeppmcbxss1f430tvfrl" Type="http://schemas.openxmlformats.org/officeDocument/2006/relationships/hyperlink" Target="https://dalil.kg/document/202534" TargetMode="External"/><Relationship Id="rId4b9jft8kiqczu1utqykwr" Type="http://schemas.openxmlformats.org/officeDocument/2006/relationships/hyperlink" Target="https://dalil.kg/document/202534" TargetMode="External"/><Relationship Id="rIdnuveyfnhtnxxu9pr3rd_w" Type="http://schemas.openxmlformats.org/officeDocument/2006/relationships/hyperlink" Target="https://dalil.kg/document/202317" TargetMode="External"/><Relationship Id="rIdkdlt20g4lgx-orqwsvgw1" Type="http://schemas.openxmlformats.org/officeDocument/2006/relationships/hyperlink" Target="https://dalil.kg/document/1453" TargetMode="External"/><Relationship Id="rIdx2bok7tycaad6mn_nkrl-" Type="http://schemas.openxmlformats.org/officeDocument/2006/relationships/hyperlink" Target="https://dalil.kg/document/202591" TargetMode="External"/><Relationship Id="rIdvd9mrjdsretf-1qsqsjwc" Type="http://schemas.openxmlformats.org/officeDocument/2006/relationships/hyperlink" Target="https://dalil.kg/document/202534" TargetMode="External"/><Relationship Id="rIdnjsoqi8l2wklkhwmhf-yz" Type="http://schemas.openxmlformats.org/officeDocument/2006/relationships/hyperlink" Target="https://dalil.kg/document/202534" TargetMode="External"/><Relationship Id="rIdxnfgd2w2_9osexppihxm8" Type="http://schemas.openxmlformats.org/officeDocument/2006/relationships/hyperlink" Target="https://dalil.kg/document/1453" TargetMode="External"/><Relationship Id="rIdznrczlqchyk5mtjip8e8d" Type="http://schemas.openxmlformats.org/officeDocument/2006/relationships/hyperlink" Target="https://dalil.kg/document/93445" TargetMode="External"/><Relationship Id="rIdtnit_1jhxqnafn47nxwya" Type="http://schemas.openxmlformats.org/officeDocument/2006/relationships/hyperlink" Target="https://dalil.kg/document/202534" TargetMode="External"/><Relationship Id="rIdw111qpuazh_k3unm1fwvx" Type="http://schemas.openxmlformats.org/officeDocument/2006/relationships/hyperlink" Target="https://dalil.kg/document/202591" TargetMode="External"/><Relationship Id="rId61ieilkamr1gce-ugcoxk" Type="http://schemas.openxmlformats.org/officeDocument/2006/relationships/hyperlink" Target="https://dalil.kg/document/202591" TargetMode="External"/><Relationship Id="rId3hzcype_kafbh8ypp7csj" Type="http://schemas.openxmlformats.org/officeDocument/2006/relationships/hyperlink" Target="https://dalil.kg/document/202913" TargetMode="External"/><Relationship Id="rIdytnnplpceuqdoo67mlvnc" Type="http://schemas.openxmlformats.org/officeDocument/2006/relationships/hyperlink" Target="https://dalil.kg/document/202913" TargetMode="External"/><Relationship Id="rIdooowsahu7ur545dv3eaoe" Type="http://schemas.openxmlformats.org/officeDocument/2006/relationships/hyperlink" Target="https://dalil.kg/document/6" TargetMode="External"/><Relationship Id="rIdlkibaw4grrmqa7bdbjsvg" Type="http://schemas.openxmlformats.org/officeDocument/2006/relationships/hyperlink" Target="https://dalil.kg/document/6" TargetMode="External"/><Relationship Id="rIdvpbreazlqqjf3xoatid1n" Type="http://schemas.openxmlformats.org/officeDocument/2006/relationships/hyperlink" Target="https://dalil.kg/document/6" TargetMode="External"/><Relationship Id="rIdubmx2kn4jkuvs1f5zob9j" Type="http://schemas.openxmlformats.org/officeDocument/2006/relationships/hyperlink" Target="https://dalil.kg/document/202913" TargetMode="External"/><Relationship Id="rIdvjhjyg-dl5yqtwktatiuk" Type="http://schemas.openxmlformats.org/officeDocument/2006/relationships/hyperlink" Target="https://dalil.kg/document/202913" TargetMode="External"/><Relationship Id="rIdlpigcshqxcr-z-tbkvv8e" Type="http://schemas.openxmlformats.org/officeDocument/2006/relationships/hyperlink" Target="https://dalil.kg/document/6" TargetMode="External"/><Relationship Id="rIdphfgpovh_nqlp9gl42q_k" Type="http://schemas.openxmlformats.org/officeDocument/2006/relationships/hyperlink" Target="https://dalil.kg/document/202534" TargetMode="External"/><Relationship Id="rIdoahh8nratysyufizv6ry4"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ztwt4cd9ijesveod7rxr" Type="http://schemas.openxmlformats.org/officeDocument/2006/relationships/hyperlink" Target="https://dalil.kg/document/94203" TargetMode="External"/><Relationship Id="rIdzslpxkrnbxxvfkqsmo0m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2026-09-25T01:17:28.168Z</dcterms:created>
  <dcterms:modified xsi:type="dcterms:W3CDTF">2026-09-25T01:17:28.168Z</dcterms:modified>
</cp:coreProperties>
</file>

<file path=docProps/custom.xml><?xml version="1.0" encoding="utf-8"?>
<Properties xmlns="http://schemas.openxmlformats.org/officeDocument/2006/custom-properties" xmlns:vt="http://schemas.openxmlformats.org/officeDocument/2006/docPropsVTypes"/>
</file>