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УТРАТИЛА СИЛУ
 в соответствии с </w:t>
      </w:r>
      <w:hyperlink w:history="1" r:id="rIdprwdid7xiq770str54s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bswtxrgqka1exifhfraz8">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 февраля 2013 года № 47</w:t>
      </w:r>
    </w:p>
    <w:p>
      <w:pPr>
        <w:spacing w:after="120"/>
        <w:jc w:val="both"/>
      </w:pPr>
      <w:r>
        <w:rPr>
          <w:rFonts w:ascii="Arial" w:cs="Arial" w:eastAsia="Arial" w:hAnsi="Arial"/>
          <w:sz w:val="24"/>
          <w:szCs w:val="24"/>
        </w:rPr>
        <w:t xml:space="preserve">ПРОГРАММА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2. Принципы Программы</w:t>
      </w:r>
    </w:p>
    <w:p>
      <w:pPr>
        <w:spacing w:after="120"/>
        <w:jc w:val="both"/>
      </w:pPr>
      <w:r>
        <w:rPr>
          <w:rFonts w:ascii="Arial" w:cs="Arial" w:eastAsia="Arial" w:hAnsi="Arial"/>
          <w:sz w:val="24"/>
          <w:szCs w:val="24"/>
        </w:rPr>
        <w:t xml:space="preserve">3. Управление Программой</w:t>
      </w:r>
    </w:p>
    <w:p>
      <w:pPr>
        <w:spacing w:after="120"/>
        <w:jc w:val="both"/>
      </w:pPr>
      <w:r>
        <w:rPr>
          <w:rFonts w:ascii="Arial" w:cs="Arial" w:eastAsia="Arial" w:hAnsi="Arial"/>
          <w:sz w:val="24"/>
          <w:szCs w:val="24"/>
        </w:rPr>
        <w:t xml:space="preserve">4. Международное сотрудничество</w:t>
      </w:r>
    </w:p>
    <w:p>
      <w:pPr>
        <w:spacing w:after="120"/>
        <w:jc w:val="both"/>
      </w:pPr>
      <w:r>
        <w:rPr>
          <w:rFonts w:ascii="Arial" w:cs="Arial" w:eastAsia="Arial" w:hAnsi="Arial"/>
          <w:sz w:val="24"/>
          <w:szCs w:val="24"/>
        </w:rPr>
        <w:t xml:space="preserve">5. Цель Программы</w:t>
      </w:r>
    </w:p>
    <w:p>
      <w:pPr>
        <w:spacing w:after="120"/>
        <w:jc w:val="both"/>
      </w:pPr>
      <w:r>
        <w:rPr>
          <w:rFonts w:ascii="Arial" w:cs="Arial" w:eastAsia="Arial" w:hAnsi="Arial"/>
          <w:sz w:val="24"/>
          <w:szCs w:val="24"/>
        </w:rPr>
        <w:t xml:space="preserve">6. Стратегические направления Программы</w:t>
      </w:r>
    </w:p>
    <w:p>
      <w:pPr>
        <w:spacing w:after="120"/>
        <w:jc w:val="both"/>
      </w:pPr>
      <w:r>
        <w:rPr>
          <w:rFonts w:ascii="Arial" w:cs="Arial" w:eastAsia="Arial" w:hAnsi="Arial"/>
          <w:sz w:val="24"/>
          <w:szCs w:val="24"/>
        </w:rPr>
        <w:t xml:space="preserve">Приложение. Основные категории расходов и источники финансирования Программы "Иммунопрофилактика" на 2013-2017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Иммунизация населения признана Всемирной организацией здравоохранения (далее - ВОЗ) самым эффективным вкладом в охрану здоровья человека и является одним из важнейших компонентов достижения Целей развития тысячелетия в области снижения детской смертности на две трети к 2015 году.</w:t>
      </w:r>
    </w:p>
    <w:p>
      <w:pPr>
        <w:spacing w:after="120"/>
        <w:jc w:val="both"/>
      </w:pPr>
      <w:r>
        <w:rPr>
          <w:rFonts w:ascii="Arial" w:cs="Arial" w:eastAsia="Arial" w:hAnsi="Arial"/>
          <w:sz w:val="24"/>
          <w:szCs w:val="24"/>
        </w:rPr>
        <w:t xml:space="preserve">Регулярная плановая иммунизация населения является самой экономически оправданной для государства и эффективной мерой предотвращения последствий от ряда инфекционных болезней, а также смертности и инвалидности по сравнению с другими медицинскими вмешательствами в области здравоохранения.</w:t>
      </w:r>
    </w:p>
    <w:p>
      <w:pPr>
        <w:spacing w:after="120"/>
        <w:jc w:val="both"/>
      </w:pPr>
      <w:r>
        <w:rPr>
          <w:rFonts w:ascii="Arial" w:cs="Arial" w:eastAsia="Arial" w:hAnsi="Arial"/>
          <w:sz w:val="24"/>
          <w:szCs w:val="24"/>
        </w:rPr>
        <w:t xml:space="preserve">Так, по данным исследования экономической эффективности иммунопрофилактики, проведенного впервые в Кыргызстане в 2010 году с использованием метода математического и эпидемиологического моделирования, затраты на лечение больных корью лиц, в случае отсутствия вакцинации у 50 процентов населения, составят ежегодно свыше 260,0 млн. сомов, тогда как затраты на приобретение вакцин от кори не превышают 9,0 млн. сомов в год.</w:t>
      </w:r>
    </w:p>
    <w:p>
      <w:pPr>
        <w:spacing w:after="120"/>
        <w:jc w:val="both"/>
      </w:pPr>
      <w:r>
        <w:rPr>
          <w:rFonts w:ascii="Arial" w:cs="Arial" w:eastAsia="Arial" w:hAnsi="Arial"/>
          <w:sz w:val="24"/>
          <w:szCs w:val="24"/>
        </w:rPr>
        <w:t xml:space="preserve">На сегодняшний день календарь профилактических прививок Кыргызской Республики включает обязательную вакцинацию от десяти инфекций: полиомиелита, туберкулеза, дифтерии, коклюша, столбняка, кори, паротита, краснухи, вирусного гепатита В и гемофильной инфекции.</w:t>
      </w:r>
    </w:p>
    <w:p>
      <w:pPr>
        <w:spacing w:after="120"/>
        <w:jc w:val="both"/>
      </w:pPr>
      <w:r>
        <w:rPr>
          <w:rFonts w:ascii="Arial" w:cs="Arial" w:eastAsia="Arial" w:hAnsi="Arial"/>
          <w:sz w:val="24"/>
          <w:szCs w:val="24"/>
        </w:rPr>
        <w:t xml:space="preserve">Для более эффективной борьбы с инфекциями, от которых имеются вакцины, в Кыргызской Республике с 1994 года применяется комплексный, плановый подход к реализации стратегий, ведущих к снижению заболеваемости и смертности посредством проведения вакцинации. С этой целью в 1994 году Правительством Кыргызской Республики была утверждена первая Национальная программа "Иммунопрофилактика на 1996-2000 годы", в 2001 и 2006 годах - вторая и третья программы, реализуемые в 2001-2005 и 2006-2010 годах.</w:t>
      </w:r>
    </w:p>
    <w:p>
      <w:pPr>
        <w:spacing w:after="120"/>
        <w:jc w:val="both"/>
      </w:pPr>
      <w:r>
        <w:rPr>
          <w:rFonts w:ascii="Arial" w:cs="Arial" w:eastAsia="Arial" w:hAnsi="Arial"/>
          <w:sz w:val="24"/>
          <w:szCs w:val="24"/>
        </w:rPr>
        <w:t xml:space="preserve">Программа "Иммунопрофилактика" на 2013-2017 годы (далее - Программа) является четвертым по счету программным документом, разработанным в целях поддержки и развития службы иммунопрофилактики страны, контролирующей распространение инфекционных болезней, против которых имеются вакцины.</w:t>
      </w:r>
    </w:p>
    <w:p>
      <w:pPr>
        <w:spacing w:after="120"/>
        <w:jc w:val="both"/>
      </w:pPr>
      <w:r>
        <w:rPr>
          <w:rFonts w:ascii="Arial" w:cs="Arial" w:eastAsia="Arial" w:hAnsi="Arial"/>
          <w:sz w:val="24"/>
          <w:szCs w:val="24"/>
        </w:rPr>
        <w:t xml:space="preserve">Программа - крупномасштабная программа, охватывающая ежегодно свыше 900 тысяч человек декретированного контингента, что составляет 18% от численности всего населения страны.</w:t>
      </w:r>
    </w:p>
    <w:p>
      <w:pPr>
        <w:spacing w:after="120"/>
        <w:jc w:val="both"/>
      </w:pPr>
      <w:r>
        <w:rPr>
          <w:rFonts w:ascii="Arial" w:cs="Arial" w:eastAsia="Arial" w:hAnsi="Arial"/>
          <w:sz w:val="24"/>
          <w:szCs w:val="24"/>
        </w:rPr>
        <w:t xml:space="preserve">73% целевой группы Программы составляют дети от 0 до 16 лет, из их числа 11% - это новорожденные и младенцы.</w:t>
      </w:r>
    </w:p>
    <w:p>
      <w:pPr>
        <w:spacing w:after="120"/>
        <w:jc w:val="both"/>
      </w:pPr>
      <w:r>
        <w:rPr>
          <w:rFonts w:ascii="Arial" w:cs="Arial" w:eastAsia="Arial" w:hAnsi="Arial"/>
          <w:sz w:val="24"/>
          <w:szCs w:val="24"/>
        </w:rPr>
        <w:t xml:space="preserve">Для проведения плановой иммунизации декретированных групп населения в республику ежегодно поступает более 2,5 млн. доз вакцин.</w:t>
      </w:r>
    </w:p>
    <w:p>
      <w:pPr>
        <w:spacing w:after="120"/>
        <w:jc w:val="both"/>
      </w:pPr>
      <w:r>
        <w:rPr>
          <w:rFonts w:ascii="Arial" w:cs="Arial" w:eastAsia="Arial" w:hAnsi="Arial"/>
          <w:sz w:val="24"/>
          <w:szCs w:val="24"/>
        </w:rPr>
        <w:t xml:space="preserve">Планомерная целенаправленная работа в рамках вышеперечисленных программ и пошаговые обоснованные мероприятия позволили достичь значительных успехов по спасению многих жизней, предотвращению страданий вследствие тяжелых инфекционных болезней, контролируемых иммунопрофилактикой.</w:t>
      </w:r>
    </w:p>
    <w:p>
      <w:pPr>
        <w:spacing w:after="120"/>
        <w:jc w:val="both"/>
      </w:pPr>
      <w:r>
        <w:rPr>
          <w:rFonts w:ascii="Arial" w:cs="Arial" w:eastAsia="Arial" w:hAnsi="Arial"/>
          <w:sz w:val="24"/>
          <w:szCs w:val="24"/>
        </w:rPr>
        <w:t xml:space="preserve">Начиная с 2000 года, Правительством Кыргызской Республики и Министерством здравоохранения Кыргызской Республики постоянно увеличиваются ассигнования на закупку вакцин в рамках национального календаря профилактических прививок. Если в 2000 году на эти цели было выделено 697,5 тысячи сомов, а большая часть вакцинных препаратов поступала в страну в виде гуманитарной помощи, то в 2010 году из бюджета республики выделено на закупку вакцин 24,4 млн. сомов, что позволило обеспечить 85% годовой потребности в вакцинных препаратах.</w:t>
      </w:r>
    </w:p>
    <w:p>
      <w:pPr>
        <w:spacing w:after="120"/>
        <w:jc w:val="both"/>
      </w:pPr>
      <w:r>
        <w:rPr>
          <w:rFonts w:ascii="Arial" w:cs="Arial" w:eastAsia="Arial" w:hAnsi="Arial"/>
          <w:sz w:val="24"/>
          <w:szCs w:val="24"/>
        </w:rPr>
        <w:t xml:space="preserve">Реализация программ иммунизации позволила достигнуть высокого уровня охвата профилактическими прививками населения страны и тем самым значительно снизить заболеваемость такими инфекциями, как дифтерия, столбняк, корь, коклюш, вирусный гепатит В.</w:t>
      </w:r>
    </w:p>
    <w:p>
      <w:pPr>
        <w:spacing w:after="120"/>
        <w:jc w:val="both"/>
      </w:pPr>
      <w:r>
        <w:rPr>
          <w:rFonts w:ascii="Arial" w:cs="Arial" w:eastAsia="Arial" w:hAnsi="Arial"/>
          <w:sz w:val="24"/>
          <w:szCs w:val="24"/>
        </w:rPr>
        <w:t xml:space="preserve">Уже более 18 лет в республике не регистрируется полиомиелит, результатом чего стало присвоение Кыргызстану, наряду с другими странами Европейского региона, статуса страны, свободной от полиомиелита. Высокий уровень охвата рутинной иммунизацией против полиомиелита в нашей стране и проведенные дополнительные кампании иммунизации против этой инфекции в 2010-2011 годах предотвратили завоз в нашу страну дикого полиовируса с территории соседних государств и появление случаев паралитического полиомиелита.</w:t>
      </w:r>
    </w:p>
    <w:p>
      <w:pPr>
        <w:spacing w:after="120"/>
        <w:jc w:val="both"/>
      </w:pPr>
      <w:r>
        <w:rPr>
          <w:rFonts w:ascii="Arial" w:cs="Arial" w:eastAsia="Arial" w:hAnsi="Arial"/>
          <w:sz w:val="24"/>
          <w:szCs w:val="24"/>
        </w:rPr>
        <w:t xml:space="preserve">После тяжелой эпидемии дифтерии, охватившей республику в 1993-1997 годах, и принятых мер по иммунизации населения, заболеваемость доведена до единичных случаев, а последние четыре года не регистрируется совсем.</w:t>
      </w:r>
    </w:p>
    <w:p>
      <w:pPr>
        <w:spacing w:after="120"/>
        <w:jc w:val="both"/>
      </w:pPr>
      <w:r>
        <w:rPr>
          <w:rFonts w:ascii="Arial" w:cs="Arial" w:eastAsia="Arial" w:hAnsi="Arial"/>
          <w:sz w:val="24"/>
          <w:szCs w:val="24"/>
        </w:rPr>
        <w:t xml:space="preserve">Благодаря ежегодной плановой иммунизации не регистрируются случаи заболевания столбняком, более чем в 40 раз снижена заболеваемость корью и краснухой. Стоит задача по элиминации кори и краснухи, то есть доведению заболеваемости этими инфекциями до единичных случаев и предотвращению их широкого распространения.</w:t>
      </w:r>
    </w:p>
    <w:p>
      <w:pPr>
        <w:spacing w:after="120"/>
        <w:jc w:val="both"/>
      </w:pPr>
      <w:r>
        <w:rPr>
          <w:rFonts w:ascii="Arial" w:cs="Arial" w:eastAsia="Arial" w:hAnsi="Arial"/>
          <w:sz w:val="24"/>
          <w:szCs w:val="24"/>
        </w:rPr>
        <w:t xml:space="preserve">В 2009 году в республике внедрена новая вакцина против гемофильной инфекции, вызывающей менингиты и пневмонии у детей раннего возраста. Таким образом, спектр воздействия вакцин на другие инфекционные болезни расширяется.</w:t>
      </w:r>
    </w:p>
    <w:p>
      <w:pPr>
        <w:spacing w:after="120"/>
        <w:jc w:val="both"/>
      </w:pPr>
      <w:r>
        <w:rPr>
          <w:rFonts w:ascii="Arial" w:cs="Arial" w:eastAsia="Arial" w:hAnsi="Arial"/>
          <w:sz w:val="24"/>
          <w:szCs w:val="24"/>
        </w:rPr>
        <w:t xml:space="preserve">Достигнутые результаты свидетельствуют о том, что иммунизация является одним из самых эффективных и действенных вмешательств системы общественного здравоохранения.</w:t>
      </w:r>
    </w:p>
    <w:p>
      <w:pPr>
        <w:spacing w:after="120"/>
        <w:jc w:val="both"/>
      </w:pPr>
      <w:r>
        <w:rPr>
          <w:rFonts w:ascii="Arial" w:cs="Arial" w:eastAsia="Arial" w:hAnsi="Arial"/>
          <w:sz w:val="24"/>
          <w:szCs w:val="24"/>
        </w:rPr>
        <w:t xml:space="preserve">Эффективность иммунизации для общей популяции населения республики в плане предотвращения вспышек управляемых инфекций может быть гарантированной при охвате прививками более 95% декретированных групп населения, что требует учета в медицинских организациях всего населения. Вопрос систематического наблюдения части населения в организациях первичной медико-санитарной помощи осложняется из-за социальных проблем - высокого уровня внутренней миграции, особенно усилившейся в республике в последнее время.</w:t>
      </w:r>
    </w:p>
    <w:p>
      <w:pPr>
        <w:spacing w:after="120"/>
        <w:jc w:val="both"/>
      </w:pPr>
      <w:r>
        <w:rPr>
          <w:rFonts w:ascii="Arial" w:cs="Arial" w:eastAsia="Arial" w:hAnsi="Arial"/>
          <w:sz w:val="24"/>
          <w:szCs w:val="24"/>
        </w:rPr>
        <w:t xml:space="preserve">В настоящее время существуют проблемы в объемах средств, выделяемых из государственного бюджета на закупку вакцинных препаратов. С 2009 года, за счет донорской поддержки, закупается только одна из девяти видов обязательных вакцин (пентавалентная вакцина - АКДС+ВГВ+ХИБ), остальные восемь видов вакцин национального календаря прививок (БЦЖ, ОПВ, ВГВ, АКДС, КПК, ККВ, АДС, АДС-М) закупаются за счет средств республиканского бюджета. Несвоевременное выделение необходимых средств приводит к нежелательным перерывам в плановой иммунизации. Кроме того, недостаточное финансирование закупки вакцин исключает возможность сформировать обязательный 25% резервный запас вакцинных препаратов.</w:t>
      </w:r>
    </w:p>
    <w:p>
      <w:pPr>
        <w:spacing w:after="120"/>
        <w:jc w:val="both"/>
      </w:pPr>
      <w:r>
        <w:rPr>
          <w:rFonts w:ascii="Arial" w:cs="Arial" w:eastAsia="Arial" w:hAnsi="Arial"/>
          <w:sz w:val="24"/>
          <w:szCs w:val="24"/>
        </w:rPr>
        <w:t xml:space="preserve">Гарантией эпидемиологического благополучия в стране по инфекционным болезням, против которых имеются вакцины, является реализация основных стратегических направлений Программы, предусматривающей, в первую очередь, обеспечение финансирования мероприятий по иммунизации, повышение доступности для населения услуг иммунизации и качества этих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Принципы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Программы строятся с учетом опыта, накопленного в процессе реализации предыдущих программ иммунизации, мировой практики и региональных, эпидемиологических, социально-экономических особенностей страны, направленных на сохранение и укрепление здоровья населения Кыргызской Республики.</w:t>
      </w:r>
    </w:p>
    <w:p>
      <w:pPr>
        <w:spacing w:after="120"/>
        <w:jc w:val="both"/>
      </w:pPr>
      <w:r>
        <w:rPr>
          <w:rFonts w:ascii="Arial" w:cs="Arial" w:eastAsia="Arial" w:hAnsi="Arial"/>
          <w:sz w:val="24"/>
          <w:szCs w:val="24"/>
        </w:rPr>
        <w:t xml:space="preserve">К основным принципам Программы относятся:</w:t>
      </w:r>
    </w:p>
    <w:p>
      <w:pPr>
        <w:spacing w:after="120"/>
        <w:jc w:val="both"/>
      </w:pPr>
      <w:r>
        <w:rPr>
          <w:rFonts w:ascii="Arial" w:cs="Arial" w:eastAsia="Arial" w:hAnsi="Arial"/>
          <w:sz w:val="24"/>
          <w:szCs w:val="24"/>
        </w:rPr>
        <w:t xml:space="preserve">- достижение и охват иммунизацией групп населения, проживающих в труднодоступных районах;</w:t>
      </w:r>
    </w:p>
    <w:p>
      <w:pPr>
        <w:spacing w:after="120"/>
        <w:jc w:val="both"/>
      </w:pPr>
      <w:r>
        <w:rPr>
          <w:rFonts w:ascii="Arial" w:cs="Arial" w:eastAsia="Arial" w:hAnsi="Arial"/>
          <w:sz w:val="24"/>
          <w:szCs w:val="24"/>
        </w:rPr>
        <w:t xml:space="preserve">- внедрение и широкое использование новых вакцин и технологий;</w:t>
      </w:r>
    </w:p>
    <w:p>
      <w:pPr>
        <w:spacing w:after="120"/>
        <w:jc w:val="both"/>
      </w:pPr>
      <w:r>
        <w:rPr>
          <w:rFonts w:ascii="Arial" w:cs="Arial" w:eastAsia="Arial" w:hAnsi="Arial"/>
          <w:sz w:val="24"/>
          <w:szCs w:val="24"/>
        </w:rPr>
        <w:t xml:space="preserve">- интеграция иммунизации в общие системы здравоохранения;</w:t>
      </w:r>
    </w:p>
    <w:p>
      <w:pPr>
        <w:spacing w:after="120"/>
        <w:jc w:val="both"/>
      </w:pPr>
      <w:r>
        <w:rPr>
          <w:rFonts w:ascii="Arial" w:cs="Arial" w:eastAsia="Arial" w:hAnsi="Arial"/>
          <w:sz w:val="24"/>
          <w:szCs w:val="24"/>
        </w:rPr>
        <w:t xml:space="preserve">- сотрудничество в области иммунизации в условиях глобальной взаимозависимости.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Управление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Программой на республиканском уровне осуществляет Министерство здравоохранения Кыргызской Республики (далее - Министерство здравоохранения) через Республиканский центр иммунопрофилактики (далее - РЦИ), который является координирующим, организационно-методическим, консультативным и контролирующим органом по разработке, внедрению и мониторингу всего комплекса мероприятий по профилактике инфекций, от которых имеются вакцины.</w:t>
      </w:r>
    </w:p>
    <w:p>
      <w:pPr>
        <w:spacing w:after="120"/>
        <w:jc w:val="both"/>
      </w:pPr>
      <w:r>
        <w:rPr>
          <w:rFonts w:ascii="Arial" w:cs="Arial" w:eastAsia="Arial" w:hAnsi="Arial"/>
          <w:sz w:val="24"/>
          <w:szCs w:val="24"/>
        </w:rPr>
        <w:t xml:space="preserve">РЦИ выступает гарантом эффективной и оперативной работы по реализации Программы, объединяя и координируя ресурсы и мероприятия, содействующие снижению заболеваемости, инвалидности и смертности от вакциноуправляемых инфекций.</w:t>
      </w:r>
    </w:p>
    <w:p>
      <w:pPr>
        <w:spacing w:after="120"/>
        <w:jc w:val="both"/>
      </w:pPr>
      <w:r>
        <w:rPr>
          <w:rFonts w:ascii="Arial" w:cs="Arial" w:eastAsia="Arial" w:hAnsi="Arial"/>
          <w:sz w:val="24"/>
          <w:szCs w:val="24"/>
        </w:rPr>
        <w:t xml:space="preserve">Мероприятия в рамках Программы и Плана мероприятий по ее реализации реализуются Министерством здравоохранения на всех уровнях лечебно-профилактических организаций республики, включая первичное звено и госпитальную службу, а также в организациях общественного здравоохранения.</w:t>
      </w:r>
    </w:p>
    <w:p>
      <w:pPr>
        <w:spacing w:after="120"/>
        <w:jc w:val="both"/>
      </w:pPr>
      <w:r>
        <w:rPr>
          <w:rFonts w:ascii="Arial" w:cs="Arial" w:eastAsia="Arial" w:hAnsi="Arial"/>
          <w:sz w:val="24"/>
          <w:szCs w:val="24"/>
        </w:rPr>
        <w:t xml:space="preserve">Координация Программы на национальном уровне осуществляется через Республиканский прививочный комитет и Научно-техническую группу экспертов по иммунопрофилактике, в состав которых входят руководители структурных подразделений Министерства здравоохранения, ведущие специалисты республиканских медицинских организаций, задействованных в реализации Программы.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РЦИ в рамках Программы в течение многих лет тесно сотрудничает по вопросам иммунизации с международными организациями, такими как ВОЗ, ЮНИСЕФ, ГАВИ, JICA, АБР и другими, в частности в приобретении иммунобиологических препаратов, холодового оборудования и транспорта для иммунизации детей Кыргызской Республики. Кроме того, оказывается консультативно-методическая помощь при проведении мероприятий по безопасной практике иммунизации и социальной мобилизации, дополнительных кампаний иммунизации. В рамках сотрудничества осуществляется взаимный обмен информацией, нормативной документацией в области иммунизации, а также проводятся обучение специалистов, повышение их квалификации, совместные исследовательские работы, международные конференции, семинары и другие мероприятия, направленные на охрану и укрепление здоровья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Программы является снижение заболеваемости и смертности от предупреждаемых с помощью вакцин инфекционных болезней посредством обеспечения устойчивого охвата населения иммунизацией, повышения доступа к вакцинам гарантированного качества и активной пропаганды иммунизации на основе доказательной медицины, а также достижение к 2015 году Целей развития тысячелетия.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Стратегические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Стратегические направления Программы определяют государственную политику Кыргызской Республики в достижении Глобальных целей ВОЗ по снижению заболеваемости и смертности от вакциноуправляемых инфекционных болезней, а также в устойчивом и поступательном развитии службы иммунизации.</w:t>
      </w:r>
    </w:p>
    <w:p>
      <w:pPr>
        <w:spacing w:after="120"/>
        <w:jc w:val="both"/>
      </w:pPr>
      <w:r>
        <w:rPr>
          <w:rFonts w:ascii="Arial" w:cs="Arial" w:eastAsia="Arial" w:hAnsi="Arial"/>
          <w:sz w:val="24"/>
          <w:szCs w:val="24"/>
        </w:rPr>
        <w:t xml:space="preserve">Ключевые стратегические направления Программы включают в себя:</w:t>
      </w:r>
    </w:p>
    <w:p>
      <w:pPr>
        <w:spacing w:after="120"/>
        <w:jc w:val="both"/>
      </w:pPr>
      <w:r>
        <w:rPr>
          <w:rFonts w:ascii="Arial" w:cs="Arial" w:eastAsia="Arial" w:hAnsi="Arial"/>
          <w:sz w:val="24"/>
          <w:szCs w:val="24"/>
        </w:rPr>
        <w:t xml:space="preserve">1. Усиление политической приверженности программе иммунизации и обеспечение ее финансовой устойчивости.</w:t>
      </w:r>
    </w:p>
    <w:p>
      <w:pPr>
        <w:spacing w:after="120"/>
        <w:jc w:val="both"/>
      </w:pPr>
      <w:r>
        <w:rPr>
          <w:rFonts w:ascii="Arial" w:cs="Arial" w:eastAsia="Arial" w:hAnsi="Arial"/>
          <w:sz w:val="24"/>
          <w:szCs w:val="24"/>
        </w:rPr>
        <w:t xml:space="preserve">2. Внедрение новых вакцин против пневмококковой и ротавирусной инфекций.</w:t>
      </w:r>
    </w:p>
    <w:p>
      <w:pPr>
        <w:spacing w:after="120"/>
        <w:jc w:val="both"/>
      </w:pPr>
      <w:r>
        <w:rPr>
          <w:rFonts w:ascii="Arial" w:cs="Arial" w:eastAsia="Arial" w:hAnsi="Arial"/>
          <w:sz w:val="24"/>
          <w:szCs w:val="24"/>
        </w:rPr>
        <w:t xml:space="preserve">3. Улучшение инфраструктуры и материально-технической базы системы транспортировки, хранения и использования вакцин.</w:t>
      </w:r>
    </w:p>
    <w:p>
      <w:pPr>
        <w:spacing w:after="120"/>
        <w:jc w:val="both"/>
      </w:pPr>
      <w:r>
        <w:rPr>
          <w:rFonts w:ascii="Arial" w:cs="Arial" w:eastAsia="Arial" w:hAnsi="Arial"/>
          <w:sz w:val="24"/>
          <w:szCs w:val="24"/>
        </w:rPr>
        <w:t xml:space="preserve">4. Повышение доступности для населения услуг иммунизации и поддержание высокого уровня охвата профилактическими прививками.</w:t>
      </w:r>
    </w:p>
    <w:p>
      <w:pPr>
        <w:spacing w:after="120"/>
        <w:jc w:val="both"/>
      </w:pPr>
      <w:r>
        <w:rPr>
          <w:rFonts w:ascii="Arial" w:cs="Arial" w:eastAsia="Arial" w:hAnsi="Arial"/>
          <w:sz w:val="24"/>
          <w:szCs w:val="24"/>
        </w:rPr>
        <w:t xml:space="preserve">5. Обеспечение качества и безопасности услуг по иммунизации.</w:t>
      </w:r>
    </w:p>
    <w:p>
      <w:pPr>
        <w:spacing w:after="120"/>
        <w:jc w:val="both"/>
      </w:pPr>
      <w:r>
        <w:rPr>
          <w:rFonts w:ascii="Arial" w:cs="Arial" w:eastAsia="Arial" w:hAnsi="Arial"/>
          <w:sz w:val="24"/>
          <w:szCs w:val="24"/>
        </w:rPr>
        <w:t xml:space="preserve">6. Повышение эффективности мониторинга и управления данными по иммунизации.</w:t>
      </w:r>
    </w:p>
    <w:p>
      <w:pPr>
        <w:spacing w:after="120"/>
        <w:jc w:val="both"/>
      </w:pPr>
      <w:r>
        <w:rPr>
          <w:rFonts w:ascii="Arial" w:cs="Arial" w:eastAsia="Arial" w:hAnsi="Arial"/>
          <w:sz w:val="24"/>
          <w:szCs w:val="24"/>
        </w:rPr>
        <w:t xml:space="preserve">7. Обеспечение комплекса мероприятий, направленных на достижение цели элиминации кори и краснухи и поддержание статуса страны, свободной от полиомиелита.</w:t>
      </w:r>
    </w:p>
    <w:p>
      <w:pPr>
        <w:spacing w:after="120"/>
        <w:jc w:val="both"/>
      </w:pPr>
      <w:r>
        <w:rPr>
          <w:rFonts w:ascii="Arial" w:cs="Arial" w:eastAsia="Arial" w:hAnsi="Arial"/>
          <w:sz w:val="24"/>
          <w:szCs w:val="24"/>
        </w:rPr>
        <w:t xml:space="preserve">8. Совершенствование систем надзора за вакциноуправляемыми инфекциями.</w:t>
      </w:r>
    </w:p>
    <w:p>
      <w:pPr>
        <w:spacing w:after="120"/>
        <w:jc w:val="both"/>
      </w:pPr>
      <w:r>
        <w:rPr>
          <w:rFonts w:ascii="Arial" w:cs="Arial" w:eastAsia="Arial" w:hAnsi="Arial"/>
          <w:sz w:val="24"/>
          <w:szCs w:val="24"/>
        </w:rPr>
        <w:t xml:space="preserve">9. Усиление кадрового потенциала и повышение эффективности управления Программой.</w:t>
      </w:r>
    </w:p>
    <w:p>
      <w:pPr>
        <w:spacing w:after="120"/>
        <w:jc w:val="both"/>
      </w:pPr>
      <w:r>
        <w:rPr>
          <w:rFonts w:ascii="Arial" w:cs="Arial" w:eastAsia="Arial" w:hAnsi="Arial"/>
          <w:sz w:val="24"/>
          <w:szCs w:val="24"/>
        </w:rPr>
        <w:t xml:space="preserve">10. Социальная мобилизация и активная пропаганда иммунизации среди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Усиление политической приверженности программе иммунизации и обеспечение ее финансовой устойчивости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Благодаря проведению плановой иммунизации населения, в Кыргызстане снизился уровень заболеваемости и смертности от вакциноуправляемых инфекций.</w:t>
      </w:r>
    </w:p>
    <w:p>
      <w:pPr>
        <w:spacing w:after="120"/>
        <w:jc w:val="both"/>
      </w:pPr>
      <w:r>
        <w:rPr>
          <w:rFonts w:ascii="Arial" w:cs="Arial" w:eastAsia="Arial" w:hAnsi="Arial"/>
          <w:sz w:val="24"/>
          <w:szCs w:val="24"/>
        </w:rPr>
        <w:t xml:space="preserve">Кыргызская Республика в целях экономии расходования бюджетных средств вынуждена закупать более дешевые вакцины в многодозной расфасовке, что влияет на качество и доступность медицинских услуг населению, а также формирование резервного запаса вакцин. Важным в процессе иммунизации является соблюдение сроков вакцинации.</w:t>
      </w:r>
    </w:p>
    <w:p>
      <w:pPr>
        <w:spacing w:after="120"/>
        <w:jc w:val="both"/>
      </w:pPr>
      <w:r>
        <w:rPr>
          <w:rFonts w:ascii="Arial" w:cs="Arial" w:eastAsia="Arial" w:hAnsi="Arial"/>
          <w:sz w:val="24"/>
          <w:szCs w:val="24"/>
        </w:rPr>
        <w:t xml:space="preserve">Из общего объема финансирования закупка вакцин и шприцев занимает более 50% от всех затрат на программу иммунизации, хотя важное место в ней занимают другие компоненты, без реализации которых невозможно проведение качественной иммунизации населения страны. Это, в первую очередь, система холодовой цепи, без которой невозможно обеспечить качество вакцин, поступающих в республику. На поддержку работы холодовой цепи приходится около 17% от всех затрат на программу иммунизации.</w:t>
      </w:r>
    </w:p>
    <w:p>
      <w:pPr>
        <w:spacing w:after="120"/>
        <w:jc w:val="both"/>
      </w:pPr>
      <w:r>
        <w:rPr>
          <w:rFonts w:ascii="Arial" w:cs="Arial" w:eastAsia="Arial" w:hAnsi="Arial"/>
          <w:sz w:val="24"/>
          <w:szCs w:val="24"/>
        </w:rPr>
        <w:t xml:space="preserve">Другими компонентами Программы являются вопросы эффективной организации прививочной работы в лечебно-профилактических организациях, правила транспортировки вакцинных препаратов, соблюдение стандартов безопасной практики иммунизации, эффективный мониторинг программы, эпидемиологический надзор за вакциноуправляемыми инфекциями, реализация мероприятий по социальной мобилизации и активной пропаганде иммунизации среди населения. Реализация вышеперечисленных компонентов в рамках Программы за счет средств республиканского бюджета поддерживается только на уровне 10%, и практически на 90% зависит от донорской помощи.</w:t>
      </w:r>
    </w:p>
    <w:p>
      <w:pPr>
        <w:spacing w:after="120"/>
        <w:jc w:val="both"/>
      </w:pPr>
      <w:r>
        <w:rPr>
          <w:rFonts w:ascii="Arial" w:cs="Arial" w:eastAsia="Arial" w:hAnsi="Arial"/>
          <w:sz w:val="24"/>
          <w:szCs w:val="24"/>
        </w:rPr>
        <w:t xml:space="preserve">Результаты исследования Республиканского центра развития здравоохранения и информационных технологий Министерства здравоохранения в 2010 году показали, что стоимость лечения одного случая заболеваемости корью составляет около 4500 сомов, в то время, как расходы на вакцинацию против кори составляют около 50 сомов на человека.</w:t>
      </w:r>
    </w:p>
    <w:p>
      <w:pPr>
        <w:spacing w:after="120"/>
        <w:jc w:val="both"/>
      </w:pPr>
      <w:r>
        <w:rPr>
          <w:rFonts w:ascii="Arial" w:cs="Arial" w:eastAsia="Arial" w:hAnsi="Arial"/>
          <w:sz w:val="24"/>
          <w:szCs w:val="24"/>
        </w:rPr>
        <w:t xml:space="preserve">Синхронизация основных мероприятий Программы с Национальной программой реформирования здравоохранения Кыргызской Республики "Ден соолук" на 2012-2016 годы, утвержденной постановлением Правительства Кыргызской Республики от 24 мая 2012 года № 309, позволит конкретизировать мероприятия по иммунопрофилактике при планировании работ, консолидировать усилия в мобилизации необходимых для реализации программы ресурсов.</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Признание иммунизации приоритетным направлением в системе здравоохранения на государственном уровне для выполнения финансовых обязательств.</w:t>
      </w:r>
    </w:p>
    <w:p>
      <w:pPr>
        <w:spacing w:after="120"/>
        <w:jc w:val="both"/>
      </w:pPr>
      <w:r>
        <w:rPr>
          <w:rFonts w:ascii="Arial" w:cs="Arial" w:eastAsia="Arial" w:hAnsi="Arial"/>
          <w:sz w:val="24"/>
          <w:szCs w:val="24"/>
        </w:rPr>
        <w:t xml:space="preserve">2) Обеспечение защиты программы иммунизации от финансовых рисков.</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Поддержка и защита идей иммунизации, повышение осведомленности лиц, принимающих политические решения, относительно важности, пользы и выгод от инвестиций в программу иммунизации.</w:t>
      </w:r>
    </w:p>
    <w:p>
      <w:pPr>
        <w:spacing w:after="120"/>
        <w:jc w:val="both"/>
      </w:pPr>
      <w:r>
        <w:rPr>
          <w:rFonts w:ascii="Arial" w:cs="Arial" w:eastAsia="Arial" w:hAnsi="Arial"/>
          <w:sz w:val="24"/>
          <w:szCs w:val="24"/>
        </w:rPr>
        <w:t xml:space="preserve">2) Повышение надежности и обеспечение гарантированного бюджетного финансирования закупок вакцинных препаратов и шприцев в рамках национального календаря профилактических прививок.</w:t>
      </w:r>
    </w:p>
    <w:p>
      <w:pPr>
        <w:spacing w:after="120"/>
        <w:jc w:val="both"/>
      </w:pPr>
      <w:r>
        <w:rPr>
          <w:rFonts w:ascii="Arial" w:cs="Arial" w:eastAsia="Arial" w:hAnsi="Arial"/>
          <w:sz w:val="24"/>
          <w:szCs w:val="24"/>
        </w:rPr>
        <w:t xml:space="preserve">3) Обеспечение устойчивого финансирования компонентов Программы, помимо расходов на закупку вакцин и шприцев.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новых вакцин против пневмококковой и ротавирусной инфекций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задачи по снижению детской смертности на 2/3 за период до 2015 года, поставленной в соответствии с Целями развития тысячелетия (ЦРТ 4) и закрепленной в Декларации тысячелетия, по мнению ВОЗ, необходимо достигнуть эффективного ведения больных детей и более широко использовать возможности иммунизации. Ожидается, что при внедрении новых вакцин от пневмококковой и ротавирусной инфекций уровень детской смертности снизится на 40-50%.</w:t>
      </w:r>
    </w:p>
    <w:p>
      <w:pPr>
        <w:spacing w:after="120"/>
        <w:jc w:val="both"/>
      </w:pPr>
      <w:r>
        <w:rPr>
          <w:rFonts w:ascii="Arial" w:cs="Arial" w:eastAsia="Arial" w:hAnsi="Arial"/>
          <w:sz w:val="24"/>
          <w:szCs w:val="24"/>
        </w:rPr>
        <w:t xml:space="preserve">Кыргызская Республика поддерживает стратегию ВОЗ по применению новых вакцин против вируса папилломы человека, от пневмококковой и ротавирусной инфекций.</w:t>
      </w:r>
    </w:p>
    <w:p>
      <w:pPr>
        <w:spacing w:after="120"/>
        <w:jc w:val="both"/>
      </w:pPr>
      <w:r>
        <w:rPr>
          <w:rFonts w:ascii="Arial" w:cs="Arial" w:eastAsia="Arial" w:hAnsi="Arial"/>
          <w:sz w:val="24"/>
          <w:szCs w:val="24"/>
        </w:rPr>
        <w:t xml:space="preserve">Проведенные совместные исследования ВОЗ и института онкологии ICO (Испания, Барселона) в Кыргызстане в сентябре 2010 года показали, что в республике заболеваемость женщин раком шейки матки занимает третье место в общей структуре онкологических заболеваний и второе место после заболеваний раком груди среди женщин. Интенсивный показатель заболеваемости раком шейки матки в Кыргызстане соответствует 20,4 на 100 тысяч женщин, что в 1,6 раза превышает средний показатель по странам Средней Азии и в 1,3 раза превышает среднемировой уровень.</w:t>
      </w:r>
    </w:p>
    <w:p>
      <w:pPr>
        <w:spacing w:after="120"/>
        <w:jc w:val="both"/>
      </w:pPr>
      <w:r>
        <w:rPr>
          <w:rFonts w:ascii="Arial" w:cs="Arial" w:eastAsia="Arial" w:hAnsi="Arial"/>
          <w:sz w:val="24"/>
          <w:szCs w:val="24"/>
        </w:rPr>
        <w:t xml:space="preserve">Ежегодно в Кыргызской Республике регистрируется около 560 новых случаев заболеваний раком шейки матки, причем 2/3 случаев из них - в возрасте от 15 до 44 лет, 280 из которых заканчиваются смертью.</w:t>
      </w:r>
    </w:p>
    <w:p>
      <w:pPr>
        <w:spacing w:after="120"/>
        <w:jc w:val="both"/>
      </w:pPr>
      <w:r>
        <w:rPr>
          <w:rFonts w:ascii="Arial" w:cs="Arial" w:eastAsia="Arial" w:hAnsi="Arial"/>
          <w:sz w:val="24"/>
          <w:szCs w:val="24"/>
        </w:rPr>
        <w:t xml:space="preserve">Высокие показатели заболеваемости пневмонией и острыми респираторными инфекциями нижних отделов легких детей до 1 года и смертность от болезней органов дыхания в этой возрастной группе до 14% от общего количества смертей предопределяют применение пневмококковой вакцины детям с 2-х месячного возраста.</w:t>
      </w:r>
    </w:p>
    <w:p>
      <w:pPr>
        <w:spacing w:after="120"/>
        <w:jc w:val="both"/>
      </w:pPr>
      <w:r>
        <w:rPr>
          <w:rFonts w:ascii="Arial" w:cs="Arial" w:eastAsia="Arial" w:hAnsi="Arial"/>
          <w:sz w:val="24"/>
          <w:szCs w:val="24"/>
        </w:rPr>
        <w:t xml:space="preserve">Применение ротавирусной вакцины позволит снизить высокие показатели тяжелых форм диареи, наличие которой у детей до года, по данным эпиднадзора, составляет до 25% случаев.</w:t>
      </w:r>
    </w:p>
    <w:p>
      <w:pPr>
        <w:spacing w:after="120"/>
        <w:jc w:val="both"/>
      </w:pPr>
      <w:r>
        <w:rPr>
          <w:rFonts w:ascii="Arial" w:cs="Arial" w:eastAsia="Arial" w:hAnsi="Arial"/>
          <w:sz w:val="24"/>
          <w:szCs w:val="24"/>
        </w:rPr>
        <w:t xml:space="preserve">Однако в настоящее время существуют вопросы по инфраструктуре и материально-технической базе систем транспортировки, хранения вакцин, не позволяющих хранить их в строго определенных температурных условиях. Только 30% прививочных пунктов обеспечены специализированными холодильниками для хранения вакцин, 59% - используют для этих целей бытовые холодильники, 11% - не имеют холодильного оборудования и используют для хранения вакцин термоконтейнеры. Имеет место доставка вакцин медицинскими сестрами на общественном транспорте, что может отразиться в последующем на качестве услуг.</w:t>
      </w:r>
    </w:p>
    <w:p>
      <w:pPr>
        <w:spacing w:after="120"/>
        <w:jc w:val="both"/>
      </w:pPr>
      <w:r>
        <w:rPr>
          <w:rFonts w:ascii="Arial" w:cs="Arial" w:eastAsia="Arial" w:hAnsi="Arial"/>
          <w:sz w:val="24"/>
          <w:szCs w:val="24"/>
        </w:rPr>
        <w:t xml:space="preserve">Применение пневмококковой и ротавирусной вакцин потребует значительных дополнительных капиталовложений в холодовую цепь - начиная от центрального вакцинного склада и заканчивая сумками-холодильниками для транспортировки вакцин, которыми должны быть обеспечены медицинские работники, проводящие вакцинацию.</w:t>
      </w:r>
    </w:p>
    <w:p>
      <w:pPr>
        <w:spacing w:after="120"/>
        <w:jc w:val="both"/>
      </w:pPr>
      <w:r>
        <w:rPr>
          <w:rFonts w:ascii="Arial" w:cs="Arial" w:eastAsia="Arial" w:hAnsi="Arial"/>
          <w:sz w:val="24"/>
          <w:szCs w:val="24"/>
        </w:rPr>
        <w:t xml:space="preserve">Для окончательного и обоснованного принятия решения о введении новых вакцин необходима большая подготовительная работа. Необходимо проанализировать материально-технический и кадровый потенциал медицинских организаций, интегрированных в службу иммунизации, разработать нормативные документы и руководства по безопасному применению новых вакцин, провести информационно-разъяснительную и обучающую работу с руководителями организаций здравоохранения и медицинскими работниками. Кроме этого требуется подготовить информационно-образовательные программы для информирования населения. Все это невозможно провести без определения источников финансирования и в рамках настоящей Программы.</w:t>
      </w:r>
    </w:p>
    <w:p>
      <w:pPr>
        <w:spacing w:after="120"/>
        <w:jc w:val="both"/>
      </w:pPr>
      <w:r>
        <w:rPr>
          <w:rFonts w:ascii="Arial" w:cs="Arial" w:eastAsia="Arial" w:hAnsi="Arial"/>
          <w:sz w:val="24"/>
          <w:szCs w:val="24"/>
        </w:rPr>
        <w:t xml:space="preserve">Задача:</w:t>
      </w:r>
    </w:p>
    <w:p>
      <w:pPr>
        <w:spacing w:after="120"/>
        <w:jc w:val="both"/>
      </w:pPr>
      <w:r>
        <w:rPr>
          <w:rFonts w:ascii="Arial" w:cs="Arial" w:eastAsia="Arial" w:hAnsi="Arial"/>
          <w:sz w:val="24"/>
          <w:szCs w:val="24"/>
        </w:rPr>
        <w:t xml:space="preserve">Проведение подготовительной работы по включению новых вакцин в национальный календарь прививок.</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Определение доноров для гарантированной финансовой поддержки и условий закупок новых вакцин.</w:t>
      </w:r>
    </w:p>
    <w:p>
      <w:pPr>
        <w:spacing w:after="120"/>
        <w:jc w:val="both"/>
      </w:pPr>
      <w:r>
        <w:rPr>
          <w:rFonts w:ascii="Arial" w:cs="Arial" w:eastAsia="Arial" w:hAnsi="Arial"/>
          <w:sz w:val="24"/>
          <w:szCs w:val="24"/>
        </w:rPr>
        <w:t xml:space="preserve">2) Оснащение дополнительным специализированным холодовым оборудованием для хранения и транспортировки вакцинных препаратов при применении новых вакцин.</w:t>
      </w:r>
    </w:p>
    <w:p>
      <w:pPr>
        <w:spacing w:after="120"/>
        <w:jc w:val="both"/>
      </w:pPr>
      <w:r>
        <w:rPr>
          <w:rFonts w:ascii="Arial" w:cs="Arial" w:eastAsia="Arial" w:hAnsi="Arial"/>
          <w:sz w:val="24"/>
          <w:szCs w:val="24"/>
        </w:rPr>
        <w:t xml:space="preserve">3) Разработка и использование систем эпиднадзора и мониторинга за случаями заболеваний пневмонией и диареей детей до 5 лет в целях обоснования в последующем применения новых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инфраструктуры и материально-технической базы систем транспортировки, хранения и использования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Материально-техническое обеспечение имеет решающее значение для нормального функционирования Программы, поскольку гарантирует своевременную доставку вакцин в необходимых количествах и в надлежащем состоянии на уровень каждого прививочного пункта.</w:t>
      </w:r>
    </w:p>
    <w:p>
      <w:pPr>
        <w:spacing w:after="120"/>
        <w:jc w:val="both"/>
      </w:pPr>
      <w:r>
        <w:rPr>
          <w:rFonts w:ascii="Arial" w:cs="Arial" w:eastAsia="Arial" w:hAnsi="Arial"/>
          <w:sz w:val="24"/>
          <w:szCs w:val="24"/>
        </w:rPr>
        <w:t xml:space="preserve">Плохо функционирующая система материально-технического снабжения может привести к необоснованным потерям вакцины, отсутствию на складах и сокращению количества иммунизированных детей.</w:t>
      </w:r>
    </w:p>
    <w:p>
      <w:pPr>
        <w:spacing w:after="120"/>
        <w:jc w:val="both"/>
      </w:pPr>
      <w:r>
        <w:rPr>
          <w:rFonts w:ascii="Arial" w:cs="Arial" w:eastAsia="Arial" w:hAnsi="Arial"/>
          <w:sz w:val="24"/>
          <w:szCs w:val="24"/>
        </w:rPr>
        <w:t xml:space="preserve">Главная роль в сохранении качества вакцин, поступающих в республику, на всех этапах хранения и транспортировки принадлежит холодовой цепи.</w:t>
      </w:r>
    </w:p>
    <w:p>
      <w:pPr>
        <w:spacing w:after="120"/>
        <w:jc w:val="both"/>
      </w:pPr>
      <w:r>
        <w:rPr>
          <w:rFonts w:ascii="Arial" w:cs="Arial" w:eastAsia="Arial" w:hAnsi="Arial"/>
          <w:sz w:val="24"/>
          <w:szCs w:val="24"/>
        </w:rPr>
        <w:t xml:space="preserve">В систему холодовой цепи республики входят центральный и региональный вакцинные склады.</w:t>
      </w:r>
    </w:p>
    <w:p>
      <w:pPr>
        <w:spacing w:after="120"/>
        <w:jc w:val="both"/>
      </w:pPr>
      <w:r>
        <w:rPr>
          <w:rFonts w:ascii="Arial" w:cs="Arial" w:eastAsia="Arial" w:hAnsi="Arial"/>
          <w:sz w:val="24"/>
          <w:szCs w:val="24"/>
        </w:rPr>
        <w:t xml:space="preserve">Региональные вакцинные склады находятся на уровне районных и городских организаций общественного здравоохранения, где хранится квартальный запас вакцин для населения.</w:t>
      </w:r>
    </w:p>
    <w:p>
      <w:pPr>
        <w:spacing w:after="120"/>
        <w:jc w:val="both"/>
      </w:pPr>
      <w:r>
        <w:rPr>
          <w:rFonts w:ascii="Arial" w:cs="Arial" w:eastAsia="Arial" w:hAnsi="Arial"/>
          <w:sz w:val="24"/>
          <w:szCs w:val="24"/>
        </w:rPr>
        <w:t xml:space="preserve">На уровне прививочного пункта хранится запас вакцин, необходимый для ежемесячной иммунизации населения, обслуживаемого центром семейной медицины, группой семейных врачей или фельдшерско-акушерским пунктом.</w:t>
      </w:r>
    </w:p>
    <w:p>
      <w:pPr>
        <w:spacing w:after="120"/>
        <w:jc w:val="both"/>
      </w:pPr>
      <w:r>
        <w:rPr>
          <w:rFonts w:ascii="Arial" w:cs="Arial" w:eastAsia="Arial" w:hAnsi="Arial"/>
          <w:sz w:val="24"/>
          <w:szCs w:val="24"/>
        </w:rPr>
        <w:t xml:space="preserve">Все вакцинные склады республики обеспечены специализированным холодовым оборудованием достаточного объема, позволяющим хранить все вакцины в строго определенных температурных условиях.</w:t>
      </w:r>
    </w:p>
    <w:p>
      <w:pPr>
        <w:spacing w:after="120"/>
        <w:jc w:val="both"/>
      </w:pPr>
      <w:r>
        <w:rPr>
          <w:rFonts w:ascii="Arial" w:cs="Arial" w:eastAsia="Arial" w:hAnsi="Arial"/>
          <w:sz w:val="24"/>
          <w:szCs w:val="24"/>
        </w:rPr>
        <w:t xml:space="preserve">Доставка вакцин с центрального вакцинного склада до регионов республики осуществляется авторефрижераторами с соблюдением холодовой цепи.</w:t>
      </w:r>
    </w:p>
    <w:p>
      <w:pPr>
        <w:spacing w:after="120"/>
        <w:jc w:val="both"/>
      </w:pPr>
      <w:r>
        <w:rPr>
          <w:rFonts w:ascii="Arial" w:cs="Arial" w:eastAsia="Arial" w:hAnsi="Arial"/>
          <w:sz w:val="24"/>
          <w:szCs w:val="24"/>
        </w:rPr>
        <w:t xml:space="preserve">Особую актуальность система холодовой цепи приобретает в период применения новых вакцин. Результаты анализа, проведенного ЮНИСЕФ, показали, что при включении в календарь прививок новых вакцин - ротавирусной, пневмококковой и пентавалентной, объем вакцин на одного ребенка увеличивается в три раза - с 60 куб.см до 180 куб.см. Соответственно должен быть увеличен объем холодового оборудования.</w:t>
      </w:r>
    </w:p>
    <w:p>
      <w:pPr>
        <w:spacing w:after="120"/>
        <w:jc w:val="both"/>
      </w:pPr>
      <w:r>
        <w:rPr>
          <w:rFonts w:ascii="Arial" w:cs="Arial" w:eastAsia="Arial" w:hAnsi="Arial"/>
          <w:sz w:val="24"/>
          <w:szCs w:val="24"/>
        </w:rPr>
        <w:t xml:space="preserve">Необходимо более рационально использовать специализированный автотранспорт, имеющийся на балансе районных/городских организаций общественного здравоохранения для доставки вакцин, а также приобрести дополнительный автотранспорт высокой проходимости для транспортировки вакцин в труднодоступные горные районы республики.</w:t>
      </w:r>
    </w:p>
    <w:p>
      <w:pPr>
        <w:spacing w:after="120"/>
        <w:jc w:val="both"/>
      </w:pPr>
      <w:r>
        <w:rPr>
          <w:rFonts w:ascii="Arial" w:cs="Arial" w:eastAsia="Arial" w:hAnsi="Arial"/>
          <w:sz w:val="24"/>
          <w:szCs w:val="24"/>
        </w:rPr>
        <w:t xml:space="preserve">Должно быть закуплено и установлено на вакцинных складах недостающее дополнительное холодильное оборудование, которое позволит более тщательно подготовиться к внедрению новых вакцин в республике в будущем. Отсутствие адекватных объемов холодовой цепи для размещения вакцин может привести к их порче или снижению эффективности, что повлечет за собой большие финансовые потери.</w:t>
      </w:r>
    </w:p>
    <w:p>
      <w:pPr>
        <w:spacing w:after="120"/>
        <w:jc w:val="both"/>
      </w:pPr>
      <w:r>
        <w:rPr>
          <w:rFonts w:ascii="Arial" w:cs="Arial" w:eastAsia="Arial" w:hAnsi="Arial"/>
          <w:sz w:val="24"/>
          <w:szCs w:val="24"/>
        </w:rPr>
        <w:t xml:space="preserve">Задача:</w:t>
      </w:r>
    </w:p>
    <w:p>
      <w:pPr>
        <w:spacing w:after="120"/>
        <w:jc w:val="both"/>
      </w:pPr>
      <w:r>
        <w:rPr>
          <w:rFonts w:ascii="Arial" w:cs="Arial" w:eastAsia="Arial" w:hAnsi="Arial"/>
          <w:sz w:val="24"/>
          <w:szCs w:val="24"/>
        </w:rPr>
        <w:t xml:space="preserve">Сохранение качества вакцинных препаратов на всех этапах их хранения и транспортировки.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Регулярное обновление холодовой цепи путем закупки дополнительного специализированного холодового оборудования для всех уровней службы иммунизации.</w:t>
      </w:r>
    </w:p>
    <w:p>
      <w:pPr>
        <w:spacing w:after="120"/>
        <w:jc w:val="both"/>
      </w:pPr>
      <w:r>
        <w:rPr>
          <w:rFonts w:ascii="Arial" w:cs="Arial" w:eastAsia="Arial" w:hAnsi="Arial"/>
          <w:sz w:val="24"/>
          <w:szCs w:val="24"/>
        </w:rPr>
        <w:t xml:space="preserve">2) Обеспечение технического обслуживания холодового оборудования, используемого службой иммунизации.</w:t>
      </w:r>
    </w:p>
    <w:p>
      <w:pPr>
        <w:spacing w:after="120"/>
        <w:jc w:val="both"/>
      </w:pPr>
      <w:r>
        <w:rPr>
          <w:rFonts w:ascii="Arial" w:cs="Arial" w:eastAsia="Arial" w:hAnsi="Arial"/>
          <w:sz w:val="24"/>
          <w:szCs w:val="24"/>
        </w:rPr>
        <w:t xml:space="preserve">3) Обеспечение надлежащих условий транспортировки вакцинных препаратов от центрального уровня до прививочных пунктов.</w:t>
      </w:r>
    </w:p>
    <w:p>
      <w:pPr>
        <w:spacing w:after="120"/>
        <w:jc w:val="both"/>
      </w:pPr>
      <w:r>
        <w:rPr>
          <w:rFonts w:ascii="Arial" w:cs="Arial" w:eastAsia="Arial" w:hAnsi="Arial"/>
          <w:sz w:val="24"/>
          <w:szCs w:val="24"/>
        </w:rPr>
        <w:t xml:space="preserve">4) Совершенствование системы мониторинга температурного режима хранения вакцин на всех уровнях службы иммунизации.</w:t>
      </w:r>
    </w:p>
    <w:p>
      <w:pPr>
        <w:spacing w:after="120"/>
        <w:jc w:val="both"/>
      </w:pPr>
      <w:r>
        <w:rPr>
          <w:rFonts w:ascii="Arial" w:cs="Arial" w:eastAsia="Arial" w:hAnsi="Arial"/>
          <w:sz w:val="24"/>
          <w:szCs w:val="24"/>
        </w:rPr>
        <w:t xml:space="preserve">5) Подготовка и обучение персонала, ответственного за хранение, транспортировку и использование вакцинных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доступности для населения услуг иммунизации и поддержание высокого уровня охвата профилактическими прививками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Вакцинация населения республики проводится в 1796 стационарных пунктах, находящихся в центрах семейной медицины, группах семейных врачей, фельдшерско-акушерских пунктах, роддомах и родильных отделениях территориальных больниц. По официальным данным медицинских организаций, охват плановыми прививками в республике превышает 95%. Однако данные независимых исследований (МИКС, 2006 год), проведенных международными организациями, свидетельствуют о том, что охват иммунизацией колеблется от 80% до 98% по разным видам вакцин и в разных регионах страны.</w:t>
      </w:r>
    </w:p>
    <w:p>
      <w:pPr>
        <w:spacing w:after="120"/>
        <w:jc w:val="both"/>
      </w:pPr>
      <w:r>
        <w:rPr>
          <w:rFonts w:ascii="Arial" w:cs="Arial" w:eastAsia="Arial" w:hAnsi="Arial"/>
          <w:sz w:val="24"/>
          <w:szCs w:val="24"/>
        </w:rPr>
        <w:t xml:space="preserve">Этот факт говорит о наличии в республике уязвимых групп населения, испытывающих проблемы в доступности медицинской помощи, особенно в отдаленных регионах.</w:t>
      </w:r>
    </w:p>
    <w:p>
      <w:pPr>
        <w:spacing w:after="120"/>
        <w:jc w:val="both"/>
      </w:pPr>
      <w:r>
        <w:rPr>
          <w:rFonts w:ascii="Arial" w:cs="Arial" w:eastAsia="Arial" w:hAnsi="Arial"/>
          <w:sz w:val="24"/>
          <w:szCs w:val="24"/>
        </w:rPr>
        <w:t xml:space="preserve">Несмотря на то, что система здравоохранения Кыргызской Республики имеет достаточно широкую сеть лечебно-профилактических организаций, проблемы доступности к медицинской помощи, связанные в первую очередь, с нехваткой врачей на уровне первичной медико-санитарной помощи и медицинского персонала в отдаленных горных регионах, приводят к недостаточному охвату иммунопрофилактикой и недостаточному уровню услуг по охране материнства и детства.</w:t>
      </w:r>
    </w:p>
    <w:p>
      <w:pPr>
        <w:spacing w:after="120"/>
        <w:jc w:val="both"/>
      </w:pPr>
      <w:r>
        <w:rPr>
          <w:rFonts w:ascii="Arial" w:cs="Arial" w:eastAsia="Arial" w:hAnsi="Arial"/>
          <w:sz w:val="24"/>
          <w:szCs w:val="24"/>
        </w:rPr>
        <w:t xml:space="preserve">Низкий уровень осведомленности населения (социально уязвимые группы, внутренние мигранты и др.) о своих правах в рамках Программы государственных гарантий по обеспечению граждан Кыргызской Республики медико-санитарной помощью на уровне первичной медико-санитарной помощи, включая иммунопрофилактику, ограничивает возможность получения ими услуг в достаточном объеме. Все это может отрицательно повлиять на высокий в настоящее время уровень охвата иммунизацией и поставить под угрозу достижения в области борьбы с инфекционными заболеваниями.</w:t>
      </w:r>
    </w:p>
    <w:p>
      <w:pPr>
        <w:spacing w:after="120"/>
        <w:jc w:val="both"/>
      </w:pPr>
      <w:r>
        <w:rPr>
          <w:rFonts w:ascii="Arial" w:cs="Arial" w:eastAsia="Arial" w:hAnsi="Arial"/>
          <w:sz w:val="24"/>
          <w:szCs w:val="24"/>
        </w:rPr>
        <w:t xml:space="preserve">В республике проводится определенная работа по устранению барьеров в доступности к услугам первичной медико-санитарной помощи и повышению охвата профилактическими прививками, в основном, в период проведения кампаний и реализации пилотных проектов при поддержке международных организаций.</w:t>
      </w:r>
    </w:p>
    <w:p>
      <w:pPr>
        <w:spacing w:after="120"/>
        <w:jc w:val="both"/>
      </w:pPr>
      <w:r>
        <w:rPr>
          <w:rFonts w:ascii="Arial" w:cs="Arial" w:eastAsia="Arial" w:hAnsi="Arial"/>
          <w:sz w:val="24"/>
          <w:szCs w:val="24"/>
        </w:rPr>
        <w:t xml:space="preserve">Так, в рамках пилотного проекта ВОЗ "Охватить каждый район" в 2008-2009 годы, при финансовой поддержке ВОЗ были организованы мобильные бригады в 20 наиболее отдаленных районах, что позволило обеспечить услугами иммунизации и другими видами медицинской помощи население более 200 сел, расположенных в труднодоступных горных районах. В результате охват всеми видами прививок на национальном уровне увеличился на 2,2-2,4%.</w:t>
      </w:r>
    </w:p>
    <w:p>
      <w:pPr>
        <w:spacing w:after="120"/>
        <w:jc w:val="both"/>
      </w:pPr>
      <w:r>
        <w:rPr>
          <w:rFonts w:ascii="Arial" w:cs="Arial" w:eastAsia="Arial" w:hAnsi="Arial"/>
          <w:sz w:val="24"/>
          <w:szCs w:val="24"/>
        </w:rPr>
        <w:t xml:space="preserve">В период проведения Европейской недели иммунизации ежегодно организуются выездные прививочные бригады для иммунизации внутренних мигрантов, проживающих в новостройках, расположенных вокруг города Бишкек и других крупных городов республики, и не состоящих на учете в медицинских организациях. Однако эти мероприятия не имеют продолжения и регулярности из-за отсутствия средств на командировочные расходы и горюче-смазочных материалов для членов мобильных бригад.</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Обеспечение не менее 95% уровня охвата иммунизацией декретированного населения республики вакцинами, входящими в национальный календарь профилактических прививок.</w:t>
      </w:r>
    </w:p>
    <w:p>
      <w:pPr>
        <w:spacing w:after="120"/>
        <w:jc w:val="both"/>
      </w:pPr>
      <w:r>
        <w:rPr>
          <w:rFonts w:ascii="Arial" w:cs="Arial" w:eastAsia="Arial" w:hAnsi="Arial"/>
          <w:sz w:val="24"/>
          <w:szCs w:val="24"/>
        </w:rPr>
        <w:t xml:space="preserve">2) Реализация пилотного проекта ВОЗ "Охватить каждый район" на уровне центров семейной медицины республики.</w:t>
      </w:r>
    </w:p>
    <w:p>
      <w:pPr>
        <w:spacing w:after="120"/>
        <w:jc w:val="both"/>
      </w:pPr>
      <w:r>
        <w:rPr>
          <w:rFonts w:ascii="Arial" w:cs="Arial" w:eastAsia="Arial" w:hAnsi="Arial"/>
          <w:sz w:val="24"/>
          <w:szCs w:val="24"/>
        </w:rPr>
        <w:t xml:space="preserve">Стратегии развития:</w:t>
      </w:r>
    </w:p>
    <w:p>
      <w:pPr>
        <w:spacing w:after="120"/>
        <w:jc w:val="both"/>
      </w:pPr>
      <w:r>
        <w:rPr>
          <w:rFonts w:ascii="Arial" w:cs="Arial" w:eastAsia="Arial" w:hAnsi="Arial"/>
          <w:sz w:val="24"/>
          <w:szCs w:val="24"/>
        </w:rPr>
        <w:t xml:space="preserve">1) Совершенствование системы учета населения, проживающего на территории обслуживания центров семейной медицины.</w:t>
      </w:r>
    </w:p>
    <w:p>
      <w:pPr>
        <w:spacing w:after="120"/>
        <w:jc w:val="both"/>
      </w:pPr>
      <w:r>
        <w:rPr>
          <w:rFonts w:ascii="Arial" w:cs="Arial" w:eastAsia="Arial" w:hAnsi="Arial"/>
          <w:sz w:val="24"/>
          <w:szCs w:val="24"/>
        </w:rPr>
        <w:t xml:space="preserve">2) Определение групп населения, проживающих в труднодоступных районах, групп "риска" и выявление причин их непривитости вакцинами.</w:t>
      </w:r>
    </w:p>
    <w:p>
      <w:pPr>
        <w:spacing w:after="120"/>
        <w:jc w:val="both"/>
      </w:pPr>
      <w:r>
        <w:rPr>
          <w:rFonts w:ascii="Arial" w:cs="Arial" w:eastAsia="Arial" w:hAnsi="Arial"/>
          <w:sz w:val="24"/>
          <w:szCs w:val="24"/>
        </w:rPr>
        <w:t xml:space="preserve">3) Оптимизация системы планирования и распределения вакцинных препаратов, а также графика предоставления иммунизационных услуг на уровне организаций первичной медико-санитарной помощи.</w:t>
      </w:r>
    </w:p>
    <w:p>
      <w:pPr>
        <w:spacing w:after="120"/>
        <w:jc w:val="both"/>
      </w:pPr>
      <w:r>
        <w:rPr>
          <w:rFonts w:ascii="Arial" w:cs="Arial" w:eastAsia="Arial" w:hAnsi="Arial"/>
          <w:sz w:val="24"/>
          <w:szCs w:val="24"/>
        </w:rPr>
        <w:t xml:space="preserve">4) Создание на базе районных центров семейной медицины мобильных бригад вакцинаторов для охвата населения в труднодоступных регионах республики и обеспечение их планомерного функционирования.</w:t>
      </w:r>
    </w:p>
    <w:p>
      <w:pPr>
        <w:spacing w:after="120"/>
        <w:jc w:val="both"/>
      </w:pPr>
      <w:r>
        <w:rPr>
          <w:rFonts w:ascii="Arial" w:cs="Arial" w:eastAsia="Arial" w:hAnsi="Arial"/>
          <w:sz w:val="24"/>
          <w:szCs w:val="24"/>
        </w:rPr>
        <w:t xml:space="preserve">5) Применение опыта работы выездных прививочных бригад для иммунизации школьников и населения "групп" риска (мигранты, верующие люди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качества и безопасности услуг по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и высокая эффективность вакцин, входящих в национальный календарь профилактических прививок, являются основными требованиями Программы. Из-за отсутствия собственного производства вакцинных препаратов, Кыргызстан вынужден закупать вакцины других производителей.</w:t>
      </w:r>
    </w:p>
    <w:p>
      <w:pPr>
        <w:spacing w:after="120"/>
        <w:jc w:val="both"/>
      </w:pPr>
      <w:r>
        <w:rPr>
          <w:rFonts w:ascii="Arial" w:cs="Arial" w:eastAsia="Arial" w:hAnsi="Arial"/>
          <w:sz w:val="24"/>
          <w:szCs w:val="24"/>
        </w:rPr>
        <w:t xml:space="preserve">Функции органа контроля в Кыргызской Республике выполняет Департамент лекарственного обеспечения и медицинской техники при Министерстве здравоохранения, который производит регистрацию иммунобиологических препаратов для их дальнейшего использования в республике и проводит постмаркетинговый надзор за побочными реакциями после применения лекарственных и иммунобиологических препаратов.</w:t>
      </w:r>
    </w:p>
    <w:p>
      <w:pPr>
        <w:spacing w:after="120"/>
        <w:jc w:val="both"/>
      </w:pPr>
      <w:r>
        <w:rPr>
          <w:rFonts w:ascii="Arial" w:cs="Arial" w:eastAsia="Arial" w:hAnsi="Arial"/>
          <w:sz w:val="24"/>
          <w:szCs w:val="24"/>
        </w:rPr>
        <w:t xml:space="preserve">Для обеспечения качества и безопасности вакцинных препаратов, поступающих в республику, в течение последних 15 лет используется механизм закупок через отдел снабжения ЮНИСЕФ в Копенгагене (Дания). Отдел снабжения ЮНИСЕФ проводит международные тендеры, к участию в которых допускаются только те фармацевтические компании по выпуску вакцин, технология производства которых соответствует международным стандартам GMP, а продукция прошла процедуру "преквалификации ВОЗ".</w:t>
      </w:r>
    </w:p>
    <w:p>
      <w:pPr>
        <w:spacing w:after="120"/>
        <w:jc w:val="both"/>
      </w:pPr>
      <w:r>
        <w:rPr>
          <w:rFonts w:ascii="Arial" w:cs="Arial" w:eastAsia="Arial" w:hAnsi="Arial"/>
          <w:sz w:val="24"/>
          <w:szCs w:val="24"/>
        </w:rPr>
        <w:t xml:space="preserve">Более 100 стран на сегодняшний день используют для приобретения вакцин систему закупок ЮНИСЕФ, через которую закупается более 40% всех производимых в мире доз вакцин. Благодаря большим объемам закупок, цены на вакцины, предлагаемые ЮНИСЕФ, гораздо ниже рыночных и составляют только 10% от первоначальной стоимости, установленной производителем.</w:t>
      </w:r>
    </w:p>
    <w:p>
      <w:pPr>
        <w:spacing w:after="120"/>
        <w:jc w:val="both"/>
      </w:pPr>
      <w:r>
        <w:rPr>
          <w:rFonts w:ascii="Arial" w:cs="Arial" w:eastAsia="Arial" w:hAnsi="Arial"/>
          <w:sz w:val="24"/>
          <w:szCs w:val="24"/>
        </w:rPr>
        <w:t xml:space="preserve">Для Кыргызской Республики сотрудничество с ЮНИСЕФ, с одной стороны, обеспечивает качество и надежность вакцинных препаратов, соответствующие международным стандартам, с другой стороны, - позволяет закупать вакцины по ценам гораздо ниже рыночных, что ведет к экономии бюджетных средств.</w:t>
      </w:r>
    </w:p>
    <w:p>
      <w:pPr>
        <w:spacing w:after="120"/>
        <w:jc w:val="both"/>
      </w:pPr>
      <w:r>
        <w:rPr>
          <w:rFonts w:ascii="Arial" w:cs="Arial" w:eastAsia="Arial" w:hAnsi="Arial"/>
          <w:sz w:val="24"/>
          <w:szCs w:val="24"/>
        </w:rPr>
        <w:t xml:space="preserve">Помимо этого, в целях обеспечения безопасной практики иммунизации и предотвращения неблагоприятных проявлений у привитых лиц в поствакцинальном периоде, в Кыргызской Республике с 2000 года для проведения вакцинации детям используют только самоблокирующиеся шприцы объемом от 0,05 до 0,5 мл, которые были специально разработаны для программ иммунизации, для фиксирования дозы вводимого препарата.</w:t>
      </w:r>
    </w:p>
    <w:p>
      <w:pPr>
        <w:spacing w:after="120"/>
        <w:jc w:val="both"/>
      </w:pPr>
      <w:r>
        <w:rPr>
          <w:rFonts w:ascii="Arial" w:cs="Arial" w:eastAsia="Arial" w:hAnsi="Arial"/>
          <w:sz w:val="24"/>
          <w:szCs w:val="24"/>
        </w:rPr>
        <w:t xml:space="preserve">Основные правила и стандарты безопасной практики иммунизации изложены в соответствующих нормативных документах Министерства здравоохранения, однако они не всегда соблюдаются медицинскими работниками, особенно теми, кто был допущен к проведению вакцинации без предварительного обучения.</w:t>
      </w:r>
    </w:p>
    <w:p>
      <w:pPr>
        <w:spacing w:after="120"/>
        <w:jc w:val="both"/>
      </w:pPr>
      <w:r>
        <w:rPr>
          <w:rFonts w:ascii="Arial" w:cs="Arial" w:eastAsia="Arial" w:hAnsi="Arial"/>
          <w:sz w:val="24"/>
          <w:szCs w:val="24"/>
        </w:rPr>
        <w:t xml:space="preserve">Проведение регулярных тренингов для медицинского персонала по вопросам надлежащего обращения с вакциной, правильной техники проведения безопасной инъекции, уничтожения использованного инъекционного оборудования и обеспечения медицинского наблюдения в поствакцинальном периоде являются одними из основных направлений по улучшению качества услуг, предоставляемых организациями первичной медико-санитарной помощи.</w:t>
      </w:r>
    </w:p>
    <w:p>
      <w:pPr>
        <w:spacing w:after="120"/>
        <w:jc w:val="both"/>
      </w:pPr>
      <w:r>
        <w:rPr>
          <w:rFonts w:ascii="Arial" w:cs="Arial" w:eastAsia="Arial" w:hAnsi="Arial"/>
          <w:sz w:val="24"/>
          <w:szCs w:val="24"/>
        </w:rPr>
        <w:t xml:space="preserve">Особую актуальность обучение медицинских работников приобретает в период применения новых вакцин, поскольку, при отсутствии специальных знаний, любое нарушение в технике их использования, может вызвать стойкое недоверие к новой вакцине со стороны населения республики, что отрицательно повлияет на всю программу иммунизации.</w:t>
      </w:r>
    </w:p>
    <w:p>
      <w:pPr>
        <w:spacing w:after="120"/>
        <w:jc w:val="both"/>
      </w:pPr>
      <w:r>
        <w:rPr>
          <w:rFonts w:ascii="Arial" w:cs="Arial" w:eastAsia="Arial" w:hAnsi="Arial"/>
          <w:sz w:val="24"/>
          <w:szCs w:val="24"/>
        </w:rPr>
        <w:t xml:space="preserve">Обеспечение качества и безопасности процедур по вакцинации населения является важнейшим компонентом доверия к службе иммунизации тех, кто пользуется этими услугами.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Проведение иммунизации качественными вакцинными препаратами.</w:t>
      </w:r>
    </w:p>
    <w:p>
      <w:pPr>
        <w:spacing w:after="120"/>
        <w:jc w:val="both"/>
      </w:pPr>
      <w:r>
        <w:rPr>
          <w:rFonts w:ascii="Arial" w:cs="Arial" w:eastAsia="Arial" w:hAnsi="Arial"/>
          <w:sz w:val="24"/>
          <w:szCs w:val="24"/>
        </w:rPr>
        <w:t xml:space="preserve">2) Обеспечение безопасности иммунизационных процедур.</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Закупка безопасных и эффективных вакцин гарантированного качества, самоблокирующихся шприцев и коробок безопасной утилизации через отдел снабжения ЮНИСЕФ.</w:t>
      </w:r>
    </w:p>
    <w:p>
      <w:pPr>
        <w:spacing w:after="120"/>
        <w:jc w:val="both"/>
      </w:pPr>
      <w:r>
        <w:rPr>
          <w:rFonts w:ascii="Arial" w:cs="Arial" w:eastAsia="Arial" w:hAnsi="Arial"/>
          <w:sz w:val="24"/>
          <w:szCs w:val="24"/>
        </w:rPr>
        <w:t xml:space="preserve">2) Реализация на практике стандартов безопасной иммунизации.</w:t>
      </w:r>
    </w:p>
    <w:p>
      <w:pPr>
        <w:spacing w:after="120"/>
        <w:jc w:val="both"/>
      </w:pPr>
      <w:r>
        <w:rPr>
          <w:rFonts w:ascii="Arial" w:cs="Arial" w:eastAsia="Arial" w:hAnsi="Arial"/>
          <w:sz w:val="24"/>
          <w:szCs w:val="24"/>
        </w:rPr>
        <w:t xml:space="preserve">3) Совершенствование системы надзора за неблагоприятными проявлениями в поствакцинальном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эффективности мониторинга и управления данными по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и отчетности в службе иммунизации была организована в 1996 году и до сих пор не претерпела существенных изменений. Мониторинг охвата профилактическими прививками осуществляется на основе ежемесячных форм отчетности о количестве сделанных прививок и использовании вакцин, которые на бумажных носителях передаются с уровня каждого прививочного пункта на вышестоящий, вплоть до РЦИ.</w:t>
      </w:r>
    </w:p>
    <w:p>
      <w:pPr>
        <w:spacing w:after="120"/>
        <w:jc w:val="both"/>
      </w:pPr>
      <w:r>
        <w:rPr>
          <w:rFonts w:ascii="Arial" w:cs="Arial" w:eastAsia="Arial" w:hAnsi="Arial"/>
          <w:sz w:val="24"/>
          <w:szCs w:val="24"/>
        </w:rPr>
        <w:t xml:space="preserve">Большую проблему составляет отсутствие прививочной или медицинской документации у детей до 5 лет из семей мигрантов, когда трудно установить прививочный статус ребенка и иммунизацию приходится начинать заново с введения первичного вакцинального комплекса, состоящего из 8 прививок, в том числе БЦЖ, АКДС+ВГВ+ХИБ, ОПВ и КПК. Это приводит к дополнительному расходу вакцин и повышенной антигенной нагрузке на организм ребенка.</w:t>
      </w:r>
    </w:p>
    <w:p>
      <w:pPr>
        <w:spacing w:after="120"/>
        <w:jc w:val="both"/>
      </w:pPr>
      <w:r>
        <w:rPr>
          <w:rFonts w:ascii="Arial" w:cs="Arial" w:eastAsia="Arial" w:hAnsi="Arial"/>
          <w:sz w:val="24"/>
          <w:szCs w:val="24"/>
        </w:rPr>
        <w:t xml:space="preserve">Для решения данной проблемы назрела необходимость в создании центральной базы данных по привитому населению, что позволит хранить и выдавать информацию о полученных прививках на каждого ребенка или взрослого, если он когда-либо был вакцинирован.</w:t>
      </w:r>
    </w:p>
    <w:p>
      <w:pPr>
        <w:spacing w:after="120"/>
        <w:jc w:val="both"/>
      </w:pPr>
      <w:r>
        <w:rPr>
          <w:rFonts w:ascii="Arial" w:cs="Arial" w:eastAsia="Arial" w:hAnsi="Arial"/>
          <w:sz w:val="24"/>
          <w:szCs w:val="24"/>
        </w:rPr>
        <w:t xml:space="preserve">В целях оптимизации сбора и учета данных по иммунизации, их анализа и передачи на вышестоящий уровень, при финансовой поддержке ГАВИ в рамках проекта "Усиление системы здравоохранения" в 2010 году была разработана компьютеризированная информационная система по иммунизации. Система предусматривает персонифицированный учет привитого населения, создание общей базы данных по привитым, автоматизированный процесс планирования иммунизации и составление отчетов. Помимо этого, компьютеризированная информационная система по иммунизации позволяет вести учет по использованию вакцинных препаратов и формировать базу данных по холодовому оборудованию. В настоящее время данная информационная система проходит стадию тестирования и доработки на областном и центральном уровнях службы иммунизации.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Формирование центральной базы данных по привитому населению.</w:t>
      </w:r>
    </w:p>
    <w:p>
      <w:pPr>
        <w:spacing w:after="120"/>
        <w:jc w:val="both"/>
      </w:pPr>
      <w:r>
        <w:rPr>
          <w:rFonts w:ascii="Arial" w:cs="Arial" w:eastAsia="Arial" w:hAnsi="Arial"/>
          <w:sz w:val="24"/>
          <w:szCs w:val="24"/>
        </w:rPr>
        <w:t xml:space="preserve">2) Оптимизация процесса управления данными по иммунизации.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Доработка и внедрение компьютеризированной информационной системы по иммунизации на уровень организаций первичной медико-санитарной помощи и общественного здравоохранения.</w:t>
      </w:r>
    </w:p>
    <w:p>
      <w:pPr>
        <w:spacing w:after="120"/>
        <w:jc w:val="both"/>
      </w:pPr>
      <w:r>
        <w:rPr>
          <w:rFonts w:ascii="Arial" w:cs="Arial" w:eastAsia="Arial" w:hAnsi="Arial"/>
          <w:sz w:val="24"/>
          <w:szCs w:val="24"/>
        </w:rPr>
        <w:t xml:space="preserve">2) Создание серверного центра.</w:t>
      </w:r>
    </w:p>
    <w:p>
      <w:pPr>
        <w:spacing w:after="120"/>
        <w:jc w:val="both"/>
      </w:pPr>
      <w:r>
        <w:rPr>
          <w:rFonts w:ascii="Arial" w:cs="Arial" w:eastAsia="Arial" w:hAnsi="Arial"/>
          <w:sz w:val="24"/>
          <w:szCs w:val="24"/>
        </w:rPr>
        <w:t xml:space="preserve">3) Разработка стандартных учетно-отчетных форм по иммунизации с акцентом на оценку качества.</w:t>
      </w:r>
    </w:p>
    <w:p>
      <w:pPr>
        <w:spacing w:after="120"/>
        <w:jc w:val="both"/>
      </w:pPr>
      <w:r>
        <w:rPr>
          <w:rFonts w:ascii="Arial" w:cs="Arial" w:eastAsia="Arial" w:hAnsi="Arial"/>
          <w:sz w:val="24"/>
          <w:szCs w:val="24"/>
        </w:rPr>
        <w:t xml:space="preserve">4) Автоматизация процесса сбора и обработки данных по количеству привитых лиц, использованию вакцин, количеству медицинских отводов и др.</w:t>
      </w:r>
    </w:p>
    <w:p>
      <w:pPr>
        <w:spacing w:after="120"/>
        <w:jc w:val="both"/>
      </w:pPr>
      <w:r>
        <w:rPr>
          <w:rFonts w:ascii="Arial" w:cs="Arial" w:eastAsia="Arial" w:hAnsi="Arial"/>
          <w:sz w:val="24"/>
          <w:szCs w:val="24"/>
        </w:rPr>
        <w:t xml:space="preserve">5) Обеспечение регулярной передачи информации на вышестоящий уровень и активизация процесса обратной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комплекса мероприятий, направленных на достижение цели элиминации кори и краснухи и поддержание статуса страны, свободной от полиомиелита</w:t>
      </w:r>
    </w:p>
    <w:p>
      <w:pPr>
        <w:spacing w:after="120"/>
        <w:jc w:val="both"/>
      </w:pPr>
      <w:r>
        <w:rPr>
          <w:rFonts w:ascii="Arial" w:cs="Arial" w:eastAsia="Arial" w:hAnsi="Arial"/>
          <w:sz w:val="24"/>
          <w:szCs w:val="24"/>
        </w:rPr>
        <w:t xml:space="preserve">В соответствии с глобальными целями ВОЗ в Кыргызстане уже более 10 лет реализуются два национальных стратегических плана, включающих мероприятия по элиминации кори/краснухи и поддержанию статуса страны, свободной от полиомиелита. Борьба с корью, краснухой и полиомиелитом является приоритетной задачей для всех стран Европейского региона ВОЗ, целью которой является обеспечение международной эпидемиологической безопасности.</w:t>
      </w:r>
    </w:p>
    <w:p>
      <w:pPr>
        <w:spacing w:after="120"/>
        <w:jc w:val="both"/>
      </w:pPr>
      <w:r>
        <w:rPr>
          <w:rFonts w:ascii="Arial" w:cs="Arial" w:eastAsia="Arial" w:hAnsi="Arial"/>
          <w:sz w:val="24"/>
          <w:szCs w:val="24"/>
        </w:rPr>
        <w:t xml:space="preserve">На протяжении долгого периода корь занимала одно из первых мест в инфекционной патологии населения Кыргызской Республики, с высоким уровнем летальности, особенно среди детей до 5 лет.</w:t>
      </w:r>
    </w:p>
    <w:p>
      <w:pPr>
        <w:spacing w:after="120"/>
        <w:jc w:val="both"/>
      </w:pPr>
      <w:r>
        <w:rPr>
          <w:rFonts w:ascii="Arial" w:cs="Arial" w:eastAsia="Arial" w:hAnsi="Arial"/>
          <w:sz w:val="24"/>
          <w:szCs w:val="24"/>
        </w:rPr>
        <w:t xml:space="preserve">В 2001 году при поддержке международных партнеров проведена Национальная кампания иммунизации против кори и краснухи, в ходе которой было привито 1,8 млн. человек в возрасте от 7 до 25 лет, что в последующем позволило достичь регистрации единичных случаев, в основном, завезенных с территории соседних государств.</w:t>
      </w:r>
    </w:p>
    <w:p>
      <w:pPr>
        <w:spacing w:after="120"/>
        <w:jc w:val="both"/>
      </w:pPr>
      <w:r>
        <w:rPr>
          <w:rFonts w:ascii="Arial" w:cs="Arial" w:eastAsia="Arial" w:hAnsi="Arial"/>
          <w:sz w:val="24"/>
          <w:szCs w:val="24"/>
        </w:rPr>
        <w:t xml:space="preserve">Заболеваемость краснухой перестала быть проблемой для республики после 2002 года, когда была проведена кампания по иммунизации против краснухи женщин детородного возраста (до 45 лет).</w:t>
      </w:r>
    </w:p>
    <w:p>
      <w:pPr>
        <w:spacing w:after="120"/>
        <w:jc w:val="both"/>
      </w:pPr>
      <w:r>
        <w:rPr>
          <w:rFonts w:ascii="Arial" w:cs="Arial" w:eastAsia="Arial" w:hAnsi="Arial"/>
          <w:sz w:val="24"/>
          <w:szCs w:val="24"/>
        </w:rPr>
        <w:t xml:space="preserve">Однако, после трагических событий июня 2010 года, часть населения, проживающего на приграничных с Узбекистаном территориях, осталась не охваченной своевременной плановой иммунизацией. Наличие группы "риска" - непривитых от кори детей, привело в апреле 2011 года к широкому распространению вируса кори и вспышке этой инфекции в Кара-Суйском районе Ошской области, после ее завоза с территории Узбекистана.</w:t>
      </w:r>
    </w:p>
    <w:p>
      <w:pPr>
        <w:spacing w:after="120"/>
        <w:jc w:val="both"/>
      </w:pPr>
      <w:r>
        <w:rPr>
          <w:rFonts w:ascii="Arial" w:cs="Arial" w:eastAsia="Arial" w:hAnsi="Arial"/>
          <w:sz w:val="24"/>
          <w:szCs w:val="24"/>
        </w:rPr>
        <w:t xml:space="preserve">Кроме того, стационарная служба республики не была готова к приему заболевших корью детей, госпитализация которых требует соблюдения строгого противоэпидемического режима, в результате чего было допущено внутрибольничное заражение корью свыше 100 детей. Эта ситуация показала реально существующую проблему в системе надзора за этой инфекцией, а также слабую преемственность между стационарной, первичной, эпидемиологической и лабораторной службами системы здравоохранения.</w:t>
      </w:r>
    </w:p>
    <w:p>
      <w:pPr>
        <w:spacing w:after="120"/>
        <w:jc w:val="both"/>
      </w:pPr>
      <w:r>
        <w:rPr>
          <w:rFonts w:ascii="Arial" w:cs="Arial" w:eastAsia="Arial" w:hAnsi="Arial"/>
          <w:sz w:val="24"/>
          <w:szCs w:val="24"/>
        </w:rPr>
        <w:t xml:space="preserve">Для достижения общеевропейской цели элиминации кори и краснухи требуется значительно усилить систему эпиднадзора за этими заболеваниями, действующую в республике с 2002 года.</w:t>
      </w:r>
    </w:p>
    <w:p>
      <w:pPr>
        <w:spacing w:after="120"/>
        <w:jc w:val="both"/>
      </w:pPr>
      <w:r>
        <w:rPr>
          <w:rFonts w:ascii="Arial" w:cs="Arial" w:eastAsia="Arial" w:hAnsi="Arial"/>
          <w:sz w:val="24"/>
          <w:szCs w:val="24"/>
        </w:rPr>
        <w:t xml:space="preserve">Второе важное стратегическое направление службы иммунизации касается глобальной борьбы с полиомиелитом, поскольку, несмотря на значительные успехи по его ликвидации, достигнутые в большинстве стран мира за последние 20 лет, эта инфекция продолжает оставаться одной из самых опасных болезней с высоким уровнем инвалидности и летальности. Дикий вирус полиомиелита может неожиданно появиться на территории стран, свободных от этой инфекции.</w:t>
      </w:r>
    </w:p>
    <w:p>
      <w:pPr>
        <w:spacing w:after="120"/>
        <w:jc w:val="both"/>
      </w:pPr>
      <w:r>
        <w:rPr>
          <w:rFonts w:ascii="Arial" w:cs="Arial" w:eastAsia="Arial" w:hAnsi="Arial"/>
          <w:sz w:val="24"/>
          <w:szCs w:val="24"/>
        </w:rPr>
        <w:t xml:space="preserve">Примером тому может служить вспышка полиомиелита, зарегистрированная в Таджикистане в 2010 году, где было выявлено свыше 700 случаев заболевания с клиническими проявлениями полиомиелита, 456 из них подтверждены лабораторным выделением дикого вируса типа I, более 20 случаев закончились летальным исходом.</w:t>
      </w:r>
    </w:p>
    <w:p>
      <w:pPr>
        <w:spacing w:after="120"/>
        <w:jc w:val="both"/>
      </w:pPr>
      <w:r>
        <w:rPr>
          <w:rFonts w:ascii="Arial" w:cs="Arial" w:eastAsia="Arial" w:hAnsi="Arial"/>
          <w:sz w:val="24"/>
          <w:szCs w:val="24"/>
        </w:rPr>
        <w:t xml:space="preserve">Это была первая вспышка завезенного полиомиелита в Европейском регионе ВОЗ, с момента его сертификации, как территории, свободной от полиомиелита в 2002 году.</w:t>
      </w:r>
    </w:p>
    <w:p>
      <w:pPr>
        <w:spacing w:after="120"/>
        <w:jc w:val="both"/>
      </w:pPr>
      <w:r>
        <w:rPr>
          <w:rFonts w:ascii="Arial" w:cs="Arial" w:eastAsia="Arial" w:hAnsi="Arial"/>
          <w:sz w:val="24"/>
          <w:szCs w:val="24"/>
        </w:rPr>
        <w:t xml:space="preserve">Для того, чтобы вернуть статус территорий, свободных от полиомиелита, страны, прилегающие к Таджикистану, а также Российская Федерация, объединив свои усилия, провели в 2010-2011 гг. по несколько раундов дополнительной иммунизации против полиомиелита населения от 0 до 15 лет. Это позволило повысить коллективный иммунитет и защитить всех детей данного возраста от заболевания полиомиелитом (сразу от всех трех типов), предотвратить активизацию вируса и появление новых случаев болезни, вытеснить полиовирус из окружающей среды и вернуть статус свободных от полиомиелита стран.</w:t>
      </w:r>
    </w:p>
    <w:p>
      <w:pPr>
        <w:spacing w:after="120"/>
        <w:jc w:val="both"/>
      </w:pPr>
      <w:r>
        <w:rPr>
          <w:rFonts w:ascii="Arial" w:cs="Arial" w:eastAsia="Arial" w:hAnsi="Arial"/>
          <w:sz w:val="24"/>
          <w:szCs w:val="24"/>
        </w:rPr>
        <w:t xml:space="preserve">Кыргызстан является единственной страной в Среднеазиатском регионе, в которой в 2010 году не было зарегистрировано случаев паралитического полиомиелита, что говорит о высоком уровне коллективного иммунитета населения.</w:t>
      </w:r>
    </w:p>
    <w:p>
      <w:pPr>
        <w:spacing w:after="120"/>
        <w:jc w:val="both"/>
      </w:pPr>
      <w:r>
        <w:rPr>
          <w:rFonts w:ascii="Arial" w:cs="Arial" w:eastAsia="Arial" w:hAnsi="Arial"/>
          <w:sz w:val="24"/>
          <w:szCs w:val="24"/>
        </w:rPr>
        <w:t xml:space="preserve">Тем не менее, угроза завоза дикого полиовируса в страну еще не устранена. В 2011 году случаи паралитического полиомиелита были зарегистрированы в Китае (за 9 месяцев 2011 года - 18 случаев среди лиц в возрасте от 2 до 31 года). Учитывая активные транспортные и авиационные сообщения между Кыргызской Республикой и КНР, а также безвизовые условия с 44 странами, риск появления в Кыргызстане полиовируса очень высок.</w:t>
      </w:r>
    </w:p>
    <w:p>
      <w:pPr>
        <w:spacing w:after="120"/>
        <w:jc w:val="both"/>
      </w:pPr>
      <w:r>
        <w:rPr>
          <w:rFonts w:ascii="Arial" w:cs="Arial" w:eastAsia="Arial" w:hAnsi="Arial"/>
          <w:sz w:val="24"/>
          <w:szCs w:val="24"/>
        </w:rPr>
        <w:t xml:space="preserve">В этой связи большую актуальность приобретают мероприятия, направленные на раннее выявление, регистрацию и расследование всех подозрительных на полиомиелит случаев. Высокая настороженность медицинских работников, достигаемая через систематическое обучение и предоставление информации, является самым важным звеном всей системы эпиднадзора за ОВП/полиомиелитом, действующей в республике с 1997 года.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Снижение заболеваемости корью и краснухой до единичных случаев и достижение устойчивой элиминации этих инфекций на территории республики к 2017 году.</w:t>
      </w:r>
    </w:p>
    <w:p>
      <w:pPr>
        <w:spacing w:after="120"/>
        <w:jc w:val="both"/>
      </w:pPr>
      <w:r>
        <w:rPr>
          <w:rFonts w:ascii="Arial" w:cs="Arial" w:eastAsia="Arial" w:hAnsi="Arial"/>
          <w:sz w:val="24"/>
          <w:szCs w:val="24"/>
        </w:rPr>
        <w:t xml:space="preserve">2) Недопущение возникновения случаев паралитического полиомиелита и предотвращение завоза и распространения дикого полиовируса на территории страны.</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Достижение и поддержание не менее 95% охвата 2-кратной иммунизацией населения против кори и краснухи.</w:t>
      </w:r>
    </w:p>
    <w:p>
      <w:pPr>
        <w:spacing w:after="120"/>
        <w:jc w:val="both"/>
      </w:pPr>
      <w:r>
        <w:rPr>
          <w:rFonts w:ascii="Arial" w:cs="Arial" w:eastAsia="Arial" w:hAnsi="Arial"/>
          <w:sz w:val="24"/>
          <w:szCs w:val="24"/>
        </w:rPr>
        <w:t xml:space="preserve">2) Проведение дополнительных иммунизационных кампаний против кори/краснухи.</w:t>
      </w:r>
    </w:p>
    <w:p>
      <w:pPr>
        <w:spacing w:after="120"/>
        <w:jc w:val="both"/>
      </w:pPr>
      <w:r>
        <w:rPr>
          <w:rFonts w:ascii="Arial" w:cs="Arial" w:eastAsia="Arial" w:hAnsi="Arial"/>
          <w:sz w:val="24"/>
          <w:szCs w:val="24"/>
        </w:rPr>
        <w:t xml:space="preserve">3) Повышение качества системы эпидемиологического надзора за корью/краснухой.</w:t>
      </w:r>
    </w:p>
    <w:p>
      <w:pPr>
        <w:spacing w:after="120"/>
        <w:jc w:val="both"/>
      </w:pPr>
      <w:r>
        <w:rPr>
          <w:rFonts w:ascii="Arial" w:cs="Arial" w:eastAsia="Arial" w:hAnsi="Arial"/>
          <w:sz w:val="24"/>
          <w:szCs w:val="24"/>
        </w:rPr>
        <w:t xml:space="preserve">4) Усиление лабораторного потенциала.</w:t>
      </w:r>
    </w:p>
    <w:p>
      <w:pPr>
        <w:spacing w:after="120"/>
        <w:jc w:val="both"/>
      </w:pPr>
      <w:r>
        <w:rPr>
          <w:rFonts w:ascii="Arial" w:cs="Arial" w:eastAsia="Arial" w:hAnsi="Arial"/>
          <w:sz w:val="24"/>
          <w:szCs w:val="24"/>
        </w:rPr>
        <w:t xml:space="preserve">5) Достижение и поддержание не менее 95% охвата 4-кратной иммунизацией населения против полиомиелита.</w:t>
      </w:r>
    </w:p>
    <w:p>
      <w:pPr>
        <w:spacing w:after="120"/>
        <w:jc w:val="both"/>
      </w:pPr>
      <w:r>
        <w:rPr>
          <w:rFonts w:ascii="Arial" w:cs="Arial" w:eastAsia="Arial" w:hAnsi="Arial"/>
          <w:sz w:val="24"/>
          <w:szCs w:val="24"/>
        </w:rPr>
        <w:t xml:space="preserve">6) Проведение дополнительных иммунизационных кампаний против полиомиелита.</w:t>
      </w:r>
    </w:p>
    <w:p>
      <w:pPr>
        <w:spacing w:after="120"/>
        <w:jc w:val="both"/>
      </w:pPr>
      <w:r>
        <w:rPr>
          <w:rFonts w:ascii="Arial" w:cs="Arial" w:eastAsia="Arial" w:hAnsi="Arial"/>
          <w:sz w:val="24"/>
          <w:szCs w:val="24"/>
        </w:rPr>
        <w:t xml:space="preserve">7) Усиление отдельных компонентов системы надзора за ОВП/полиомиелитом.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 надзора за вакциноуправляемыми инфекциями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Эпидемиологический надзор за инфекционными болезнями, включая лабораторные исследования, является важнейшим фактором для раннего выявления эпидемий и принятия надлежащих оперативных решений по контролю таких заболеваний, как дифтерия, полиомиелит, корь, эпидемический паротит, столбняк, коклюш, краснуха, вирусный гепатит В.</w:t>
      </w:r>
    </w:p>
    <w:p>
      <w:pPr>
        <w:spacing w:after="120"/>
        <w:jc w:val="both"/>
      </w:pPr>
      <w:r>
        <w:rPr>
          <w:rFonts w:ascii="Arial" w:cs="Arial" w:eastAsia="Arial" w:hAnsi="Arial"/>
          <w:sz w:val="24"/>
          <w:szCs w:val="24"/>
        </w:rPr>
        <w:t xml:space="preserve">Однако существующие системы надзора, основанные на стандартном определении случая заболевания, отличаются по целям и задачам, а также охватывают не все инфекционные заболевания, от которых имеются вакцины.</w:t>
      </w:r>
    </w:p>
    <w:p>
      <w:pPr>
        <w:spacing w:after="120"/>
        <w:jc w:val="both"/>
      </w:pPr>
      <w:r>
        <w:rPr>
          <w:rFonts w:ascii="Arial" w:cs="Arial" w:eastAsia="Arial" w:hAnsi="Arial"/>
          <w:sz w:val="24"/>
          <w:szCs w:val="24"/>
        </w:rPr>
        <w:t xml:space="preserve">При таких болезнях, как коклюш, эпидемический паротит, вирусный гепатит В, нуждаются в пересмотре и усилении системы надзора за заболеваемостью, а для контроля гемофильной инфекции типа В требуется разработка и внедрение абсолютно новых систем надзора.</w:t>
      </w:r>
    </w:p>
    <w:p>
      <w:pPr>
        <w:spacing w:after="120"/>
        <w:jc w:val="both"/>
      </w:pPr>
      <w:r>
        <w:rPr>
          <w:rFonts w:ascii="Arial" w:cs="Arial" w:eastAsia="Arial" w:hAnsi="Arial"/>
          <w:sz w:val="24"/>
          <w:szCs w:val="24"/>
        </w:rPr>
        <w:t xml:space="preserve">Данные системы эпиднадзора за дифтерией говорят о стабилизации заболеваемости этой инфекцией. Последняя вспышка дифтерии в Кыргызстане была зафиксирована в 1994-1998 годах, когда этой инфекцией заболело 1850 человек, умерло 30 человек, из них детей до 14 лет - 18. Особой группой риска на тот момент оказалось взрослое население, вследствие ослабления прививочной работы и низкого уровня охвата ревакцинирующими прививками этой возрастной группы. Лица в возрасте 15 лет и старше составили 58,7% - 64,2% от числа заболевших. Вспышку удалось остановить благодаря проведению массовых кампаний иммунизации населения против дифтерии на территории всей страны.</w:t>
      </w:r>
    </w:p>
    <w:p>
      <w:pPr>
        <w:spacing w:after="120"/>
        <w:jc w:val="both"/>
      </w:pPr>
      <w:r>
        <w:rPr>
          <w:rFonts w:ascii="Arial" w:cs="Arial" w:eastAsia="Arial" w:hAnsi="Arial"/>
          <w:sz w:val="24"/>
          <w:szCs w:val="24"/>
        </w:rPr>
        <w:t xml:space="preserve">Плановая иммунизация детского и взрослого населения против дифтерии и столбняка, проводимая в последующие годы, позволила резко снизить заболеваемость дифтерией, вплоть до отсутствия регистрации случаев в 2007-2011 годах. С 2003 года в республике не регистрируются случаи столбняка.</w:t>
      </w:r>
    </w:p>
    <w:p>
      <w:pPr>
        <w:spacing w:after="120"/>
        <w:jc w:val="both"/>
      </w:pPr>
      <w:r>
        <w:rPr>
          <w:rFonts w:ascii="Arial" w:cs="Arial" w:eastAsia="Arial" w:hAnsi="Arial"/>
          <w:sz w:val="24"/>
          <w:szCs w:val="24"/>
        </w:rPr>
        <w:t xml:space="preserve">Заболеваемость коклюшем в республике в последние годы имеет тенденцию к увеличению. В 2010 году зарегистрировано 110 случаев этого заболевания, 70% из которых - в городе Бишкек и Чуйской области, что может свидетельствовать о недостаточной регистрации случаев коклюша в других регионах страны, где они могут маскироваться под диагнозом бронхо-легочных заболеваний.</w:t>
      </w:r>
    </w:p>
    <w:p>
      <w:pPr>
        <w:spacing w:after="120"/>
        <w:jc w:val="both"/>
      </w:pPr>
      <w:r>
        <w:rPr>
          <w:rFonts w:ascii="Arial" w:cs="Arial" w:eastAsia="Arial" w:hAnsi="Arial"/>
          <w:sz w:val="24"/>
          <w:szCs w:val="24"/>
        </w:rPr>
        <w:t xml:space="preserve">Болеют коклюшем в основном дети до 1 года (78,0%), не получившие полного курса прививок по возрасту, либо дети, привитые АДС и АДС-М анатоксинами, не содержащими коклюшный компонент.</w:t>
      </w:r>
    </w:p>
    <w:p>
      <w:pPr>
        <w:spacing w:after="120"/>
        <w:jc w:val="both"/>
      </w:pPr>
      <w:r>
        <w:rPr>
          <w:rFonts w:ascii="Arial" w:cs="Arial" w:eastAsia="Arial" w:hAnsi="Arial"/>
          <w:sz w:val="24"/>
          <w:szCs w:val="24"/>
        </w:rPr>
        <w:t xml:space="preserve">В системе эпиднадзора за коклюшем крайне слабым звеном является низкий лабораторный потенциал. Имеющаяся материально-техническая база бактериологических лабораторий способна выделять возбудителя коклюша только в 1-2 случаях из 100. В целях достоверной диагностики коклюша необходимо усилить работу бактериологических лабораторий, оснастив их новым оборудованием и внедрив современные методы исследования.</w:t>
      </w:r>
    </w:p>
    <w:p>
      <w:pPr>
        <w:spacing w:after="120"/>
        <w:jc w:val="both"/>
      </w:pPr>
      <w:r>
        <w:rPr>
          <w:rFonts w:ascii="Arial" w:cs="Arial" w:eastAsia="Arial" w:hAnsi="Arial"/>
          <w:sz w:val="24"/>
          <w:szCs w:val="24"/>
        </w:rPr>
        <w:t xml:space="preserve">Повышение уровня заболеваемости эпидемическим паротитом наблюдается в республике каждые 5-6 лет. Последняя вспышка этой инфекции была зарегистрирована в 2003-2007 годах, в основном, среди школьников от 10 до 14 лет. Это объясняется отсутствием в календаре профилактических прививок Кыргызстана второй бустерной дозы от эпидемического паротита и накоплением когорты лиц, утративших иммунитет к этой инфекции в силу невысокого иммунного ответа на введение первой дозы вакцинации. Благодаря дополнительной иммунизации контактных лиц моновакциной против паротита в 2007-2008 гг., удалось снизить заболеваемость паротитом с 1192 случаев в 2007 году до 395 случаев - в 2010 году.</w:t>
      </w:r>
    </w:p>
    <w:p>
      <w:pPr>
        <w:spacing w:after="120"/>
        <w:jc w:val="both"/>
      </w:pPr>
      <w:r>
        <w:rPr>
          <w:rFonts w:ascii="Arial" w:cs="Arial" w:eastAsia="Arial" w:hAnsi="Arial"/>
          <w:sz w:val="24"/>
          <w:szCs w:val="24"/>
        </w:rPr>
        <w:t xml:space="preserve">Для предотвращения вспышек эпидемического паротита и стабилизации заболеваемости необходимо предусмотреть введение второй (бустерной) дозы противопаротитной вакцины детям в возрасте 6 лет, до их поступления в школу.</w:t>
      </w:r>
    </w:p>
    <w:p>
      <w:pPr>
        <w:spacing w:after="120"/>
        <w:jc w:val="both"/>
      </w:pPr>
      <w:r>
        <w:rPr>
          <w:rFonts w:ascii="Arial" w:cs="Arial" w:eastAsia="Arial" w:hAnsi="Arial"/>
          <w:sz w:val="24"/>
          <w:szCs w:val="24"/>
        </w:rPr>
        <w:t xml:space="preserve">Таким образом, системы эпидемиологического надзора позволяют оценить эффективность программы иммунизации, определить территории и группы высокого риска, спрогнозировать ухудшение эпидемической ситуации и провести своевременные мероприятия для предотвращения потенциальных вспышек или локализации уже возникших очагов заболевания.</w:t>
      </w:r>
    </w:p>
    <w:p>
      <w:pPr>
        <w:spacing w:after="120"/>
        <w:jc w:val="both"/>
      </w:pPr>
      <w:r>
        <w:rPr>
          <w:rFonts w:ascii="Arial" w:cs="Arial" w:eastAsia="Arial" w:hAnsi="Arial"/>
          <w:sz w:val="24"/>
          <w:szCs w:val="24"/>
        </w:rPr>
        <w:t xml:space="preserve">Мероприятия по усилению систем эпиднадзора за вакциноуправляемыми инфекциями необходимо вести по нескольким направлениям:</w:t>
      </w:r>
    </w:p>
    <w:p>
      <w:pPr>
        <w:spacing w:after="120"/>
        <w:jc w:val="both"/>
      </w:pPr>
      <w:r>
        <w:rPr>
          <w:rFonts w:ascii="Arial" w:cs="Arial" w:eastAsia="Arial" w:hAnsi="Arial"/>
          <w:sz w:val="24"/>
          <w:szCs w:val="24"/>
        </w:rPr>
        <w:t xml:space="preserve">- разработка единого систематизированного подхода к процессу регистрации случаев вакциноуправляемых инфекций;</w:t>
      </w:r>
    </w:p>
    <w:p>
      <w:pPr>
        <w:spacing w:after="120"/>
        <w:jc w:val="both"/>
      </w:pPr>
      <w:r>
        <w:rPr>
          <w:rFonts w:ascii="Arial" w:cs="Arial" w:eastAsia="Arial" w:hAnsi="Arial"/>
          <w:sz w:val="24"/>
          <w:szCs w:val="24"/>
        </w:rPr>
        <w:t xml:space="preserve">- повышение потенциала и готовности национальных и региональных лабораторий к проведению исследований по выявлению патогенов, вызывающих вакциноуправляемые инфекции, внедрение новых методов диагностики;</w:t>
      </w:r>
    </w:p>
    <w:p>
      <w:pPr>
        <w:spacing w:after="120"/>
        <w:jc w:val="both"/>
      </w:pPr>
      <w:r>
        <w:rPr>
          <w:rFonts w:ascii="Arial" w:cs="Arial" w:eastAsia="Arial" w:hAnsi="Arial"/>
          <w:sz w:val="24"/>
          <w:szCs w:val="24"/>
        </w:rPr>
        <w:t xml:space="preserve">- повышение качественных показателей систем эпидемиологического надзора: высокая чувствительность, информативность данных, полученных в ходе эпидрасследований, установление источника инфекции и цепочек передачи вируса;</w:t>
      </w:r>
    </w:p>
    <w:p>
      <w:pPr>
        <w:spacing w:after="120"/>
        <w:jc w:val="both"/>
      </w:pPr>
      <w:r>
        <w:rPr>
          <w:rFonts w:ascii="Arial" w:cs="Arial" w:eastAsia="Arial" w:hAnsi="Arial"/>
          <w:sz w:val="24"/>
          <w:szCs w:val="24"/>
        </w:rPr>
        <w:t xml:space="preserve">- совершенствование процесса передачи информации в рамках системы эпидемиологического надзора за вакциноуправляемыми инфекциями;</w:t>
      </w:r>
    </w:p>
    <w:p>
      <w:pPr>
        <w:spacing w:after="120"/>
        <w:jc w:val="both"/>
      </w:pPr>
      <w:r>
        <w:rPr>
          <w:rFonts w:ascii="Arial" w:cs="Arial" w:eastAsia="Arial" w:hAnsi="Arial"/>
          <w:sz w:val="24"/>
          <w:szCs w:val="24"/>
        </w:rPr>
        <w:t xml:space="preserve">- усиление контроля за транспортировкой клинических образцов в лабораторию и предоставлением результатов исследования на уровень медицинских организаций.</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Недопущение возникновения случаев столбняка новорожденных и дифтерии.</w:t>
      </w:r>
    </w:p>
    <w:p>
      <w:pPr>
        <w:spacing w:after="120"/>
        <w:jc w:val="both"/>
      </w:pPr>
      <w:r>
        <w:rPr>
          <w:rFonts w:ascii="Arial" w:cs="Arial" w:eastAsia="Arial" w:hAnsi="Arial"/>
          <w:sz w:val="24"/>
          <w:szCs w:val="24"/>
        </w:rPr>
        <w:t xml:space="preserve">2) Снижение заболеваемости коклюшем до уровня не более 2,0 на 100 тысяч населения.</w:t>
      </w:r>
    </w:p>
    <w:p>
      <w:pPr>
        <w:spacing w:after="120"/>
        <w:jc w:val="both"/>
      </w:pPr>
      <w:r>
        <w:rPr>
          <w:rFonts w:ascii="Arial" w:cs="Arial" w:eastAsia="Arial" w:hAnsi="Arial"/>
          <w:sz w:val="24"/>
          <w:szCs w:val="24"/>
        </w:rPr>
        <w:t xml:space="preserve">3) Снижение заболеваемости эпидемическим паротитом до уровня не более 4,0 на 100 тысяч населения и недопущение эпидемических вспышек.</w:t>
      </w:r>
    </w:p>
    <w:p>
      <w:pPr>
        <w:spacing w:after="120"/>
        <w:jc w:val="both"/>
      </w:pPr>
      <w:r>
        <w:rPr>
          <w:rFonts w:ascii="Arial" w:cs="Arial" w:eastAsia="Arial" w:hAnsi="Arial"/>
          <w:sz w:val="24"/>
          <w:szCs w:val="24"/>
        </w:rPr>
        <w:t xml:space="preserve">4) Усиление систем эпидемиологического надзора за инфекционными болезнями, управляемыми средствами иммунопрофилактики.</w:t>
      </w:r>
    </w:p>
    <w:p>
      <w:pPr>
        <w:spacing w:after="120"/>
        <w:jc w:val="both"/>
      </w:pPr>
      <w:r>
        <w:rPr>
          <w:rFonts w:ascii="Arial" w:cs="Arial" w:eastAsia="Arial" w:hAnsi="Arial"/>
          <w:sz w:val="24"/>
          <w:szCs w:val="24"/>
        </w:rPr>
        <w:t xml:space="preserve">5) Внедрение новых систем надзора за гемофильной инфекцией типа В, пневмококковой и ротавирусной инфекциями.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Достижение и поддержание охвата детей первичным вакцинальным комплексом против дифтерии и столбняка не менее 95%.</w:t>
      </w:r>
    </w:p>
    <w:p>
      <w:pPr>
        <w:spacing w:after="120"/>
        <w:jc w:val="both"/>
      </w:pPr>
      <w:r>
        <w:rPr>
          <w:rFonts w:ascii="Arial" w:cs="Arial" w:eastAsia="Arial" w:hAnsi="Arial"/>
          <w:sz w:val="24"/>
          <w:szCs w:val="24"/>
        </w:rPr>
        <w:t xml:space="preserve">2) Достижение и поддержание охвата детей ревакцинирующими прививками против дифтерии и столбняка не менее 95%.</w:t>
      </w:r>
    </w:p>
    <w:p>
      <w:pPr>
        <w:spacing w:after="120"/>
        <w:jc w:val="both"/>
      </w:pPr>
      <w:r>
        <w:rPr>
          <w:rFonts w:ascii="Arial" w:cs="Arial" w:eastAsia="Arial" w:hAnsi="Arial"/>
          <w:sz w:val="24"/>
          <w:szCs w:val="24"/>
        </w:rPr>
        <w:t xml:space="preserve">3) Проведение регулярной ревакцинации взрослого населения от дифтерии и столбняка с охватом не менее 90%.</w:t>
      </w:r>
    </w:p>
    <w:p>
      <w:pPr>
        <w:spacing w:after="120"/>
        <w:jc w:val="both"/>
      </w:pPr>
      <w:r>
        <w:rPr>
          <w:rFonts w:ascii="Arial" w:cs="Arial" w:eastAsia="Arial" w:hAnsi="Arial"/>
          <w:sz w:val="24"/>
          <w:szCs w:val="24"/>
        </w:rPr>
        <w:t xml:space="preserve">4) Обеспечение 4-кратной вакцинации против коклюша не менее 95% детей в возрасте до 2-х лет.</w:t>
      </w:r>
    </w:p>
    <w:p>
      <w:pPr>
        <w:spacing w:after="120"/>
        <w:jc w:val="both"/>
      </w:pPr>
      <w:r>
        <w:rPr>
          <w:rFonts w:ascii="Arial" w:cs="Arial" w:eastAsia="Arial" w:hAnsi="Arial"/>
          <w:sz w:val="24"/>
          <w:szCs w:val="24"/>
        </w:rPr>
        <w:t xml:space="preserve">5) Снижение до 5% от общего количества детей, подлежащих вакцинации, числа необоснованных противопоказаний к коклюшной вакцинации, как со стороны специалистов государственной, так и частной систем здравоохранения.</w:t>
      </w:r>
    </w:p>
    <w:p>
      <w:pPr>
        <w:spacing w:after="120"/>
        <w:jc w:val="both"/>
      </w:pPr>
      <w:r>
        <w:rPr>
          <w:rFonts w:ascii="Arial" w:cs="Arial" w:eastAsia="Arial" w:hAnsi="Arial"/>
          <w:sz w:val="24"/>
          <w:szCs w:val="24"/>
        </w:rPr>
        <w:t xml:space="preserve">6) Достижение и поддержание не менее 98% охвата вакцинацией против эпидемического паротита детей в возрасте до 12 месяцев жизни.</w:t>
      </w:r>
    </w:p>
    <w:p>
      <w:pPr>
        <w:spacing w:after="120"/>
        <w:jc w:val="both"/>
      </w:pPr>
      <w:r>
        <w:rPr>
          <w:rFonts w:ascii="Arial" w:cs="Arial" w:eastAsia="Arial" w:hAnsi="Arial"/>
          <w:sz w:val="24"/>
          <w:szCs w:val="24"/>
        </w:rPr>
        <w:t xml:space="preserve">7) Введение в календарь профилактических прививок ревакцинирующей дозы против эпидемического паротита для детей в возрасте 6 лет, с охватом не менее 90%.</w:t>
      </w:r>
    </w:p>
    <w:p>
      <w:pPr>
        <w:spacing w:after="120"/>
        <w:jc w:val="both"/>
      </w:pPr>
      <w:r>
        <w:rPr>
          <w:rFonts w:ascii="Arial" w:cs="Arial" w:eastAsia="Arial" w:hAnsi="Arial"/>
          <w:sz w:val="24"/>
          <w:szCs w:val="24"/>
        </w:rPr>
        <w:t xml:space="preserve">8) Пересмотр национальных руководств по эпидемиологическому надзору за вакциноуправляемыми инфекциями.</w:t>
      </w:r>
    </w:p>
    <w:p>
      <w:pPr>
        <w:spacing w:after="120"/>
        <w:jc w:val="both"/>
      </w:pPr>
      <w:r>
        <w:rPr>
          <w:rFonts w:ascii="Arial" w:cs="Arial" w:eastAsia="Arial" w:hAnsi="Arial"/>
          <w:sz w:val="24"/>
          <w:szCs w:val="24"/>
        </w:rPr>
        <w:t xml:space="preserve">9) Повышение потенциала и готовности национальных и региональных лабораторий к внедрению новых методов диагностики и проведению исследований по выявлению патогенов, вызывающих вакциноуправляемые инфекции.</w:t>
      </w:r>
    </w:p>
    <w:p>
      <w:pPr>
        <w:spacing w:after="120"/>
        <w:jc w:val="both"/>
      </w:pPr>
      <w:r>
        <w:rPr>
          <w:rFonts w:ascii="Arial" w:cs="Arial" w:eastAsia="Arial" w:hAnsi="Arial"/>
          <w:sz w:val="24"/>
          <w:szCs w:val="24"/>
        </w:rPr>
        <w:t xml:space="preserve">10) Повышение кадрового потенциала и его влияние на улучшение качественных показателей систем эпидемиологического надзора: повышение чувствительности и информативности данных, установление источника инфекции и цепочек передачи вируса.</w:t>
      </w:r>
    </w:p>
    <w:p>
      <w:pPr>
        <w:spacing w:after="120"/>
        <w:jc w:val="both"/>
      </w:pPr>
      <w:r>
        <w:rPr>
          <w:rFonts w:ascii="Arial" w:cs="Arial" w:eastAsia="Arial" w:hAnsi="Arial"/>
          <w:sz w:val="24"/>
          <w:szCs w:val="24"/>
        </w:rPr>
        <w:t xml:space="preserve">11) Совершенствование процесса передачи информации в рамках системы эпидемиологического надзора за вакциноуправляемыми инфекциями.</w:t>
      </w:r>
    </w:p>
    <w:p>
      <w:pPr>
        <w:spacing w:after="120"/>
        <w:jc w:val="both"/>
      </w:pPr>
      <w:r>
        <w:rPr>
          <w:rFonts w:ascii="Arial" w:cs="Arial" w:eastAsia="Arial" w:hAnsi="Arial"/>
          <w:sz w:val="24"/>
          <w:szCs w:val="24"/>
        </w:rPr>
        <w:t xml:space="preserve">12) Усиление контроля за сбором, хранением и транспортировкой клинических образцов.</w:t>
      </w:r>
    </w:p>
    <w:p>
      <w:pPr>
        <w:spacing w:after="120"/>
        <w:jc w:val="both"/>
      </w:pPr>
      <w:r>
        <w:rPr>
          <w:rFonts w:ascii="Arial" w:cs="Arial" w:eastAsia="Arial" w:hAnsi="Arial"/>
          <w:sz w:val="24"/>
          <w:szCs w:val="24"/>
        </w:rPr>
        <w:t xml:space="preserve">13) Разработка системы надзора за бактериальными менингитами и пневмониями.</w:t>
      </w:r>
    </w:p>
    <w:p>
      <w:pPr>
        <w:spacing w:after="120"/>
        <w:jc w:val="both"/>
      </w:pPr>
      <w:r>
        <w:rPr>
          <w:rFonts w:ascii="Arial" w:cs="Arial" w:eastAsia="Arial" w:hAnsi="Arial"/>
          <w:sz w:val="24"/>
          <w:szCs w:val="24"/>
        </w:rPr>
        <w:t xml:space="preserve">14) Разработка системы надзора за ротавирусной 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Усиление кадрового потенциала и повышение эффективности управления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целей Программы иммунизации служба здравоохранения республики должна иметь достаточное количество обученных и ответственных медицинских работников.</w:t>
      </w:r>
    </w:p>
    <w:p>
      <w:pPr>
        <w:spacing w:after="120"/>
        <w:jc w:val="both"/>
      </w:pPr>
      <w:r>
        <w:rPr>
          <w:rFonts w:ascii="Arial" w:cs="Arial" w:eastAsia="Arial" w:hAnsi="Arial"/>
          <w:sz w:val="24"/>
          <w:szCs w:val="24"/>
        </w:rPr>
        <w:t xml:space="preserve">В процессе реформирования системы здравоохранения при реализации Национальной программы "Манас таалими" на 2006-2010 годы была поставлена задача к 2010 году достичь полной интеграции иммунопрофилактики в новую модель первичной медико-санитарной помощи, для чего при каждом центре семейной медицины были выделены штаты врачей-иммунологов, как специалистов, ответственных за реализацию всех мероприятий по иммунизации.</w:t>
      </w:r>
    </w:p>
    <w:p>
      <w:pPr>
        <w:spacing w:after="120"/>
        <w:jc w:val="both"/>
      </w:pPr>
      <w:r>
        <w:rPr>
          <w:rFonts w:ascii="Arial" w:cs="Arial" w:eastAsia="Arial" w:hAnsi="Arial"/>
          <w:sz w:val="24"/>
          <w:szCs w:val="24"/>
        </w:rPr>
        <w:t xml:space="preserve">Однако данная цель не была достигнута в силу различных причин. Зачастую функции врача-иммунолога центра семейной медицины, в качестве дополнительной нагрузки, возлагались на семейных врачей или врачей узких специальностей. В результате этого управление и мониторинг программой иммунизации специалистами центра семейной медицины на уровне районов проводились недостаточно эффективно и не в полном объеме.</w:t>
      </w:r>
    </w:p>
    <w:p>
      <w:pPr>
        <w:spacing w:after="120"/>
        <w:jc w:val="both"/>
      </w:pPr>
      <w:r>
        <w:rPr>
          <w:rFonts w:ascii="Arial" w:cs="Arial" w:eastAsia="Arial" w:hAnsi="Arial"/>
          <w:sz w:val="24"/>
          <w:szCs w:val="24"/>
        </w:rPr>
        <w:t xml:space="preserve">Для обеспечения качественного управления и мониторинга программы иммунизации были привлечены врачи эпидемиологи-иммунологи организаций общественного здравоохранения. Они принимали участие в организации и проведении таких крупномасштабных мероприятий, как Национальные дни иммунизации против полиомиелита (1995-1998 годы и 2010-2011 годы), массовая кампания иммунизации против дифтерии (1995-1998 годы) и Национальная кампания иммунизации против кори и краснухи (2001 год).</w:t>
      </w:r>
    </w:p>
    <w:p>
      <w:pPr>
        <w:spacing w:after="120"/>
        <w:jc w:val="both"/>
      </w:pPr>
      <w:r>
        <w:rPr>
          <w:rFonts w:ascii="Arial" w:cs="Arial" w:eastAsia="Arial" w:hAnsi="Arial"/>
          <w:sz w:val="24"/>
          <w:szCs w:val="24"/>
        </w:rPr>
        <w:t xml:space="preserve">Реформирование системы общественного здравоохранения привело к сокращению штатов, в результате чего были упразднены областные центры иммунопрофилактики, а также районные группы иммунопрофилактики. Весь объем работы по координации иммунизационных мероприятий в большинстве районов и городов областей был возложен на специалиста эпидемиолога-иммунолога.</w:t>
      </w:r>
    </w:p>
    <w:p>
      <w:pPr>
        <w:spacing w:after="120"/>
        <w:jc w:val="both"/>
      </w:pPr>
      <w:r>
        <w:rPr>
          <w:rFonts w:ascii="Arial" w:cs="Arial" w:eastAsia="Arial" w:hAnsi="Arial"/>
          <w:sz w:val="24"/>
          <w:szCs w:val="24"/>
        </w:rPr>
        <w:t xml:space="preserve">Недостаток в кадровых ресурсах и отсутствие полноценной координации иммунизационных мероприятий может негативно отразиться на эффективности реализации Программы.</w:t>
      </w:r>
    </w:p>
    <w:p>
      <w:pPr>
        <w:spacing w:after="120"/>
        <w:jc w:val="both"/>
      </w:pPr>
      <w:r>
        <w:rPr>
          <w:rFonts w:ascii="Arial" w:cs="Arial" w:eastAsia="Arial" w:hAnsi="Arial"/>
          <w:sz w:val="24"/>
          <w:szCs w:val="24"/>
        </w:rPr>
        <w:t xml:space="preserve">Данная ситуация требует пересмотра кадровой политики как в службе первичной медико-санитарной помощи, так и в службе общественного здравоохранения. Это позволит улучшить качество контроля над заболеваемостью вакциноуправляемыми инфекциями, мониторинга мероприятий по иммунопрофилактике и управления Программой в целом.</w:t>
      </w:r>
    </w:p>
    <w:p>
      <w:pPr>
        <w:spacing w:after="120"/>
        <w:jc w:val="both"/>
      </w:pPr>
      <w:r>
        <w:rPr>
          <w:rFonts w:ascii="Arial" w:cs="Arial" w:eastAsia="Arial" w:hAnsi="Arial"/>
          <w:sz w:val="24"/>
          <w:szCs w:val="24"/>
        </w:rPr>
        <w:t xml:space="preserve">Важно также уделять большое внимание усилению потенциала на уровне фельдшерско-акушерских пунктов, групп семейных врачей и районных центров семейной медицины. Дальнейшее применение системы материального поощрения поставщиков услуг первичной медико-санитарной помощи, ориентированной на регионы с высоким уровнем детской смертности и другими социальными рисками, позволит снизить миграцию и сократить отток медицинских кадров.</w:t>
      </w:r>
    </w:p>
    <w:p>
      <w:pPr>
        <w:spacing w:after="120"/>
        <w:jc w:val="both"/>
      </w:pPr>
      <w:r>
        <w:rPr>
          <w:rFonts w:ascii="Arial" w:cs="Arial" w:eastAsia="Arial" w:hAnsi="Arial"/>
          <w:sz w:val="24"/>
          <w:szCs w:val="24"/>
        </w:rPr>
        <w:t xml:space="preserve">Необходимо расширить существующие программы обучения по семейной медицине разделами по иммунопрофилактике.</w:t>
      </w:r>
    </w:p>
    <w:p>
      <w:pPr>
        <w:spacing w:after="120"/>
        <w:jc w:val="both"/>
      </w:pPr>
      <w:r>
        <w:rPr>
          <w:rFonts w:ascii="Arial" w:cs="Arial" w:eastAsia="Arial" w:hAnsi="Arial"/>
          <w:sz w:val="24"/>
          <w:szCs w:val="24"/>
        </w:rPr>
        <w:t xml:space="preserve">Большое значение для повышения профессионального уровня медработников, задействованных в системе иммунизации, имеют регулярные кураторские визиты областных и районных специалистов для определения и обсуждения проблем и потенциальных решений, приемлемых для местных условий и обстоятельств.</w:t>
      </w:r>
    </w:p>
    <w:p>
      <w:pPr>
        <w:spacing w:after="120"/>
        <w:jc w:val="both"/>
      </w:pPr>
      <w:r>
        <w:rPr>
          <w:rFonts w:ascii="Arial" w:cs="Arial" w:eastAsia="Arial" w:hAnsi="Arial"/>
          <w:sz w:val="24"/>
          <w:szCs w:val="24"/>
        </w:rPr>
        <w:t xml:space="preserve">Помимо этого, существует реальная необходимость в проведении дополнительных обучающих мероприятий, потребность в которых, как правило, возрастает в периоды крупных организационных перемен в здравоохранении, особенно в контексте проведения дополнительных иммунизационных кампаний.</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Усиление кадрового потенциала специалистов, координирующих реализацию программы иммунизации на областном и районном уровне.</w:t>
      </w:r>
    </w:p>
    <w:p>
      <w:pPr>
        <w:spacing w:after="120"/>
        <w:jc w:val="both"/>
      </w:pPr>
      <w:r>
        <w:rPr>
          <w:rFonts w:ascii="Arial" w:cs="Arial" w:eastAsia="Arial" w:hAnsi="Arial"/>
          <w:sz w:val="24"/>
          <w:szCs w:val="24"/>
        </w:rPr>
        <w:t xml:space="preserve">2) Усиление кадрового потенциала специалистов фельдшерско-акушерских пунктов, групп семейных врачей, центров семейной медицины, территориальных больниц, задействованных в проведении профилактических прививок.</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Пересмотр действующих нормативных правовых документов в области управления кадровыми ресурсами в организациях общественного здравоохранения и на уровне первичной медико-санитарной помощи.</w:t>
      </w:r>
    </w:p>
    <w:p>
      <w:pPr>
        <w:spacing w:after="120"/>
        <w:jc w:val="both"/>
      </w:pPr>
      <w:r>
        <w:rPr>
          <w:rFonts w:ascii="Arial" w:cs="Arial" w:eastAsia="Arial" w:hAnsi="Arial"/>
          <w:sz w:val="24"/>
          <w:szCs w:val="24"/>
        </w:rPr>
        <w:t xml:space="preserve">2) Обучение специалистов организаций общественного здравоохранения по вопросам иммунизации на национальных и международных тренингах.</w:t>
      </w:r>
    </w:p>
    <w:p>
      <w:pPr>
        <w:spacing w:after="120"/>
        <w:jc w:val="both"/>
      </w:pPr>
      <w:r>
        <w:rPr>
          <w:rFonts w:ascii="Arial" w:cs="Arial" w:eastAsia="Arial" w:hAnsi="Arial"/>
          <w:sz w:val="24"/>
          <w:szCs w:val="24"/>
        </w:rPr>
        <w:t xml:space="preserve">3) Создание мотивации у работников здравоохранения, особенно в сельских, недоступных или отдаленных населенных пунктах, для предоставления населению качественных услуг здравоохранения, в том числе и иммунизации.</w:t>
      </w:r>
    </w:p>
    <w:p>
      <w:pPr>
        <w:spacing w:after="120"/>
        <w:jc w:val="both"/>
      </w:pPr>
      <w:r>
        <w:rPr>
          <w:rFonts w:ascii="Arial" w:cs="Arial" w:eastAsia="Arial" w:hAnsi="Arial"/>
          <w:sz w:val="24"/>
          <w:szCs w:val="24"/>
        </w:rPr>
        <w:t xml:space="preserve">4) Повышение уровня знаний специалистов фельдшерско-акушерских пунктов, групп семейных врачей, центров семейной медицины, территориальных больниц по вопросам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мобилизация и активная пропаганда иммунизации среди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Широко известно, что информационно-просветительская деятельность и целенаправленная коммуникация способствуют изменению форм поведения и точек зрения, оказывая сильное влияние на успешное проведение программ иммунизации и других направлений здравоохранения.</w:t>
      </w:r>
    </w:p>
    <w:p>
      <w:pPr>
        <w:spacing w:after="120"/>
        <w:jc w:val="both"/>
      </w:pPr>
      <w:r>
        <w:rPr>
          <w:rFonts w:ascii="Arial" w:cs="Arial" w:eastAsia="Arial" w:hAnsi="Arial"/>
          <w:sz w:val="24"/>
          <w:szCs w:val="24"/>
        </w:rPr>
        <w:t xml:space="preserve">Данный компонент нацелен на повышение понимания населением преимуществ иммунизации и изменения поведения родителей по отношению к своевременному получению услуг вакцинации.</w:t>
      </w:r>
    </w:p>
    <w:p>
      <w:pPr>
        <w:spacing w:after="120"/>
        <w:jc w:val="both"/>
      </w:pPr>
      <w:r>
        <w:rPr>
          <w:rFonts w:ascii="Arial" w:cs="Arial" w:eastAsia="Arial" w:hAnsi="Arial"/>
          <w:sz w:val="24"/>
          <w:szCs w:val="24"/>
        </w:rPr>
        <w:t xml:space="preserve">Эффективность иммунопрофилактики полностью зависит от понимания и доверия тех, кто пользуется услугами иммунизации. Охват профилактическими прививками возрастает, если существует потребность населения и основанная на хорошей информированности уверенность в пользе и безопасности иммунизации.</w:t>
      </w:r>
    </w:p>
    <w:p>
      <w:pPr>
        <w:spacing w:after="120"/>
        <w:jc w:val="both"/>
      </w:pPr>
      <w:r>
        <w:rPr>
          <w:rFonts w:ascii="Arial" w:cs="Arial" w:eastAsia="Arial" w:hAnsi="Arial"/>
          <w:sz w:val="24"/>
          <w:szCs w:val="24"/>
        </w:rPr>
        <w:t xml:space="preserve">Во многих странах, где бюджетная поддержка здравоохранения недостаточна, иммунизация детей может уменьшить уровень заболеваемости, а также уменьшить расходы на их лечение.</w:t>
      </w:r>
    </w:p>
    <w:p>
      <w:pPr>
        <w:spacing w:after="120"/>
        <w:jc w:val="both"/>
      </w:pPr>
      <w:r>
        <w:rPr>
          <w:rFonts w:ascii="Arial" w:cs="Arial" w:eastAsia="Arial" w:hAnsi="Arial"/>
          <w:sz w:val="24"/>
          <w:szCs w:val="24"/>
        </w:rPr>
        <w:t xml:space="preserve">При проведении социальной мобилизации правительственный и неправительственный секторы должны работать вместе. Учитывая увеличение количества отказов населения от вакцинации в силу религиозных убеждений, необходимо проводить соответствующую работу с религиозными лидерами по пропаганде иммунизации населения.</w:t>
      </w:r>
    </w:p>
    <w:p>
      <w:pPr>
        <w:spacing w:after="120"/>
        <w:jc w:val="both"/>
      </w:pPr>
      <w:r>
        <w:rPr>
          <w:rFonts w:ascii="Arial" w:cs="Arial" w:eastAsia="Arial" w:hAnsi="Arial"/>
          <w:sz w:val="24"/>
          <w:szCs w:val="24"/>
        </w:rPr>
        <w:t xml:space="preserve">Средства массовой информации являются ключевым элементом для популяризации иммунопрофилактики, поскольку они позволяют добиться широкого охвата всех слоев населения. Подробные информационные материалы, подготовленные специалистами службы иммунизации, помогут журналистам быть в курсе событий и своевременно освещать все выгоды, которые получает население от плановой вакцинации. Средства массовой информации смогут помочь различным сегментам населения лучше понять свои права, степень ответственности за здоровье детей, осветить положительные стороны иммунизации и изменить поведенческое настроение лиц, отказывающихся от профилактических прививок.</w:t>
      </w:r>
    </w:p>
    <w:p>
      <w:pPr>
        <w:spacing w:after="120"/>
        <w:jc w:val="both"/>
      </w:pPr>
      <w:r>
        <w:rPr>
          <w:rFonts w:ascii="Arial" w:cs="Arial" w:eastAsia="Arial" w:hAnsi="Arial"/>
          <w:sz w:val="24"/>
          <w:szCs w:val="24"/>
        </w:rPr>
        <w:t xml:space="preserve">Большая роль в предоставлении основной информации населению по вопросам иммунизации принадлежит медицинским работникам первичной медико-санитарной помощи. Их беседы, в силу личного доверия большинства населения к медицинским работникам, могут влиять на население больше, чем только сообщения, передаваемые через средства массовой информации. Однако недостаточный уровень знаний медицинского персонала в области вакцинопрофилактики приводит к снижению взаимопонимания с населением по вопросам, связанным с иммунизацией, и требует специального обучения медицинских работников первичной медико-санитарной помощи.</w:t>
      </w:r>
    </w:p>
    <w:p>
      <w:pPr>
        <w:spacing w:after="120"/>
        <w:jc w:val="both"/>
      </w:pPr>
      <w:r>
        <w:rPr>
          <w:rFonts w:ascii="Arial" w:cs="Arial" w:eastAsia="Arial" w:hAnsi="Arial"/>
          <w:sz w:val="24"/>
          <w:szCs w:val="24"/>
        </w:rPr>
        <w:t xml:space="preserve">Значительно увеличивается роль социальной мобилизации при внедрении в практику новых видов вакцин.</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Изменение форм поведения и восприятия населения в сторону повышения доверия к программе иммунизации.</w:t>
      </w:r>
    </w:p>
    <w:p>
      <w:pPr>
        <w:spacing w:after="120"/>
        <w:jc w:val="both"/>
      </w:pPr>
      <w:r>
        <w:rPr>
          <w:rFonts w:ascii="Arial" w:cs="Arial" w:eastAsia="Arial" w:hAnsi="Arial"/>
          <w:sz w:val="24"/>
          <w:szCs w:val="24"/>
        </w:rPr>
        <w:t xml:space="preserve">2) Формирование доверительного отношения со стороны населения к медицинским работникам, представителям некоммерческих и общественных организаций, проводящим работу по иммунизации.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Разработка информационных материалов для населения, медицинских работников и средств массовой информации по вопросам иммунизации.</w:t>
      </w:r>
    </w:p>
    <w:p>
      <w:pPr>
        <w:spacing w:after="120"/>
        <w:jc w:val="both"/>
      </w:pPr>
      <w:r>
        <w:rPr>
          <w:rFonts w:ascii="Arial" w:cs="Arial" w:eastAsia="Arial" w:hAnsi="Arial"/>
          <w:sz w:val="24"/>
          <w:szCs w:val="24"/>
        </w:rPr>
        <w:t xml:space="preserve">2) Привлечение к пропаганде иммунизации видных политических, общественных и религиозных лидеров.</w:t>
      </w:r>
    </w:p>
    <w:p>
      <w:pPr>
        <w:spacing w:after="120"/>
        <w:jc w:val="both"/>
      </w:pPr>
      <w:r>
        <w:rPr>
          <w:rFonts w:ascii="Arial" w:cs="Arial" w:eastAsia="Arial" w:hAnsi="Arial"/>
          <w:sz w:val="24"/>
          <w:szCs w:val="24"/>
        </w:rPr>
        <w:t xml:space="preserve">3) Активизация работы со средствами массовой информации по вопросам пропаганды иммунизации.</w:t>
      </w:r>
    </w:p>
    <w:p>
      <w:pPr>
        <w:spacing w:after="120"/>
        <w:jc w:val="both"/>
      </w:pPr>
      <w:r>
        <w:rPr>
          <w:rFonts w:ascii="Arial" w:cs="Arial" w:eastAsia="Arial" w:hAnsi="Arial"/>
          <w:sz w:val="24"/>
          <w:szCs w:val="24"/>
        </w:rPr>
        <w:t xml:space="preserve">4) Активное вовлечение неправительственных структур в работу по повышению популяризации вакцинации среди населения.</w:t>
      </w:r>
    </w:p>
    <w:p>
      <w:pPr>
        <w:spacing w:after="120"/>
        <w:jc w:val="both"/>
      </w:pPr>
      <w:r>
        <w:rPr>
          <w:rFonts w:ascii="Arial" w:cs="Arial" w:eastAsia="Arial" w:hAnsi="Arial"/>
          <w:sz w:val="24"/>
          <w:szCs w:val="24"/>
        </w:rPr>
        <w:t xml:space="preserve">5) Разработка плана по социальной мобилизации населения, медицинских работников, представителей некоммерческих и общественных организаций по вопросам применения новых вакцин.</w:t>
      </w:r>
    </w:p>
    <w:p>
      <w:pPr>
        <w:spacing w:after="120"/>
        <w:jc w:val="both"/>
      </w:pPr>
      <w:r>
        <w:rPr>
          <w:rFonts w:ascii="Arial" w:cs="Arial" w:eastAsia="Arial" w:hAnsi="Arial"/>
          <w:sz w:val="24"/>
          <w:szCs w:val="24"/>
        </w:rPr>
        <w:t xml:space="preserve">6) Использование рекомендаций представителей научных медицинских кругов Кыргызской Республики и других стран при подготовке информационных материалов по применению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ЮНИСЕФ Детский фонд ООН</w:t>
      </w:r>
    </w:p>
    <w:p>
      <w:pPr>
        <w:spacing w:after="120"/>
        <w:jc w:val="both"/>
      </w:pPr>
      <w:r>
        <w:rPr>
          <w:rFonts w:ascii="Arial" w:cs="Arial" w:eastAsia="Arial" w:hAnsi="Arial"/>
          <w:sz w:val="24"/>
          <w:szCs w:val="24"/>
        </w:rPr>
        <w:t xml:space="preserve">АБР Азиатский банк развития</w:t>
      </w:r>
    </w:p>
    <w:p>
      <w:pPr>
        <w:spacing w:after="120"/>
        <w:jc w:val="both"/>
      </w:pPr>
      <w:r>
        <w:rPr>
          <w:rFonts w:ascii="Arial" w:cs="Arial" w:eastAsia="Arial" w:hAnsi="Arial"/>
          <w:sz w:val="24"/>
          <w:szCs w:val="24"/>
        </w:rPr>
        <w:t xml:space="preserve">ГАВИ Глобальный Альянс по Вакцинам и Иммунизации</w:t>
      </w:r>
    </w:p>
    <w:p>
      <w:pPr>
        <w:spacing w:after="120"/>
        <w:jc w:val="both"/>
      </w:pPr>
      <w:r>
        <w:rPr>
          <w:rFonts w:ascii="Arial" w:cs="Arial" w:eastAsia="Arial" w:hAnsi="Arial"/>
          <w:sz w:val="24"/>
          <w:szCs w:val="24"/>
        </w:rPr>
        <w:t xml:space="preserve">CDC Центр по контролю за заболеваниями, США</w:t>
      </w:r>
    </w:p>
    <w:p>
      <w:pPr>
        <w:spacing w:after="120"/>
        <w:jc w:val="both"/>
      </w:pPr>
      <w:r>
        <w:rPr>
          <w:rFonts w:ascii="Arial" w:cs="Arial" w:eastAsia="Arial" w:hAnsi="Arial"/>
          <w:sz w:val="24"/>
          <w:szCs w:val="24"/>
        </w:rPr>
        <w:t xml:space="preserve">JICA Японское агентство по международному развитию</w:t>
      </w:r>
    </w:p>
    <w:p>
      <w:pPr>
        <w:spacing w:after="120"/>
        <w:jc w:val="both"/>
      </w:pPr>
      <w:r>
        <w:rPr>
          <w:rFonts w:ascii="Arial" w:cs="Arial" w:eastAsia="Arial" w:hAnsi="Arial"/>
          <w:sz w:val="24"/>
          <w:szCs w:val="24"/>
        </w:rPr>
        <w:t xml:space="preserve">MCHIP Интегрированная программа по охране здоровья матери и ре-</w:t>
      </w:r>
    </w:p>
    <w:p>
      <w:pPr>
        <w:spacing w:after="120"/>
        <w:jc w:val="both"/>
      </w:pPr>
      <w:r>
        <w:rPr>
          <w:rFonts w:ascii="Arial" w:cs="Arial" w:eastAsia="Arial" w:hAnsi="Arial"/>
          <w:sz w:val="24"/>
          <w:szCs w:val="24"/>
        </w:rPr>
        <w:t xml:space="preserve">бенка (USAID)</w:t>
      </w:r>
    </w:p>
    <w:p>
      <w:pPr>
        <w:spacing w:after="120"/>
        <w:jc w:val="both"/>
      </w:pPr>
      <w:r>
        <w:rPr>
          <w:rFonts w:ascii="Arial" w:cs="Arial" w:eastAsia="Arial" w:hAnsi="Arial"/>
          <w:sz w:val="24"/>
          <w:szCs w:val="24"/>
        </w:rPr>
        <w:t xml:space="preserve">USAID Агентство США по международному развитию</w:t>
      </w:r>
    </w:p>
    <w:p>
      <w:pPr>
        <w:spacing w:after="120"/>
        <w:jc w:val="both"/>
      </w:pPr>
      <w:r>
        <w:rPr>
          <w:rFonts w:ascii="Arial" w:cs="Arial" w:eastAsia="Arial" w:hAnsi="Arial"/>
          <w:sz w:val="24"/>
          <w:szCs w:val="24"/>
        </w:rPr>
        <w:t xml:space="preserve">АКДС Адсорбированная коклюшно-дифтерийно-столбнячная вакцина</w:t>
      </w:r>
    </w:p>
    <w:p>
      <w:pPr>
        <w:spacing w:after="120"/>
        <w:jc w:val="both"/>
      </w:pPr>
      <w:r>
        <w:rPr>
          <w:rFonts w:ascii="Arial" w:cs="Arial" w:eastAsia="Arial" w:hAnsi="Arial"/>
          <w:sz w:val="24"/>
          <w:szCs w:val="24"/>
        </w:rPr>
        <w:t xml:space="preserve">ВГВ Вакцина против вирусного гепатита В</w:t>
      </w:r>
    </w:p>
    <w:p>
      <w:pPr>
        <w:spacing w:after="120"/>
        <w:jc w:val="both"/>
      </w:pPr>
      <w:r>
        <w:rPr>
          <w:rFonts w:ascii="Arial" w:cs="Arial" w:eastAsia="Arial" w:hAnsi="Arial"/>
          <w:sz w:val="24"/>
          <w:szCs w:val="24"/>
        </w:rPr>
        <w:t xml:space="preserve">ХИБ Вакцина против гемофильной инфекции типа В</w:t>
      </w:r>
    </w:p>
    <w:p>
      <w:pPr>
        <w:spacing w:after="120"/>
        <w:jc w:val="both"/>
      </w:pPr>
      <w:r>
        <w:rPr>
          <w:rFonts w:ascii="Arial" w:cs="Arial" w:eastAsia="Arial" w:hAnsi="Arial"/>
          <w:sz w:val="24"/>
          <w:szCs w:val="24"/>
        </w:rPr>
        <w:t xml:space="preserve">БЦЖ Вакцина против туберкулеза</w:t>
      </w:r>
    </w:p>
    <w:p>
      <w:pPr>
        <w:spacing w:after="120"/>
        <w:jc w:val="both"/>
      </w:pPr>
      <w:r>
        <w:rPr>
          <w:rFonts w:ascii="Arial" w:cs="Arial" w:eastAsia="Arial" w:hAnsi="Arial"/>
          <w:sz w:val="24"/>
          <w:szCs w:val="24"/>
        </w:rPr>
        <w:t xml:space="preserve">ОПВ Оральная полиомиелитная вакцина</w:t>
      </w:r>
    </w:p>
    <w:p>
      <w:pPr>
        <w:spacing w:after="120"/>
        <w:jc w:val="both"/>
      </w:pPr>
      <w:r>
        <w:rPr>
          <w:rFonts w:ascii="Arial" w:cs="Arial" w:eastAsia="Arial" w:hAnsi="Arial"/>
          <w:sz w:val="24"/>
          <w:szCs w:val="24"/>
        </w:rPr>
        <w:t xml:space="preserve">КПК Краснушно-паротитно-коревая вакцина</w:t>
      </w:r>
    </w:p>
    <w:p>
      <w:pPr>
        <w:spacing w:after="120"/>
        <w:jc w:val="both"/>
      </w:pPr>
      <w:r>
        <w:rPr>
          <w:rFonts w:ascii="Arial" w:cs="Arial" w:eastAsia="Arial" w:hAnsi="Arial"/>
          <w:sz w:val="24"/>
          <w:szCs w:val="24"/>
        </w:rPr>
        <w:t xml:space="preserve">ККВ Краснушно-коревая вакцина</w:t>
      </w:r>
    </w:p>
    <w:p>
      <w:pPr>
        <w:spacing w:after="120"/>
        <w:jc w:val="both"/>
      </w:pPr>
      <w:r>
        <w:rPr>
          <w:rFonts w:ascii="Arial" w:cs="Arial" w:eastAsia="Arial" w:hAnsi="Arial"/>
          <w:sz w:val="24"/>
          <w:szCs w:val="24"/>
        </w:rPr>
        <w:t xml:space="preserve">ВПЧ Вакцина против вируса папилломы человека</w:t>
      </w:r>
    </w:p>
    <w:p>
      <w:pPr>
        <w:spacing w:after="120"/>
        <w:jc w:val="both"/>
      </w:pPr>
      <w:r>
        <w:rPr>
          <w:rFonts w:ascii="Arial" w:cs="Arial" w:eastAsia="Arial" w:hAnsi="Arial"/>
          <w:sz w:val="24"/>
          <w:szCs w:val="24"/>
        </w:rPr>
        <w:t xml:space="preserve">ПКВ Пневмококковая вакцина</w:t>
      </w:r>
    </w:p>
    <w:p>
      <w:pPr>
        <w:spacing w:after="120"/>
        <w:jc w:val="both"/>
      </w:pPr>
      <w:r>
        <w:rPr>
          <w:rFonts w:ascii="Arial" w:cs="Arial" w:eastAsia="Arial" w:hAnsi="Arial"/>
          <w:sz w:val="24"/>
          <w:szCs w:val="24"/>
        </w:rPr>
        <w:t xml:space="preserve">РВВ Ротавирусная вакцина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Программе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категории расходов и источники финансирования Программы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Ежегодный бюджет Программы "Иммунопрофилактика" на 2013-2017 годы (далее - Программа) по категориям расходов и источникам финансирования представлен в таблице 1.</w:t>
      </w:r>
    </w:p>
    <w:p>
      <w:pPr>
        <w:spacing w:after="120"/>
        <w:jc w:val="both"/>
      </w:pPr>
      <w:r>
        <w:rPr>
          <w:rFonts w:ascii="Arial" w:cs="Arial" w:eastAsia="Arial" w:hAnsi="Arial"/>
          <w:sz w:val="24"/>
          <w:szCs w:val="24"/>
        </w:rPr>
        <w:t xml:space="preserve">Потенциальными источниками финансирования бюджет Программы являются:</w:t>
      </w:r>
    </w:p>
    <w:p>
      <w:pPr>
        <w:spacing w:after="120"/>
        <w:jc w:val="both"/>
      </w:pPr>
      <w:r>
        <w:rPr>
          <w:rFonts w:ascii="Arial" w:cs="Arial" w:eastAsia="Arial" w:hAnsi="Arial"/>
          <w:sz w:val="24"/>
          <w:szCs w:val="24"/>
        </w:rPr>
        <w:t xml:space="preserve">- средства государственного бюджета в рамках общих ассигнований, предусмотренных на здравоохранение;</w:t>
      </w:r>
    </w:p>
    <w:p>
      <w:pPr>
        <w:spacing w:after="120"/>
        <w:jc w:val="both"/>
      </w:pPr>
      <w:r>
        <w:rPr>
          <w:rFonts w:ascii="Arial" w:cs="Arial" w:eastAsia="Arial" w:hAnsi="Arial"/>
          <w:sz w:val="24"/>
          <w:szCs w:val="24"/>
        </w:rPr>
        <w:t xml:space="preserve">- средства Фонда обязательного медицинского страхования при Правительстве Кыргызской Республики для оказания услуг по иммунизации населения на уровне организаций первичной медико-санитарной помощи;</w:t>
      </w:r>
    </w:p>
    <w:p>
      <w:pPr>
        <w:spacing w:after="120"/>
        <w:jc w:val="both"/>
      </w:pPr>
      <w:r>
        <w:rPr>
          <w:rFonts w:ascii="Arial" w:cs="Arial" w:eastAsia="Arial" w:hAnsi="Arial"/>
          <w:sz w:val="24"/>
          <w:szCs w:val="24"/>
        </w:rPr>
        <w:t xml:space="preserve">- финансовые средства международных организаций (ГАВИ, ВОЗ, ЮНИСЕФ, JICA и другие).</w:t>
      </w:r>
    </w:p>
    <w:p>
      <w:pPr>
        <w:spacing w:after="120"/>
        <w:jc w:val="both"/>
      </w:pPr>
      <w:r>
        <w:rPr>
          <w:rFonts w:ascii="Arial" w:cs="Arial" w:eastAsia="Arial" w:hAnsi="Arial"/>
          <w:sz w:val="24"/>
          <w:szCs w:val="24"/>
        </w:rPr>
        <w:t xml:space="preserve">Основной категорией расходов бюджет Программы является закупка вакцинных препаратов и расходных материалов, затраты на которые составляют более 55% всей стоимости программы.</w:t>
      </w:r>
    </w:p>
    <w:p>
      <w:pPr>
        <w:spacing w:after="120"/>
        <w:jc w:val="both"/>
      </w:pPr>
      <w:r>
        <w:rPr>
          <w:rFonts w:ascii="Arial" w:cs="Arial" w:eastAsia="Arial" w:hAnsi="Arial"/>
          <w:sz w:val="24"/>
          <w:szCs w:val="24"/>
        </w:rPr>
        <w:t xml:space="preserve">Закупки традиционных вакцин, входящих в Национальный календарь профилактических прививок, финансируются исключительно за счет республиканского бюджета. Затраты на них ежегодно на период действия Программы составят от 37,9 млн. сомов до 42,4 млн. сомов (таблица 1).</w:t>
      </w:r>
    </w:p>
    <w:p>
      <w:pPr>
        <w:spacing w:after="120"/>
        <w:jc w:val="both"/>
      </w:pPr>
      <w:r>
        <w:rPr>
          <w:rFonts w:ascii="Arial" w:cs="Arial" w:eastAsia="Arial" w:hAnsi="Arial"/>
          <w:sz w:val="24"/>
          <w:szCs w:val="24"/>
        </w:rPr>
        <w:t xml:space="preserve">В целом в 5-летний период реализации бюджет Программы 59,2% от общей стоимости составляют расходы из республиканского бюджета и 40,8% средства донорских организаций (таблица 2).</w:t>
      </w:r>
    </w:p>
    <w:p>
      <w:pPr>
        <w:spacing w:after="120"/>
        <w:jc w:val="both"/>
      </w:pPr>
      <w:r>
        <w:rPr>
          <w:rFonts w:ascii="Arial" w:cs="Arial" w:eastAsia="Arial" w:hAnsi="Arial"/>
          <w:sz w:val="24"/>
          <w:szCs w:val="24"/>
        </w:rPr>
        <w:t xml:space="preserve">Реализация других компонентов Программы будет осуществляться как за счет средств республиканского бюджета и Фонда обязательного медицинского страхования при Правительстве Кыргызской Республики, так и за счет донорской поддержки, в основном со стороны ВОЗ и ЮНИСЕФ.</w:t>
      </w:r>
    </w:p>
    <w:p>
      <w:pPr>
        <w:spacing w:after="120"/>
        <w:jc w:val="both"/>
      </w:pPr>
      <w:r>
        <w:rPr>
          <w:rFonts w:ascii="Arial" w:cs="Arial" w:eastAsia="Arial" w:hAnsi="Arial"/>
          <w:sz w:val="24"/>
          <w:szCs w:val="24"/>
        </w:rPr>
        <w:t xml:space="preserve">Поддержка отдельных компонентов Программы в разовом порядке будет осуществлена за счет грантовой помощи со стороны JICA и проекта "Интегрированная программа по охране здоровья матери и ребенка" (MCHIP-USAID).</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категории расходов и источники финансирования Программы "Иммунопрофилактика" на 2013-2017 годы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Категории расходов          │   2013 год  │   2014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│Госуд.│Доноры│Госуд.│Доноры│</w:t>
      </w:r>
    </w:p>
    <w:p>
      <w:pPr>
        <w:spacing w:after="120"/>
        <w:jc w:val="both"/>
      </w:pPr>
      <w:r>
        <w:rPr>
          <w:rFonts w:ascii="Arial" w:cs="Arial" w:eastAsia="Arial" w:hAnsi="Arial"/>
          <w:sz w:val="24"/>
          <w:szCs w:val="24"/>
        </w:rPr>
        <w:t xml:space="preserve">│  │                                      │бюджет│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│Закупка традиционных вакцин, входящих │  37,9│  0   │  41,9│  0   │</w:t>
      </w:r>
    </w:p>
    <w:p>
      <w:pPr>
        <w:spacing w:after="120"/>
        <w:jc w:val="both"/>
      </w:pPr>
      <w:r>
        <w:rPr>
          <w:rFonts w:ascii="Arial" w:cs="Arial" w:eastAsia="Arial" w:hAnsi="Arial"/>
          <w:sz w:val="24"/>
          <w:szCs w:val="24"/>
        </w:rPr>
        <w:t xml:space="preserve">│  │в Национальный календарь              │      │      │      │      │</w:t>
      </w:r>
    </w:p>
    <w:p>
      <w:pPr>
        <w:spacing w:after="120"/>
        <w:jc w:val="both"/>
      </w:pPr>
      <w:r>
        <w:rPr>
          <w:rFonts w:ascii="Arial" w:cs="Arial" w:eastAsia="Arial" w:hAnsi="Arial"/>
          <w:sz w:val="24"/>
          <w:szCs w:val="24"/>
        </w:rPr>
        <w:t xml:space="preserve">│  │профилактических прививок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│Закупка пентавалентной вакцины        │   3,7│ 44,3 │   3,8│ 42,1 │</w:t>
      </w:r>
    </w:p>
    <w:p>
      <w:pPr>
        <w:spacing w:after="120"/>
        <w:jc w:val="both"/>
      </w:pPr>
      <w:r>
        <w:rPr>
          <w:rFonts w:ascii="Arial" w:cs="Arial" w:eastAsia="Arial" w:hAnsi="Arial"/>
          <w:sz w:val="24"/>
          <w:szCs w:val="24"/>
        </w:rPr>
        <w:t xml:space="preserve">│  │(АКДС+ВГВ+ХИБ) по принципу            │      │      │      │      │</w:t>
      </w:r>
    </w:p>
    <w:p>
      <w:pPr>
        <w:spacing w:after="120"/>
        <w:jc w:val="both"/>
      </w:pPr>
      <w:r>
        <w:rPr>
          <w:rFonts w:ascii="Arial" w:cs="Arial" w:eastAsia="Arial" w:hAnsi="Arial"/>
          <w:sz w:val="24"/>
          <w:szCs w:val="24"/>
        </w:rPr>
        <w:t xml:space="preserve">│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│Закупка новой пневмококковой вакцины  │   0  │  0   │   0  │  0   │</w:t>
      </w:r>
    </w:p>
    <w:p>
      <w:pPr>
        <w:spacing w:after="120"/>
        <w:jc w:val="both"/>
      </w:pPr>
      <w:r>
        <w:rPr>
          <w:rFonts w:ascii="Arial" w:cs="Arial" w:eastAsia="Arial" w:hAnsi="Arial"/>
          <w:sz w:val="24"/>
          <w:szCs w:val="24"/>
        </w:rPr>
        <w:t xml:space="preserve">│  │по принципу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│Закупка новой ротавирусной вакцины по │   0  │  0   │   0  │  0   │</w:t>
      </w:r>
    </w:p>
    <w:p>
      <w:pPr>
        <w:spacing w:after="120"/>
        <w:jc w:val="both"/>
      </w:pPr>
      <w:r>
        <w:rPr>
          <w:rFonts w:ascii="Arial" w:cs="Arial" w:eastAsia="Arial" w:hAnsi="Arial"/>
          <w:sz w:val="24"/>
          <w:szCs w:val="24"/>
        </w:rPr>
        <w:t xml:space="preserve">│  │принципу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│Улучшение инфраструктуры и            │   0,4│ 22,5 │   0,4│  6,7 │</w:t>
      </w:r>
    </w:p>
    <w:p>
      <w:pPr>
        <w:spacing w:after="120"/>
        <w:jc w:val="both"/>
      </w:pPr>
      <w:r>
        <w:rPr>
          <w:rFonts w:ascii="Arial" w:cs="Arial" w:eastAsia="Arial" w:hAnsi="Arial"/>
          <w:sz w:val="24"/>
          <w:szCs w:val="24"/>
        </w:rPr>
        <w:t xml:space="preserve">│  │материально-технической базы системы  │      │      │      │      │</w:t>
      </w:r>
    </w:p>
    <w:p>
      <w:pPr>
        <w:spacing w:after="120"/>
        <w:jc w:val="both"/>
      </w:pPr>
      <w:r>
        <w:rPr>
          <w:rFonts w:ascii="Arial" w:cs="Arial" w:eastAsia="Arial" w:hAnsi="Arial"/>
          <w:sz w:val="24"/>
          <w:szCs w:val="24"/>
        </w:rPr>
        <w:t xml:space="preserve">│  │транспортировки, хранения и           │      │      │      │      │</w:t>
      </w:r>
    </w:p>
    <w:p>
      <w:pPr>
        <w:spacing w:after="120"/>
        <w:jc w:val="both"/>
      </w:pPr>
      <w:r>
        <w:rPr>
          <w:rFonts w:ascii="Arial" w:cs="Arial" w:eastAsia="Arial" w:hAnsi="Arial"/>
          <w:sz w:val="24"/>
          <w:szCs w:val="24"/>
        </w:rPr>
        <w:t xml:space="preserve">│  │использования вакцин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│Повышение доступности для населения   │   2,4│  0,2 │   2,4│  0,2 │</w:t>
      </w:r>
    </w:p>
    <w:p>
      <w:pPr>
        <w:spacing w:after="120"/>
        <w:jc w:val="both"/>
      </w:pPr>
      <w:r>
        <w:rPr>
          <w:rFonts w:ascii="Arial" w:cs="Arial" w:eastAsia="Arial" w:hAnsi="Arial"/>
          <w:sz w:val="24"/>
          <w:szCs w:val="24"/>
        </w:rPr>
        <w:t xml:space="preserve">│  │услуг иммунизации и поддержание       │      │      │      │      │</w:t>
      </w:r>
    </w:p>
    <w:p>
      <w:pPr>
        <w:spacing w:after="120"/>
        <w:jc w:val="both"/>
      </w:pPr>
      <w:r>
        <w:rPr>
          <w:rFonts w:ascii="Arial" w:cs="Arial" w:eastAsia="Arial" w:hAnsi="Arial"/>
          <w:sz w:val="24"/>
          <w:szCs w:val="24"/>
        </w:rPr>
        <w:t xml:space="preserve">│  │высокого уровня охвата                │      │      │      │      │</w:t>
      </w:r>
    </w:p>
    <w:p>
      <w:pPr>
        <w:spacing w:after="120"/>
        <w:jc w:val="both"/>
      </w:pPr>
      <w:r>
        <w:rPr>
          <w:rFonts w:ascii="Arial" w:cs="Arial" w:eastAsia="Arial" w:hAnsi="Arial"/>
          <w:sz w:val="24"/>
          <w:szCs w:val="24"/>
        </w:rPr>
        <w:t xml:space="preserve">│  │профилактическими прививками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│Обеспечение качества и безопасности   │   6,5│  3,5 │   6,5│  3,6 │</w:t>
      </w:r>
    </w:p>
    <w:p>
      <w:pPr>
        <w:spacing w:after="120"/>
        <w:jc w:val="both"/>
      </w:pPr>
      <w:r>
        <w:rPr>
          <w:rFonts w:ascii="Arial" w:cs="Arial" w:eastAsia="Arial" w:hAnsi="Arial"/>
          <w:sz w:val="24"/>
          <w:szCs w:val="24"/>
        </w:rPr>
        <w:t xml:space="preserve">│  │иммунизационных услуг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│Повышение эффективности мониторинга и │   0,5│  1,3 │   0,5│  1,3 │</w:t>
      </w:r>
    </w:p>
    <w:p>
      <w:pPr>
        <w:spacing w:after="120"/>
        <w:jc w:val="both"/>
      </w:pPr>
      <w:r>
        <w:rPr>
          <w:rFonts w:ascii="Arial" w:cs="Arial" w:eastAsia="Arial" w:hAnsi="Arial"/>
          <w:sz w:val="24"/>
          <w:szCs w:val="24"/>
        </w:rPr>
        <w:t xml:space="preserve">│  │управления данными по иммунизации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│Обеспечение комплекса мероприятий,    │   0,2│  1,9 │   0,2│  0,3 │</w:t>
      </w:r>
    </w:p>
    <w:p>
      <w:pPr>
        <w:spacing w:after="120"/>
        <w:jc w:val="both"/>
      </w:pPr>
      <w:r>
        <w:rPr>
          <w:rFonts w:ascii="Arial" w:cs="Arial" w:eastAsia="Arial" w:hAnsi="Arial"/>
          <w:sz w:val="24"/>
          <w:szCs w:val="24"/>
        </w:rPr>
        <w:t xml:space="preserve">│  │направленных на достижение цели       │      │      │      │      │</w:t>
      </w:r>
    </w:p>
    <w:p>
      <w:pPr>
        <w:spacing w:after="120"/>
        <w:jc w:val="both"/>
      </w:pPr>
      <w:r>
        <w:rPr>
          <w:rFonts w:ascii="Arial" w:cs="Arial" w:eastAsia="Arial" w:hAnsi="Arial"/>
          <w:sz w:val="24"/>
          <w:szCs w:val="24"/>
        </w:rPr>
        <w:t xml:space="preserve">│  │элиминации кори и краснухи и          │      │      │      │      │</w:t>
      </w:r>
    </w:p>
    <w:p>
      <w:pPr>
        <w:spacing w:after="120"/>
        <w:jc w:val="both"/>
      </w:pPr>
      <w:r>
        <w:rPr>
          <w:rFonts w:ascii="Arial" w:cs="Arial" w:eastAsia="Arial" w:hAnsi="Arial"/>
          <w:sz w:val="24"/>
          <w:szCs w:val="24"/>
        </w:rPr>
        <w:t xml:space="preserve">│  │поддержание статуса страны, свободной │      │      │      │      │</w:t>
      </w:r>
    </w:p>
    <w:p>
      <w:pPr>
        <w:spacing w:after="120"/>
        <w:jc w:val="both"/>
      </w:pPr>
      <w:r>
        <w:rPr>
          <w:rFonts w:ascii="Arial" w:cs="Arial" w:eastAsia="Arial" w:hAnsi="Arial"/>
          <w:sz w:val="24"/>
          <w:szCs w:val="24"/>
        </w:rPr>
        <w:t xml:space="preserve">│  │от полиомиелита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│10│Совершенствование систем надзора за   │   0,3│  0   │   0,3│  0   │</w:t>
      </w:r>
    </w:p>
    <w:p>
      <w:pPr>
        <w:spacing w:after="120"/>
        <w:jc w:val="both"/>
      </w:pPr>
      <w:r>
        <w:rPr>
          <w:rFonts w:ascii="Arial" w:cs="Arial" w:eastAsia="Arial" w:hAnsi="Arial"/>
          <w:sz w:val="24"/>
          <w:szCs w:val="24"/>
        </w:rPr>
        <w:t xml:space="preserve">│  │вакциноуправляемыми инфекциями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│11│Усиление кадрового потенциала и       │   4,6│  1,9 │   4,6│  1,9 │</w:t>
      </w:r>
    </w:p>
    <w:p>
      <w:pPr>
        <w:spacing w:after="120"/>
        <w:jc w:val="both"/>
      </w:pPr>
      <w:r>
        <w:rPr>
          <w:rFonts w:ascii="Arial" w:cs="Arial" w:eastAsia="Arial" w:hAnsi="Arial"/>
          <w:sz w:val="24"/>
          <w:szCs w:val="24"/>
        </w:rPr>
        <w:t xml:space="preserve">│  │повышение эффективности управления    │      │      │      │      │</w:t>
      </w:r>
    </w:p>
    <w:p>
      <w:pPr>
        <w:spacing w:after="120"/>
        <w:jc w:val="both"/>
      </w:pPr>
      <w:r>
        <w:rPr>
          <w:rFonts w:ascii="Arial" w:cs="Arial" w:eastAsia="Arial" w:hAnsi="Arial"/>
          <w:sz w:val="24"/>
          <w:szCs w:val="24"/>
        </w:rPr>
        <w:t xml:space="preserve">│  │программой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│12│Социальная мобилизация и активная     │   2,1│  0,7 │   2,1│  0,7 │</w:t>
      </w:r>
    </w:p>
    <w:p>
      <w:pPr>
        <w:spacing w:after="120"/>
        <w:jc w:val="both"/>
      </w:pPr>
      <w:r>
        <w:rPr>
          <w:rFonts w:ascii="Arial" w:cs="Arial" w:eastAsia="Arial" w:hAnsi="Arial"/>
          <w:sz w:val="24"/>
          <w:szCs w:val="24"/>
        </w:rPr>
        <w:t xml:space="preserve">│  │пропаганда иммунизации среди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│13│Общие расходы системы здравоохранения │ 101,9│  0   │ 104,1│  0   │</w:t>
      </w:r>
    </w:p>
    <w:p>
      <w:pPr>
        <w:spacing w:after="120"/>
        <w:jc w:val="both"/>
      </w:pPr>
      <w:r>
        <w:rPr>
          <w:rFonts w:ascii="Arial" w:cs="Arial" w:eastAsia="Arial" w:hAnsi="Arial"/>
          <w:sz w:val="24"/>
          <w:szCs w:val="24"/>
        </w:rPr>
        <w:t xml:space="preserve">│  │(зар. плата, коммунальные услуги и    │      │      │      │      │</w:t>
      </w:r>
    </w:p>
    <w:p>
      <w:pPr>
        <w:spacing w:after="120"/>
        <w:jc w:val="both"/>
      </w:pPr>
      <w:r>
        <w:rPr>
          <w:rFonts w:ascii="Arial" w:cs="Arial" w:eastAsia="Arial" w:hAnsi="Arial"/>
          <w:sz w:val="24"/>
          <w:szCs w:val="24"/>
        </w:rPr>
        <w:t xml:space="preserve">│  │др.)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│14│Итого по источникам финансирования    │ 160,5│ 76,3 │ 166,8│ 56,8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│15│Общая сумма                           │    236,8    │    223,6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2015 год  │   2016 год  │   2017 год  │Итого за 5 лет│    Всего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│Госуд.│Доноры│Госуд.│Доноры│Госуд.│Доноры│Госуд.│Доноры │            │</w:t>
      </w:r>
    </w:p>
    <w:p>
      <w:pPr>
        <w:spacing w:after="120"/>
        <w:jc w:val="both"/>
      </w:pPr>
      <w:r>
        <w:rPr>
          <w:rFonts w:ascii="Arial" w:cs="Arial" w:eastAsia="Arial" w:hAnsi="Arial"/>
          <w:sz w:val="24"/>
          <w:szCs w:val="24"/>
        </w:rPr>
        <w:t xml:space="preserve">│бюджет│      │бюджет│      │бюджет│      │бюджет│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42,1│   0  │  42,2│   0  │  42,4│   0  │ 206,5│   0   │    206,5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37,1│   3,9│  34,1│   3,9│  34,5│  19,1│ 192,1 │    211,2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0  │   3,8│  64,9│   3,8│  65,6│   7,6│ 130,5 │    138,1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0  │   3,8│  41,9│   3,8│  42,4│   7,6│  84,3 │     91,9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6,7│   0,4│   6,8│   0,5│   6,9│   2,1│  49,6 │     51,7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0,2│   2,6│   0,1│   2,6│   0,1│  12,6│   0,8 │     13,4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0,3│   9,6│   0,3│   9,6│   0,3│  41,8│   8   │     49,8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0,2│   1,8│   0,2│   1,8│   0,2│   6,4│   3,2 │      9,6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0,3│   0,2│   0,3│   0,3│   0,3│   1,1│   3,1 │      4,2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0  │   0,3│   0  │   0,3│   0  │   1,5│   0   │      1,5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1,9│   6,5│   0,5│   6,5│   0,5│  26,8│   6,7 │     33,5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0,4│   2,3│   0,4│   2,4│   0,4│  11,1│   2,6 │     13,7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   0  │ 108,2│   0  │ 110,4│   0  │ 530,7│   0   │    530,7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173,7│  47,1│ 185,6│ 149,5│ 188,3│ 151,2│ 874,9│ 480,9 │   1355,8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220,8    │     335,1   │    339,5    │    1355,8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Источники финансирования Программы "Иммунопрофилактика" на 2013-2017 годы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Общая  │      в том числе    │      Источники донорского     │</w:t>
      </w:r>
    </w:p>
    <w:p>
      <w:pPr>
        <w:spacing w:after="120"/>
        <w:jc w:val="both"/>
      </w:pPr>
      <w:r>
        <w:rPr>
          <w:rFonts w:ascii="Arial" w:cs="Arial" w:eastAsia="Arial" w:hAnsi="Arial"/>
          <w:sz w:val="24"/>
          <w:szCs w:val="24"/>
        </w:rPr>
        <w:t xml:space="preserve">│     │стоимость├──────┬──────┬───────┤         финансирования        │</w:t>
      </w:r>
    </w:p>
    <w:p>
      <w:pPr>
        <w:spacing w:after="120"/>
        <w:jc w:val="both"/>
      </w:pPr>
      <w:r>
        <w:rPr>
          <w:rFonts w:ascii="Arial" w:cs="Arial" w:eastAsia="Arial" w:hAnsi="Arial"/>
          <w:sz w:val="24"/>
          <w:szCs w:val="24"/>
        </w:rPr>
        <w:t xml:space="preserve">│     │         │Госуд.│Доноры│ % до- ├──────┬─────┬──────┬─────┬─────┤</w:t>
      </w:r>
    </w:p>
    <w:p>
      <w:pPr>
        <w:spacing w:after="120"/>
        <w:jc w:val="both"/>
      </w:pPr>
      <w:r>
        <w:rPr>
          <w:rFonts w:ascii="Arial" w:cs="Arial" w:eastAsia="Arial" w:hAnsi="Arial"/>
          <w:sz w:val="24"/>
          <w:szCs w:val="24"/>
        </w:rPr>
        <w:t xml:space="preserve">│     │         │бюджет│      │норской│ ГАВИ │ ВОЗ │ЮНИСЕФ│JICA │MCHIP│</w:t>
      </w:r>
    </w:p>
    <w:p>
      <w:pPr>
        <w:spacing w:after="120"/>
        <w:jc w:val="both"/>
      </w:pPr>
      <w:r>
        <w:rPr>
          <w:rFonts w:ascii="Arial" w:cs="Arial" w:eastAsia="Arial" w:hAnsi="Arial"/>
          <w:sz w:val="24"/>
          <w:szCs w:val="24"/>
        </w:rPr>
        <w:t xml:space="preserve">│     │         │      │      │помощи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│2013 │   236,8 │ 160,5│  76,3│  32,2 │  44,5│  3,8│  4,2 │ 22,5│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│2014 │   223,6 │ 166,8│  56,8│  25,4 │  50,4│  2,4│  2,7 │  0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│2015 │   220,8 │ 173,7│  47,1│  21,3 │  41,8│  2,7│  2,6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│2016 │   335,1 │ 185,6│ 149,5│  44,6 │ 145,7│  1,4│  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│2017 │   339,5 │ 188,3│ 151,2│  44,5 │ 147,4│  1,4│  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1355,8 │ 874,9│ 480,9│  35,5 │ 429,8│ 11,7│ 14,3 │ 22,5│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7j2k25qsrzwglvcru6i">
      <w:r>
        <w:rPr>
          <w:rFonts w:ascii="Arial" w:cs="Arial" w:eastAsia="Arial" w:hAnsi="Arial"/>
          <w:color w:val="132D3F"/>
          <w:sz w:val="16"/>
          <w:szCs w:val="16"/>
          <w:u w:val="single"/>
        </w:rPr>
        <w:t xml:space="preserve">dalil.kg/document/94224</w:t>
      </w:r>
    </w:hyperlink>
  </w:p>
  <w:p>
    <w:pPr>
      <w:spacing w:after="0" w:before="40"/>
      <w:jc w:val="center"/>
    </w:pPr>
    <w:hyperlink w:history="1" r:id="rIdfcbhumhvwz9aqc8qpad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wdid7xiq770str54sur" Type="http://schemas.openxmlformats.org/officeDocument/2006/relationships/hyperlink" Target="https://dalil.kg/document/15483" TargetMode="External"/><Relationship Id="rIdbswtxrgqka1exifhfraz8" Type="http://schemas.openxmlformats.org/officeDocument/2006/relationships/hyperlink" Target="https://dalil.kg/document/942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7j2k25qsrzwglvcru6i" Type="http://schemas.openxmlformats.org/officeDocument/2006/relationships/hyperlink" Target="https://dalil.kg/document/94224" TargetMode="External"/><Relationship Id="rIdfcbhumhvwz9aqc8qpad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2026-09-25T03:09:33.406Z</dcterms:created>
  <dcterms:modified xsi:type="dcterms:W3CDTF">2026-09-25T03:09:33.406Z</dcterms:modified>
</cp:coreProperties>
</file>

<file path=docProps/custom.xml><?xml version="1.0" encoding="utf-8"?>
<Properties xmlns="http://schemas.openxmlformats.org/officeDocument/2006/custom-properties" xmlns:vt="http://schemas.openxmlformats.org/officeDocument/2006/docPropsVTypes"/>
</file>