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 силу в соответствии с </w:t>
      </w:r>
      <w:hyperlink w:history="1" r:id="rIdgq6qksxwhzqcgd2s3qc6i">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14 января 2022 года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14 мая 2013 года № 270</w:t>
      </w:r>
    </w:p>
    <w:p>
      <w:pPr>
        <w:spacing w:after="120"/>
        <w:jc w:val="both"/>
      </w:pPr>
      <w:r>
        <w:rPr>
          <w:rFonts w:ascii="Arial" w:cs="Arial" w:eastAsia="Arial" w:hAnsi="Arial"/>
          <w:sz w:val="24"/>
          <w:szCs w:val="24"/>
        </w:rPr>
        <w:t xml:space="preserve">Об отчете об исполнении республиканского бюджета Кыргызской Республики за 2012 год</w:t>
      </w:r>
    </w:p>
    <w:p>
      <w:pPr>
        <w:spacing w:after="120"/>
        <w:jc w:val="both"/>
      </w:pPr>
      <w:r>
        <w:rPr>
          <w:rFonts w:ascii="Arial" w:cs="Arial" w:eastAsia="Arial" w:hAnsi="Arial"/>
          <w:sz w:val="24"/>
          <w:szCs w:val="24"/>
        </w:rPr>
        <w:t xml:space="preserve">В соответствии с подпунктом 6 пункта 1 статьи 88 и статьей 90 </w:t>
      </w:r>
      <w:hyperlink w:history="1" r:id="rId4gb1w_k6kxb6knnxe6xt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прилагаемый </w:t>
      </w:r>
      <w:hyperlink w:history="1" r:id="rIdystigqbrh34_7b9j_slik">
        <w:r>
          <w:rPr>
            <w:rFonts w:ascii="Arial" w:cs="Arial" w:eastAsia="Arial" w:hAnsi="Arial"/>
            <w:color w:val="1D4ED8"/>
            <w:sz w:val="24"/>
            <w:szCs w:val="24"/>
            <w:u w:val="single"/>
          </w:rPr>
          <w:t xml:space="preserve">отчет</w:t>
        </w:r>
      </w:hyperlink>
      <w:r>
        <w:rPr>
          <w:rFonts w:ascii="Arial" w:cs="Arial" w:eastAsia="Arial" w:hAnsi="Arial"/>
          <w:sz w:val="24"/>
          <w:szCs w:val="24"/>
        </w:rPr>
        <w:t xml:space="preserve"> об исполнении республиканского бюджета Кыргызской Республики за 2012 год и направить его в Жогорку Кенеш Кыргызской Республики на утверждение.</w:t>
      </w:r>
    </w:p>
    <w:p>
      <w:pPr>
        <w:spacing w:after="120"/>
        <w:jc w:val="both"/>
      </w:pPr>
      <w:r>
        <w:rPr>
          <w:rFonts w:ascii="Arial" w:cs="Arial" w:eastAsia="Arial" w:hAnsi="Arial"/>
          <w:sz w:val="24"/>
          <w:szCs w:val="24"/>
        </w:rPr>
        <w:t xml:space="preserve">2. Назначить министра финансов Кыргызской Республики официальным представителем Правительства Кыргызской Республики при рассмотрении данного отчета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w:t>
      </w:r>
      <w:r>
        <w:rPr>
          <w:rFonts w:ascii="Arial" w:cs="Arial" w:eastAsia="Arial" w:hAnsi="Arial"/>
          <w:sz w:val="24"/>
          <w:szCs w:val="24"/>
        </w:rPr>
        <w:t xml:space="preserve">
 к </w:t>
      </w:r>
      <w:hyperlink w:history="1" r:id="rIdkujnmfzqdszo9v9uzrfai">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14 мая 2013 года № 270</w:t>
      </w:r>
    </w:p>
    <w:p>
      <w:pPr>
        <w:spacing w:after="120"/>
        <w:jc w:val="both"/>
      </w:pPr>
      <w:r>
        <w:rPr>
          <w:rFonts w:ascii="Arial" w:cs="Arial" w:eastAsia="Arial" w:hAnsi="Arial"/>
          <w:sz w:val="24"/>
          <w:szCs w:val="24"/>
        </w:rPr>
        <w:t xml:space="preserve">ОТЧЕТ
 об исполнении Государственного бюджета Кыргызской Республики за 2012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Приложение находится в Министерстве юстиции в бумажном варианте.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ПОЯСНИТЕЛЬНАЯ ЗАПИСКА
 к отчету об исполнении государственного бюджета Кыргызской Республики за 2012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Макроэкономическая ситуация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данным Нацстаткомитета Кыргызской Республики за 2012 год сложился отрицательный реальный рост ВВП на уровне 0,9%, что ниже уровня 2011 года на 6,9 процентных пункта, а номинальный объем ВВП сложился на уровне 304,4 млрд. сомов. Снижение темпов экономического роста обусловлено сокращением промышленного производства на предприятиях по разработке месторождения "Кумтор".</w:t>
      </w:r>
    </w:p>
    <w:p>
      <w:pPr>
        <w:spacing w:after="120"/>
        <w:jc w:val="both"/>
      </w:pPr>
      <w:r>
        <w:rPr>
          <w:rFonts w:ascii="Arial" w:cs="Arial" w:eastAsia="Arial" w:hAnsi="Arial"/>
          <w:sz w:val="24"/>
          <w:szCs w:val="24"/>
        </w:rPr>
        <w:t xml:space="preserve">Реальный рост экономики без учета предприятий по разработке месторождения "Кумтор" составил 5,0% (рост на 6,3% в 2011 году) в результате роста производства в промышленности (без Кумтор) на 6,1%, услуг на 6,1%, строительстве на 17,3% и в сельском хозяйстве на 1,2%.</w:t>
      </w:r>
    </w:p>
    <w:p>
      <w:pPr>
        <w:spacing w:after="120"/>
        <w:jc w:val="both"/>
      </w:pPr>
      <w:r>
        <w:rPr>
          <w:rFonts w:ascii="Arial" w:cs="Arial" w:eastAsia="Arial" w:hAnsi="Arial"/>
          <w:sz w:val="24"/>
          <w:szCs w:val="24"/>
        </w:rPr>
        <w:t xml:space="preserve">Индекс потребительских цен в 2012 году к декабрю прошлого года составил 7,5% (за 2011 год к декабрю 2010 года 5,7%).</w:t>
      </w:r>
    </w:p>
    <w:p>
      <w:pPr>
        <w:spacing w:after="120"/>
        <w:jc w:val="both"/>
      </w:pPr>
      <w:r>
        <w:rPr>
          <w:rFonts w:ascii="Arial" w:cs="Arial" w:eastAsia="Arial" w:hAnsi="Arial"/>
          <w:sz w:val="24"/>
          <w:szCs w:val="24"/>
        </w:rPr>
        <w:t xml:space="preserve">Индекс потребительских цен к соответствующему периоду прошлого года составил 2,8% (в 2011 году к 2010 году 16,6%).</w:t>
      </w:r>
    </w:p>
    <w:p>
      <w:pPr>
        <w:spacing w:after="120"/>
        <w:jc w:val="both"/>
      </w:pPr>
      <w:r>
        <w:rPr>
          <w:rFonts w:ascii="Arial" w:cs="Arial" w:eastAsia="Arial" w:hAnsi="Arial"/>
          <w:sz w:val="24"/>
          <w:szCs w:val="24"/>
        </w:rPr>
        <w:t xml:space="preserve">Учетный курс доллара увеличился на 1,97% по отношению к концу декабря 2011 года и на конец декабря 2012 года составил 47,4012 сом/доллар США.</w:t>
      </w:r>
    </w:p>
    <w:p>
      <w:pPr>
        <w:spacing w:after="120"/>
        <w:jc w:val="both"/>
      </w:pPr>
      <w:r>
        <w:rPr>
          <w:rFonts w:ascii="Arial" w:cs="Arial" w:eastAsia="Arial" w:hAnsi="Arial"/>
          <w:sz w:val="24"/>
          <w:szCs w:val="24"/>
        </w:rPr>
        <w:t xml:space="preserve">По итогам 2012 года производство промышленной продукции в реальном выражении снизилось на 20,2% (рост на 11,9% в 2011 году). В промышленности без учета Кумтора рост произошел на 6,1% (рост на 18,8% в 2011 году) за счет роста в энергетическом секторе на 5,2% и горнодобывающей промышленности на 22,5%. В обрабатывающей промышленности наблюдался спад на 27,2%.</w:t>
      </w:r>
    </w:p>
    <w:p>
      <w:pPr>
        <w:spacing w:after="120"/>
        <w:jc w:val="both"/>
      </w:pPr>
      <w:r>
        <w:rPr>
          <w:rFonts w:ascii="Arial" w:cs="Arial" w:eastAsia="Arial" w:hAnsi="Arial"/>
          <w:sz w:val="24"/>
          <w:szCs w:val="24"/>
        </w:rPr>
        <w:t xml:space="preserve">В сфере услуг в 2012 году реальный рост составил 6,1% (рост на 8,7% в 2011 году). Рост услуг торговли, ремонта автомобилей, бытовых изделий и предметов личного пользования составил 11,1%, при этом рост розничной торговли (кроме торговли автомобилями и моторным топливом) составил 7,9%.</w:t>
      </w:r>
    </w:p>
    <w:p>
      <w:pPr>
        <w:spacing w:after="120"/>
        <w:jc w:val="both"/>
      </w:pPr>
      <w:r>
        <w:rPr>
          <w:rFonts w:ascii="Arial" w:cs="Arial" w:eastAsia="Arial" w:hAnsi="Arial"/>
          <w:sz w:val="24"/>
          <w:szCs w:val="24"/>
        </w:rPr>
        <w:t xml:space="preserve">Услуги гостиниц и ресторанов в 2012 году увеличились на 11,9% (рост на 15,4% в 2011 году) в связи с увеличением потребительского спроса на данные виды услуг.</w:t>
      </w:r>
    </w:p>
    <w:p>
      <w:pPr>
        <w:spacing w:after="120"/>
        <w:jc w:val="both"/>
      </w:pPr>
      <w:r>
        <w:rPr>
          <w:rFonts w:ascii="Arial" w:cs="Arial" w:eastAsia="Arial" w:hAnsi="Arial"/>
          <w:sz w:val="24"/>
          <w:szCs w:val="24"/>
        </w:rPr>
        <w:t xml:space="preserve">Услуги почтовой и электрической связи в 2012 году увеличились на 9,2% по сравнению с 2011 годом, тарифные доходы составили 20901,7 млн. сомов.</w:t>
      </w:r>
    </w:p>
    <w:p>
      <w:pPr>
        <w:spacing w:after="120"/>
        <w:jc w:val="both"/>
      </w:pPr>
      <w:r>
        <w:rPr>
          <w:rFonts w:ascii="Arial" w:cs="Arial" w:eastAsia="Arial" w:hAnsi="Arial"/>
          <w:sz w:val="24"/>
          <w:szCs w:val="24"/>
        </w:rPr>
        <w:t xml:space="preserve">Услуги перевозок пассажиров в 2012 году выросли на 6,3%. Объем грузов, перевезенных всеми видами транспорта, увеличился на 4,5% (рост на 2,3% в 2011 году).</w:t>
      </w:r>
    </w:p>
    <w:p>
      <w:pPr>
        <w:spacing w:after="120"/>
        <w:jc w:val="both"/>
      </w:pPr>
      <w:r>
        <w:rPr>
          <w:rFonts w:ascii="Arial" w:cs="Arial" w:eastAsia="Arial" w:hAnsi="Arial"/>
          <w:sz w:val="24"/>
          <w:szCs w:val="24"/>
        </w:rPr>
        <w:t xml:space="preserve">За 2012 год объем продукции сельского хозяйства, охоты и лесного хозяйства составил 167505,3 млн. сомов, рост на 1,2% (рост на 2,0% в 2011 году).</w:t>
      </w:r>
    </w:p>
    <w:p>
      <w:pPr>
        <w:spacing w:after="120"/>
        <w:jc w:val="both"/>
      </w:pPr>
      <w:r>
        <w:rPr>
          <w:rFonts w:ascii="Arial" w:cs="Arial" w:eastAsia="Arial" w:hAnsi="Arial"/>
          <w:sz w:val="24"/>
          <w:szCs w:val="24"/>
        </w:rPr>
        <w:t xml:space="preserve">За 2012 год уровень освоения инвестиций в основной капитал за счет всех источников финансирования увеличился на 21,5%, по сравнению с 2011 годом (спад на 3,1% в 2011 году). За отчетный период фактически освоено 62625,0 млн. сомов инвестиций в основной капитал.</w:t>
      </w:r>
    </w:p>
    <w:p>
      <w:pPr>
        <w:spacing w:after="120"/>
        <w:jc w:val="both"/>
      </w:pPr>
      <w:r>
        <w:rPr>
          <w:rFonts w:ascii="Arial" w:cs="Arial" w:eastAsia="Arial" w:hAnsi="Arial"/>
          <w:sz w:val="24"/>
          <w:szCs w:val="24"/>
        </w:rPr>
        <w:t xml:space="preserve">Исходя из общего объема использованных капитальных инвестиций, общий объем валовой продукции строительства за 2012 год составил 54625,0 млн. сомов с ростом на 17,3% (рост на 2,5% в 2011 году).</w:t>
      </w:r>
    </w:p>
    <w:p>
      <w:pPr>
        <w:spacing w:after="120"/>
        <w:jc w:val="both"/>
      </w:pPr>
      <w:r>
        <w:rPr>
          <w:rFonts w:ascii="Arial" w:cs="Arial" w:eastAsia="Arial" w:hAnsi="Arial"/>
          <w:sz w:val="24"/>
          <w:szCs w:val="24"/>
        </w:rPr>
        <w:t xml:space="preserve">Численность официально зарегистрированных безработных на конец декабря 2012 года составила 60,4 тыс. человек и снизилась по сравнению с 2011 годом на 1,2% (снижение на 3,7% в 2011 году).</w:t>
      </w:r>
    </w:p>
    <w:p>
      <w:pPr>
        <w:spacing w:after="120"/>
        <w:jc w:val="both"/>
      </w:pPr>
      <w:r>
        <w:rPr>
          <w:rFonts w:ascii="Arial" w:cs="Arial" w:eastAsia="Arial" w:hAnsi="Arial"/>
          <w:sz w:val="24"/>
          <w:szCs w:val="24"/>
        </w:rPr>
        <w:t xml:space="preserve">Реальный рост среднемесячной заработной платы за 2012 год составил 13,3%, в номинальном выражении среднемесячная заработная плата сложилась на уровне 10891 сомов.</w:t>
      </w:r>
    </w:p>
    <w:p>
      <w:pPr>
        <w:spacing w:after="120"/>
        <w:jc w:val="both"/>
      </w:pPr>
      <w:r>
        <w:rPr>
          <w:rFonts w:ascii="Arial" w:cs="Arial" w:eastAsia="Arial" w:hAnsi="Arial"/>
          <w:sz w:val="24"/>
          <w:szCs w:val="24"/>
        </w:rPr>
        <w:t xml:space="preserve">По предварительным данным внешнеторговый оборот за 2012 год составил 7267,7 млн. долларов США и увеличился по сравнению с 2011 годом на 11,8%, в том числе, импорт - 5373,9 млн. долларов США (увеличение на 26,1%), экспорт - 1893,8 млн. долларов США и снизился на 15,5% по сравнению с 2011 годом в результате сокращения поставок золота.</w:t>
      </w:r>
    </w:p>
    <w:p>
      <w:pPr>
        <w:spacing w:after="120"/>
        <w:jc w:val="both"/>
      </w:pPr>
      <w:r>
        <w:rPr>
          <w:rFonts w:ascii="Arial" w:cs="Arial" w:eastAsia="Arial" w:hAnsi="Arial"/>
          <w:sz w:val="24"/>
          <w:szCs w:val="24"/>
        </w:rPr>
        <w:t xml:space="preserve">В связи с опережающим ростом объемов импорта над экспортом отрицательное сальдо торгового баланса составило 3480,1 млн. долларов США, увеличившись по сравнению с 2011 годом в 1,7 раза.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Исполнение доходной части государственного бюджета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бюджет</w:t>
      </w:r>
    </w:p>
    <w:p>
      <w:pPr>
        <w:spacing w:after="120"/>
        <w:jc w:val="both"/>
      </w:pPr>
      <w:r>
        <w:rPr>
          <w:rFonts w:ascii="Arial" w:cs="Arial" w:eastAsia="Arial" w:hAnsi="Arial"/>
          <w:sz w:val="24"/>
          <w:szCs w:val="24"/>
        </w:rPr>
        <w:t xml:space="preserve">В ресурсную часть государственного бюджета за 2012 год всего поступило 114461,7 млн. сомов, или 97,3% к плану в сумме 117654,5 млн. сомов. Поступления по сравнению с аналогичным периодом 2011 года увеличились на 10896,0 млн. сомов, или на 10,5%. Удельный вес к ВВП составил 37,6%, что на 0,3% процентных пункта ниже аналогичного уровня 2011 года.</w:t>
      </w:r>
    </w:p>
    <w:p>
      <w:pPr>
        <w:spacing w:after="120"/>
        <w:jc w:val="both"/>
      </w:pPr>
      <w:r>
        <w:rPr>
          <w:rFonts w:ascii="Arial" w:cs="Arial" w:eastAsia="Arial" w:hAnsi="Arial"/>
          <w:sz w:val="24"/>
          <w:szCs w:val="24"/>
        </w:rPr>
        <w:t xml:space="preserve">Совокупные доходы (текущие доходы и поступления от продажи нефинансовых активов) государственного бюджета за 2012 год (с учетом специальных средств и внешних грантов ПГИ) составили 87008,1 млн. сомов, или 96,7% к плану в сумме 89992,6 млн. сомов.</w:t>
      </w:r>
    </w:p>
    <w:p>
      <w:pPr>
        <w:spacing w:after="120"/>
        <w:jc w:val="both"/>
      </w:pPr>
      <w:r>
        <w:rPr>
          <w:rFonts w:ascii="Arial" w:cs="Arial" w:eastAsia="Arial" w:hAnsi="Arial"/>
          <w:sz w:val="24"/>
          <w:szCs w:val="24"/>
        </w:rPr>
        <w:t xml:space="preserve">Общий объем текущих доходов государственного бюджета за 2012 год составил 86772,1 млн. сомов или 96,8% от плана в сумме 89642,6 млн. сомов. В сравнении с показателем предыдущего года текущие доходы государственного бюджета возросли на 12,1% или на 9347,8 млн. сомов.</w:t>
      </w:r>
    </w:p>
    <w:p>
      <w:pPr>
        <w:spacing w:after="120"/>
        <w:jc w:val="both"/>
      </w:pPr>
      <w:r>
        <w:rPr>
          <w:rFonts w:ascii="Arial" w:cs="Arial" w:eastAsia="Arial" w:hAnsi="Arial"/>
          <w:sz w:val="24"/>
          <w:szCs w:val="24"/>
        </w:rPr>
        <w:t xml:space="preserve">Объем налоговых доходов за отчетный период составил 63911,4 млн. сомов, или 96,6% от плана в сумме 66178,6 млн. сомов. По отношению к уровню прошлого года налоговые доходы выросли на 10894,0 млн. сомов или на 20,5%. В объеме ВВП доля налоговых поступлений составила 21,0% к ВВП и увеличилась на 1,6 процентных пункта.</w:t>
      </w:r>
    </w:p>
    <w:p>
      <w:pPr>
        <w:spacing w:after="120"/>
        <w:jc w:val="both"/>
      </w:pPr>
      <w:r>
        <w:rPr>
          <w:rFonts w:ascii="Arial" w:cs="Arial" w:eastAsia="Arial" w:hAnsi="Arial"/>
          <w:sz w:val="24"/>
          <w:szCs w:val="24"/>
        </w:rPr>
        <w:t xml:space="preserve">За отчетный период Государственной налоговой службой собрано доходов в сумме 35068,6 млн. сомов, или 97,9% к плановому показателю, без учета Кумтор план выполнен на 97,5%. По сравнению с уровнем прошлого года доходы ГНС выросли на 15,7% или на 4765,9 млн. сомов. Без учета Кумтор поступления выросли на 25%, или на 6288,4 млн. сомов.</w:t>
      </w:r>
    </w:p>
    <w:p>
      <w:pPr>
        <w:spacing w:after="120"/>
        <w:jc w:val="both"/>
      </w:pPr>
      <w:r>
        <w:rPr>
          <w:rFonts w:ascii="Arial" w:cs="Arial" w:eastAsia="Arial" w:hAnsi="Arial"/>
          <w:sz w:val="24"/>
          <w:szCs w:val="24"/>
        </w:rPr>
        <w:t xml:space="preserve">Налоговые доходы Государственной налоговой службы за отчетный период составили 33832,2 млн. сомов, плановый показатель исполнен на 97,4% или в бюджет недопоступило 916,3 млн. сомов. Основными причинами невыполнения планового показателя являются следующие:</w:t>
      </w:r>
    </w:p>
    <w:p>
      <w:pPr>
        <w:spacing w:after="120"/>
        <w:jc w:val="both"/>
      </w:pPr>
      <w:r>
        <w:rPr>
          <w:rFonts w:ascii="Arial" w:cs="Arial" w:eastAsia="Arial" w:hAnsi="Arial"/>
          <w:sz w:val="24"/>
          <w:szCs w:val="24"/>
        </w:rPr>
        <w:t xml:space="preserve">- не достигнут прогнозируемый рост ВВП, по информации Нацстаткома по итогам 2012 года сложился отрицательный реальный рост ВВП на уровне 0,9%;</w:t>
      </w:r>
    </w:p>
    <w:p>
      <w:pPr>
        <w:spacing w:after="120"/>
        <w:jc w:val="both"/>
      </w:pPr>
      <w:r>
        <w:rPr>
          <w:rFonts w:ascii="Arial" w:cs="Arial" w:eastAsia="Arial" w:hAnsi="Arial"/>
          <w:sz w:val="24"/>
          <w:szCs w:val="24"/>
        </w:rPr>
        <w:t xml:space="preserve">- в бюджете 2012 года были предусмотрены поступления от мер (изменение подходов налогообложения), которые требовали законодательного утверждения и практических мер по их реализации. Данные инициативы были приняты только к концу года;</w:t>
      </w:r>
    </w:p>
    <w:p>
      <w:pPr>
        <w:spacing w:after="120"/>
        <w:jc w:val="both"/>
      </w:pPr>
      <w:r>
        <w:rPr>
          <w:rFonts w:ascii="Arial" w:cs="Arial" w:eastAsia="Arial" w:hAnsi="Arial"/>
          <w:sz w:val="24"/>
          <w:szCs w:val="24"/>
        </w:rPr>
        <w:t xml:space="preserve">- с введением новых базовых ставок акцизного налога на табачные изделия, существенно сократились объемы производства ОАО "Реемстма Кыргызстан". Исполнение планового показателя акцизного налога по табачным изделиям составило 44,8%;</w:t>
      </w:r>
    </w:p>
    <w:p>
      <w:pPr>
        <w:spacing w:after="120"/>
        <w:jc w:val="both"/>
      </w:pPr>
      <w:r>
        <w:rPr>
          <w:rFonts w:ascii="Arial" w:cs="Arial" w:eastAsia="Arial" w:hAnsi="Arial"/>
          <w:sz w:val="24"/>
          <w:szCs w:val="24"/>
        </w:rPr>
        <w:t xml:space="preserve">- прогнозная сумма акцизного налога на 2012 год была рассчитана с учетом повышения ставки налога на ликеро-водочные изделия с 21 сома до 26 сом за литр, при этом постановление Правительства Кыргызской Республики "О внесении изменений и дополнений в некоторые решения Правительства Кыргызской Республики", предусматривающее данное повышение ставки налога было принято только 6 августа 2012 года;</w:t>
      </w:r>
    </w:p>
    <w:p>
      <w:pPr>
        <w:spacing w:after="120"/>
        <w:jc w:val="both"/>
      </w:pPr>
      <w:r>
        <w:rPr>
          <w:rFonts w:ascii="Arial" w:cs="Arial" w:eastAsia="Arial" w:hAnsi="Arial"/>
          <w:sz w:val="24"/>
          <w:szCs w:val="24"/>
        </w:rPr>
        <w:t xml:space="preserve">- недостаточный уровень администрирования.</w:t>
      </w:r>
    </w:p>
    <w:p>
      <w:pPr>
        <w:spacing w:after="120"/>
        <w:jc w:val="both"/>
      </w:pPr>
      <w:r>
        <w:rPr>
          <w:rFonts w:ascii="Arial" w:cs="Arial" w:eastAsia="Arial" w:hAnsi="Arial"/>
          <w:sz w:val="24"/>
          <w:szCs w:val="24"/>
        </w:rPr>
        <w:t xml:space="preserve">Фактические сборы подоходного налога составили 5954,2 млн. сомов, плановый показатель выполнен на 97,7%. По сравнению с прошлым годом поступления выросли на 22,7% или 1102,8 млн. сомов, что обеспечено ростом среднемесячной заработной платы (за 2012 год среднемесячная зарплата составила 10891 сом, что на 16,5% больше показателя прошлого года).</w:t>
      </w:r>
    </w:p>
    <w:p>
      <w:pPr>
        <w:spacing w:after="120"/>
        <w:jc w:val="both"/>
      </w:pPr>
      <w:r>
        <w:rPr>
          <w:rFonts w:ascii="Arial" w:cs="Arial" w:eastAsia="Arial" w:hAnsi="Arial"/>
          <w:sz w:val="24"/>
          <w:szCs w:val="24"/>
        </w:rPr>
        <w:t xml:space="preserve">Фактическое поступление по налогу на прибыль составило 4032,3 млн. сомов, плановый показатель перевыполнен на 16,3%. В сравнении с уровнем прошлого года наблюдается рост поступлений более чем в 1,4 раза. Данный уровень поступлений налога на прибыль обеспечен в основном за счет декларационной кампании, по результатам финансово-хозяйственной деятельности предприятий.</w:t>
      </w:r>
    </w:p>
    <w:p>
      <w:pPr>
        <w:spacing w:after="120"/>
        <w:jc w:val="both"/>
      </w:pPr>
      <w:r>
        <w:rPr>
          <w:rFonts w:ascii="Arial" w:cs="Arial" w:eastAsia="Arial" w:hAnsi="Arial"/>
          <w:sz w:val="24"/>
          <w:szCs w:val="24"/>
        </w:rPr>
        <w:t xml:space="preserve">Поступления налогов на основе патента составили 1378,5 млн. сомов, или 97,4% к плану. Темп роста к прошлому году составил 90,2%, в связи со снижением поступлений налога на основе обязательного патента почти в 5 раз, обусловленное запретом игорной деятельности с 1 января текущего года, в соответствии с </w:t>
      </w:r>
      <w:hyperlink w:history="1" r:id="rIdqx8vx26xa2hvajvsvbbj8">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от 1 ноября 2011 года № 191 "О запрете игорной деятельности в Кыргызской Республике".</w:t>
      </w:r>
    </w:p>
    <w:p>
      <w:pPr>
        <w:spacing w:after="120"/>
        <w:jc w:val="both"/>
      </w:pPr>
      <w:r>
        <w:rPr>
          <w:rFonts w:ascii="Arial" w:cs="Arial" w:eastAsia="Arial" w:hAnsi="Arial"/>
          <w:sz w:val="24"/>
          <w:szCs w:val="24"/>
        </w:rPr>
        <w:t xml:space="preserve">Налога на специальные средства бюджетных организаций при плановом показателе 1261,2 млн. сомов собрано 1231,3 млн. сомов, с выполнением планового показателя на 97,6%. По сравнению с прошлым годом наблюдается рост поступлений на 25,3%.</w:t>
      </w:r>
    </w:p>
    <w:p>
      <w:pPr>
        <w:spacing w:after="120"/>
        <w:jc w:val="both"/>
      </w:pPr>
      <w:r>
        <w:rPr>
          <w:rFonts w:ascii="Arial" w:cs="Arial" w:eastAsia="Arial" w:hAnsi="Arial"/>
          <w:sz w:val="24"/>
          <w:szCs w:val="24"/>
        </w:rPr>
        <w:t xml:space="preserve">Поступления по земельному налогу в целом составили 757,1 млн. сомов, плановый показатель выполнен на 93,6%. Относительно прошлогоднего уровня поступления снизились на 0,6%.</w:t>
      </w:r>
    </w:p>
    <w:p>
      <w:pPr>
        <w:spacing w:after="120"/>
        <w:jc w:val="both"/>
      </w:pPr>
      <w:r>
        <w:rPr>
          <w:rFonts w:ascii="Arial" w:cs="Arial" w:eastAsia="Arial" w:hAnsi="Arial"/>
          <w:sz w:val="24"/>
          <w:szCs w:val="24"/>
        </w:rPr>
        <w:t xml:space="preserve">По налогу на транспортные средства за отчетный период собрано 553,4 млн. сомов или 120,0% к плану. По отношению к уровню прошлого года сборы выросли на 27,9%.</w:t>
      </w:r>
    </w:p>
    <w:p>
      <w:pPr>
        <w:spacing w:after="120"/>
        <w:jc w:val="both"/>
      </w:pPr>
      <w:r>
        <w:rPr>
          <w:rFonts w:ascii="Arial" w:cs="Arial" w:eastAsia="Arial" w:hAnsi="Arial"/>
          <w:sz w:val="24"/>
          <w:szCs w:val="24"/>
        </w:rPr>
        <w:t xml:space="preserve">Фактическое поступление НДС на внутреннюю продукцию составило 7133,6 млн. сомов или план исполнен на 90,6%. В бюджет недопоступило 736,4 млн. сомов. По сравнению с показателем прошлого года сборы выросли на 33,5% или на 1789,5 млн. сомов.</w:t>
      </w:r>
    </w:p>
    <w:p>
      <w:pPr>
        <w:spacing w:after="120"/>
        <w:jc w:val="both"/>
      </w:pPr>
      <w:r>
        <w:rPr>
          <w:rFonts w:ascii="Arial" w:cs="Arial" w:eastAsia="Arial" w:hAnsi="Arial"/>
          <w:sz w:val="24"/>
          <w:szCs w:val="24"/>
        </w:rPr>
        <w:t xml:space="preserve">По налогу с продаж сборы составили 4988,9 млн. сомов, плановый показатель выполнен на 92,8% (сумма недобора - 389,0 млн. сомов). В сравнении с прошлым годом прирост поступлений составил 20,8%.</w:t>
      </w:r>
    </w:p>
    <w:p>
      <w:pPr>
        <w:spacing w:after="120"/>
        <w:jc w:val="both"/>
      </w:pPr>
      <w:r>
        <w:rPr>
          <w:rFonts w:ascii="Arial" w:cs="Arial" w:eastAsia="Arial" w:hAnsi="Arial"/>
          <w:sz w:val="24"/>
          <w:szCs w:val="24"/>
        </w:rPr>
        <w:t xml:space="preserve">Поступления по акцизам на внутреннюю продукцию составили 812,8 млн. сомов. Плановый показатель выполнен на 66,4%, или в бюджет недопоступило 411,2 млн. сомов. Темп роста относительно предыдущего года составил 121,7%.</w:t>
      </w:r>
    </w:p>
    <w:p>
      <w:pPr>
        <w:spacing w:after="120"/>
        <w:jc w:val="both"/>
      </w:pPr>
      <w:r>
        <w:rPr>
          <w:rFonts w:ascii="Arial" w:cs="Arial" w:eastAsia="Arial" w:hAnsi="Arial"/>
          <w:sz w:val="24"/>
          <w:szCs w:val="24"/>
        </w:rPr>
        <w:t xml:space="preserve">Налога за пользование недрами налоговыми органами собрано в сумме 632,7 млн. сомов, или 127,3% к плану. В сравнении с показателем прошлого года сборы выросли более чем в 1,6 раза, в связи со значительным ростом поступлений как бонусов, так и роялти.</w:t>
      </w:r>
    </w:p>
    <w:p>
      <w:pPr>
        <w:spacing w:after="120"/>
        <w:jc w:val="both"/>
      </w:pPr>
      <w:r>
        <w:rPr>
          <w:rFonts w:ascii="Arial" w:cs="Arial" w:eastAsia="Arial" w:hAnsi="Arial"/>
          <w:sz w:val="24"/>
          <w:szCs w:val="24"/>
        </w:rPr>
        <w:t xml:space="preserve">За отчетный период Кумтором, с учетом перечисленного в мае месяце 2012 года предварительного платежа в сумме 30 млн. долларов США, перечислено налога на валовый доход в сумме 4543,9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 по налоговым поступлениям в государственный бюджет за 2012 год по отношению к 2011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62"/>
        <w:gridCol w:w="1323"/>
        <w:gridCol w:w="1323"/>
        <w:gridCol w:w="1323"/>
        <w:gridCol w:w="1323"/>
        <w:gridCol w:w="1323"/>
      </w:tblGrid>
      <w:tr>
        <w:tc>
          <w:tcPr>
            <w:tcW w:type="dxa" w:w="356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доходов</w:t>
            </w:r>
          </w:p>
        </w:tc>
        <w:tc>
          <w:tcPr>
            <w:tcW w:type="dxa" w:w="13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2011 г.</w:t>
            </w:r>
          </w:p>
        </w:tc>
        <w:tc>
          <w:tcPr>
            <w:tcW w:type="dxa" w:w="13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 вес к ВВП 2011 г.</w:t>
            </w:r>
          </w:p>
        </w:tc>
        <w:tc>
          <w:tcPr>
            <w:tcW w:type="dxa" w:w="13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2012 г.</w:t>
            </w:r>
          </w:p>
        </w:tc>
        <w:tc>
          <w:tcPr>
            <w:tcW w:type="dxa" w:w="13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 вес к ВВП 2012 г.</w:t>
            </w:r>
          </w:p>
        </w:tc>
        <w:tc>
          <w:tcPr>
            <w:tcW w:type="dxa" w:w="13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2012/2011</w:t>
            </w:r>
          </w:p>
        </w:tc>
      </w:tr>
      <w:tr>
        <w:tc>
          <w:tcPr>
            <w:tcW w:type="dxa" w:w="35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273107,8</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304350,1</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111,4</w:t>
            </w:r>
          </w:p>
        </w:tc>
      </w:tr>
      <w:tr>
        <w:tc>
          <w:tcPr>
            <w:tcW w:type="dxa" w:w="35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Налоговые поступления</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53017,4</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63911,4</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120,5</w:t>
            </w:r>
          </w:p>
        </w:tc>
      </w:tr>
      <w:tr>
        <w:tc>
          <w:tcPr>
            <w:tcW w:type="dxa" w:w="35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Подоходный налог с физических лиц-резидентов КР</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4851,4</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5954,2</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122,7</w:t>
            </w:r>
          </w:p>
        </w:tc>
      </w:tr>
      <w:tr>
        <w:tc>
          <w:tcPr>
            <w:tcW w:type="dxa" w:w="35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 на прибыль</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2844,5</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4032,3</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141,8</w:t>
            </w:r>
          </w:p>
        </w:tc>
      </w:tr>
      <w:tr>
        <w:tc>
          <w:tcPr>
            <w:tcW w:type="dxa" w:w="35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НДС - всего:</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20352,9</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25769,3</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126,6</w:t>
            </w:r>
          </w:p>
        </w:tc>
      </w:tr>
      <w:tr>
        <w:tc>
          <w:tcPr>
            <w:tcW w:type="dxa" w:w="35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на товары и услуги, производимые на территории КР</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5344,1</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7133,6</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133,5</w:t>
            </w:r>
          </w:p>
        </w:tc>
      </w:tr>
      <w:tr>
        <w:tc>
          <w:tcPr>
            <w:tcW w:type="dxa" w:w="35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на товары, ввозимые на территорию КР</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15008,8</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18635,7</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124,2</w:t>
            </w:r>
          </w:p>
        </w:tc>
      </w:tr>
      <w:tr>
        <w:tc>
          <w:tcPr>
            <w:tcW w:type="dxa" w:w="35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Акцизный налог - всего:</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2187,0</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2826,7</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129,3</w:t>
            </w:r>
          </w:p>
        </w:tc>
      </w:tr>
      <w:tr>
        <w:tc>
          <w:tcPr>
            <w:tcW w:type="dxa" w:w="35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на товары, производимые на территории КР</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667,8</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812,8</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121,7</w:t>
            </w:r>
          </w:p>
        </w:tc>
      </w:tr>
      <w:tr>
        <w:tc>
          <w:tcPr>
            <w:tcW w:type="dxa" w:w="35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на товары, ввозимые на территорию КР</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1519,2</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2013,9</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132,6</w:t>
            </w:r>
          </w:p>
        </w:tc>
      </w:tr>
      <w:tr>
        <w:tc>
          <w:tcPr>
            <w:tcW w:type="dxa" w:w="35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Налоги за пользование недрами</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385,8</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632,7</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164,0</w:t>
            </w:r>
          </w:p>
        </w:tc>
      </w:tr>
      <w:tr>
        <w:tc>
          <w:tcPr>
            <w:tcW w:type="dxa" w:w="35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Земельный налог</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761,8</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757,1</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99,4</w:t>
            </w:r>
          </w:p>
        </w:tc>
      </w:tr>
      <w:tr>
        <w:tc>
          <w:tcPr>
            <w:tcW w:type="dxa" w:w="35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Таможенные платежи</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7146,8</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9429,5</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131,9</w:t>
            </w:r>
          </w:p>
        </w:tc>
      </w:tr>
      <w:tr>
        <w:tc>
          <w:tcPr>
            <w:tcW w:type="dxa" w:w="35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 на валовый доход от Кумтор</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6066,4</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4543,9</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74,9</w:t>
            </w:r>
          </w:p>
        </w:tc>
      </w:tr>
      <w:tr>
        <w:tc>
          <w:tcPr>
            <w:tcW w:type="dxa" w:w="35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Неналоговые поступления</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15654,6</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17252,4</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r>
    </w:tbl>
    <w:p>
      <w:pPr>
        <w:spacing w:after="120"/>
        <w:jc w:val="both"/>
      </w:pPr>
      <w:r>
        <w:rPr>
          <w:rFonts w:ascii="Arial" w:cs="Arial" w:eastAsia="Arial" w:hAnsi="Arial"/>
          <w:sz w:val="24"/>
          <w:szCs w:val="24"/>
        </w:rPr>
        <w:t xml:space="preserve">Неналоговые поступления государственного бюджета за рассматриваемый период составили 17252,4 млн. сомов или 99,6% от плана. В сравнении с периодом предыдущего года сборы выросли на 10,2% или на 1597,8 млн. сомов. Рост поступлений в основном связан с увеличением поступлений процентов по выданным бюджетным ссудам и кредитам, прибыли Национального банка КР и государственных предприятий, платы за регистрацию и перерегистрацию транспортных средств, поступлений от оказания платных услуг и прочих неналоговых доходов.</w:t>
      </w:r>
    </w:p>
    <w:p>
      <w:pPr>
        <w:spacing w:after="120"/>
        <w:jc w:val="both"/>
      </w:pPr>
      <w:r>
        <w:rPr>
          <w:rFonts w:ascii="Arial" w:cs="Arial" w:eastAsia="Arial" w:hAnsi="Arial"/>
          <w:sz w:val="24"/>
          <w:szCs w:val="24"/>
        </w:rPr>
        <w:t xml:space="preserve">Фондом по управлению государственным имуществом при ПКР обеспечено поступление в бюджет республики доходов от управления государственным имуществом в сумме 2590,0 млн. сомов, плановый показатель выполнен на 99,6%. В сравнении с показателем прошлого года поступления от управления государственным имуществом снизились на 19,1%, в основном в связи с тем, что в прошлом году компанией Центерра Голд инк. были перечислены дивиденды в сумме 1,3 млрд. сомов, тогда как в этом году поступления дивидендов от данной компании составили около 128,8 млн. сомов.</w:t>
      </w:r>
    </w:p>
    <w:p>
      <w:pPr>
        <w:spacing w:after="120"/>
        <w:jc w:val="both"/>
      </w:pPr>
      <w:r>
        <w:rPr>
          <w:rFonts w:ascii="Arial" w:cs="Arial" w:eastAsia="Arial" w:hAnsi="Arial"/>
          <w:sz w:val="24"/>
          <w:szCs w:val="24"/>
        </w:rPr>
        <w:t xml:space="preserve">Поступления официальных грантов составили 5608,3 млн. сомов с недобором плана на 540,1 млн. сомов, в основном в связи с недопоступлением грантов ПГИ. По отношению к уровню прошлого года поступления грантов снизились на 3144,0 млн. сом, что в основном обусловлено снижением поступлений программных грантов.</w:t>
      </w:r>
    </w:p>
    <w:p>
      <w:pPr>
        <w:spacing w:after="120"/>
        <w:jc w:val="both"/>
      </w:pPr>
      <w:r>
        <w:rPr>
          <w:rFonts w:ascii="Arial" w:cs="Arial" w:eastAsia="Arial" w:hAnsi="Arial"/>
          <w:sz w:val="24"/>
          <w:szCs w:val="24"/>
        </w:rPr>
        <w:t xml:space="preserve">Государственной таможенной службой за отчетный период обеспечено налогов и платежей в размере 30079,2 млн. сомов или 95,7% от плана. В бюджет недопоступило 1350,8 млн. сомов. Невыполнение планового показателя наблюдается по НДС на импорт - 93,4%, по акцизному налогу - 93,9% и по импортной таможенной пошлине - 84%.</w:t>
      </w:r>
    </w:p>
    <w:p>
      <w:pPr>
        <w:spacing w:after="120"/>
        <w:jc w:val="both"/>
      </w:pPr>
      <w:r>
        <w:rPr>
          <w:rFonts w:ascii="Arial" w:cs="Arial" w:eastAsia="Arial" w:hAnsi="Arial"/>
          <w:sz w:val="24"/>
          <w:szCs w:val="24"/>
        </w:rPr>
        <w:t xml:space="preserve">Прогноз поступлений таможенных платежей на 2012 год был сформирован с учетом дополнительных мероприятий по увеличению доходной части бюджета. Так, в бюджете на 2012 год были заложены дополнительные поступления порядка 1,5 млрд. сомов за счет изменения механизма переработки ГСМ, при условии упрощения процедуры возмещения субъектам, занимающимся переработкой и экспортом ГСМ и своевременного возмещения сумм НДС. Однако указанный механизм не был реализован в полной мере.</w:t>
      </w:r>
    </w:p>
    <w:p>
      <w:pPr>
        <w:spacing w:after="120"/>
        <w:jc w:val="both"/>
      </w:pPr>
      <w:r>
        <w:rPr>
          <w:rFonts w:ascii="Arial" w:cs="Arial" w:eastAsia="Arial" w:hAnsi="Arial"/>
          <w:sz w:val="24"/>
          <w:szCs w:val="24"/>
        </w:rPr>
        <w:t xml:space="preserve">Также, согласно Налоговому </w:t>
      </w:r>
      <w:hyperlink w:history="1" r:id="rIdzn7dgymmgn6jfutcmemva">
        <w:r>
          <w:rPr>
            <w:rFonts w:ascii="Arial" w:cs="Arial" w:eastAsia="Arial" w:hAnsi="Arial"/>
            <w:color w:val="1D4ED8"/>
            <w:sz w:val="24"/>
            <w:szCs w:val="24"/>
            <w:u w:val="single"/>
          </w:rPr>
          <w:t xml:space="preserve">кодексу</w:t>
        </w:r>
      </w:hyperlink>
      <w:r>
        <w:rPr>
          <w:rFonts w:ascii="Arial" w:cs="Arial" w:eastAsia="Arial" w:hAnsi="Arial"/>
          <w:sz w:val="24"/>
          <w:szCs w:val="24"/>
        </w:rPr>
        <w:t xml:space="preserve"> Кыргызской Республики, предусмотрено освобождение от уплаты НДС при ввозе лекарственных средств, согласно Перечню, утверждаемому постановлением Правительства Кыргызской Республики. Перечень ввозимых лекарственных средств и изделий медицинского назначения, освобождаемых от уплаты НДС, утвержден лишь в январе месяце 2013 года. При этом, дополнительные поступления от данного мероприятия были заложены в бюджете 2012 года.</w:t>
      </w:r>
    </w:p>
    <w:p>
      <w:pPr>
        <w:spacing w:after="120"/>
        <w:jc w:val="both"/>
      </w:pPr>
      <w:r>
        <w:rPr>
          <w:rFonts w:ascii="Arial" w:cs="Arial" w:eastAsia="Arial" w:hAnsi="Arial"/>
          <w:sz w:val="24"/>
          <w:szCs w:val="24"/>
        </w:rPr>
        <w:t xml:space="preserve">Вышеперечисленные факторы явились основными причинами неисполнения планового показателя поступлений таможенных платежей.</w:t>
      </w:r>
    </w:p>
    <w:p>
      <w:pPr>
        <w:spacing w:after="120"/>
        <w:jc w:val="both"/>
      </w:pPr>
      <w:r>
        <w:rPr>
          <w:rFonts w:ascii="Arial" w:cs="Arial" w:eastAsia="Arial" w:hAnsi="Arial"/>
          <w:sz w:val="24"/>
          <w:szCs w:val="24"/>
        </w:rPr>
        <w:t xml:space="preserve">По отношению к прошлому году поступления таможенных платежей и налогов выросли на 27,1%, или на 6404,4 млн. сомов, что обусловлено в основном ростом объема импорта (по данным Нацстаткома, объем импорта за 2012 год составил 5373,9 млн. долларов США и вырос по сравнению с прошлым годом на 26,1%).</w:t>
      </w:r>
    </w:p>
    <w:p>
      <w:pPr>
        <w:spacing w:after="120"/>
        <w:jc w:val="both"/>
      </w:pPr>
      <w:r>
        <w:rPr>
          <w:rFonts w:ascii="Arial" w:cs="Arial" w:eastAsia="Arial" w:hAnsi="Arial"/>
          <w:sz w:val="24"/>
          <w:szCs w:val="24"/>
        </w:rPr>
        <w:t xml:space="preserve">Рост поступлений наблюдается по всем налогам и платежам:</w:t>
      </w:r>
    </w:p>
    <w:p>
      <w:pPr>
        <w:spacing w:after="120"/>
        <w:jc w:val="both"/>
      </w:pPr>
      <w:r>
        <w:rPr>
          <w:rFonts w:ascii="Arial" w:cs="Arial" w:eastAsia="Arial" w:hAnsi="Arial"/>
          <w:sz w:val="24"/>
          <w:szCs w:val="24"/>
        </w:rPr>
        <w:t xml:space="preserve">- по НДС на импорт - на 3626,9 млн. сомов, или на 24,2%;</w:t>
      </w:r>
    </w:p>
    <w:p>
      <w:pPr>
        <w:spacing w:after="120"/>
        <w:jc w:val="both"/>
      </w:pPr>
      <w:r>
        <w:rPr>
          <w:rFonts w:ascii="Arial" w:cs="Arial" w:eastAsia="Arial" w:hAnsi="Arial"/>
          <w:sz w:val="24"/>
          <w:szCs w:val="24"/>
        </w:rPr>
        <w:t xml:space="preserve">- по акцизному налогу на импорт - на 494,7 млн. сомов, или на 32,6%;</w:t>
      </w:r>
    </w:p>
    <w:p>
      <w:pPr>
        <w:spacing w:after="120"/>
        <w:jc w:val="both"/>
      </w:pPr>
      <w:r>
        <w:rPr>
          <w:rFonts w:ascii="Arial" w:cs="Arial" w:eastAsia="Arial" w:hAnsi="Arial"/>
          <w:sz w:val="24"/>
          <w:szCs w:val="24"/>
        </w:rPr>
        <w:t xml:space="preserve">- по таможенным платежам - на 2282,7 млн. сомов, или на 31,9%.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Сравнительный анализ неналоговых поступлений в государственный бюджет за 2011-2012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coм)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94"/>
        <w:gridCol w:w="1095"/>
        <w:gridCol w:w="1097"/>
        <w:gridCol w:w="1097"/>
        <w:gridCol w:w="1097"/>
        <w:gridCol w:w="1097"/>
      </w:tblGrid>
      <w:tr>
        <w:tc>
          <w:tcPr>
            <w:tcW w:type="dxa" w:w="469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109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2011 г.</w:t>
            </w:r>
          </w:p>
        </w:tc>
        <w:tc>
          <w:tcPr>
            <w:tcW w:type="dxa" w:w="10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 вес к ВВП 2011 г.</w:t>
            </w:r>
          </w:p>
        </w:tc>
        <w:tc>
          <w:tcPr>
            <w:tcW w:type="dxa" w:w="10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2012 г.</w:t>
            </w:r>
          </w:p>
        </w:tc>
        <w:tc>
          <w:tcPr>
            <w:tcW w:type="dxa" w:w="10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вып. к 2011 г.</w:t>
            </w:r>
          </w:p>
        </w:tc>
        <w:tc>
          <w:tcPr>
            <w:tcW w:type="dxa" w:w="10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 вес к ВВП 2012 г.</w:t>
            </w:r>
          </w:p>
        </w:tc>
      </w:tr>
      <w:tr>
        <w:tc>
          <w:tcPr>
            <w:tcW w:type="dxa" w:w="4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273107,8</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304350,1</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Доходы, всего</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77424,3</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86772,1</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112,1</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w:t>
            </w:r>
          </w:p>
        </w:tc>
      </w:tr>
      <w:tr>
        <w:tc>
          <w:tcPr>
            <w:tcW w:type="dxa" w:w="4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Неналоговые поступления</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15654,6</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17252,4</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r>
      <w:tr>
        <w:tc>
          <w:tcPr>
            <w:tcW w:type="dxa" w:w="4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 по депозитам Правительства, находящимся в Национальном банке КР</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72,0</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116,1</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161,3</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w:t>
            </w:r>
          </w:p>
        </w:tc>
      </w:tr>
      <w:tr>
        <w:tc>
          <w:tcPr>
            <w:tcW w:type="dxa" w:w="4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 по выданным бюджетным ссудам и кредитам</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533,4</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680,1</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127,5</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r>
      <w:tr>
        <w:tc>
          <w:tcPr>
            <w:tcW w:type="dxa" w:w="4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Дивиденды, начисленные на государственный пакет акций</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2923,2</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1827,0</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62,5</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4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Прибыль Национального банка Кыргызской Республики</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1361,6</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1575,8</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115,7</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r>
      <w:tr>
        <w:tc>
          <w:tcPr>
            <w:tcW w:type="dxa" w:w="4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Арендная плата</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3251,6</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4095,2</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125,9</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r>
        <w:tc>
          <w:tcPr>
            <w:tcW w:type="dxa" w:w="4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Сборы и платежи</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718,9</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841,4</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117,0</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r>
      <w:tr>
        <w:tc>
          <w:tcPr>
            <w:tcW w:type="dxa" w:w="4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304,8</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286,8</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94,1</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r>
      <w:tr>
        <w:tc>
          <w:tcPr>
            <w:tcW w:type="dxa" w:w="4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Штрафы, санкции, конфискации</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335,9</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294,7</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87,7</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r>
      <w:tr>
        <w:tc>
          <w:tcPr>
            <w:tcW w:type="dxa" w:w="4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Поступления по специальным средствам от бюджетных учреждений</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5485,5</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6427,7</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117,2</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r>
    </w:tbl>
    <w:p>
      <w:pPr>
        <w:spacing w:after="120"/>
        <w:jc w:val="both"/>
      </w:pPr>
      <w:r>
        <w:rPr>
          <w:rFonts w:ascii="Arial" w:cs="Arial" w:eastAsia="Arial" w:hAnsi="Arial"/>
          <w:sz w:val="24"/>
          <w:szCs w:val="24"/>
        </w:rPr>
        <w:t xml:space="preserve">Республиканский бюджет</w:t>
      </w:r>
    </w:p>
    <w:p>
      <w:pPr>
        <w:spacing w:after="120"/>
        <w:jc w:val="both"/>
      </w:pPr>
      <w:r>
        <w:rPr>
          <w:rFonts w:ascii="Arial" w:cs="Arial" w:eastAsia="Arial" w:hAnsi="Arial"/>
          <w:sz w:val="24"/>
          <w:szCs w:val="24"/>
        </w:rPr>
        <w:t xml:space="preserve">За 2012 год в республиканский бюджет поступление ресурсов (с учетом специальных средств, внешних грантов и кредитов ПГИ) составило 105047,6 млн. сомов, или 97,5% от плана в сумме 107758,5 млн. сомов. В сравнении с аналогичными показателями 2011 года поступления ресурсов увеличилось на 10,8%, что составило 10272,1 млн. сомов. Удельный вес в объеме ВВП составил 34,5%, тогда как за аналогичный период прошлого года этот показатель составлял 34,7%.</w:t>
      </w:r>
    </w:p>
    <w:p>
      <w:pPr>
        <w:spacing w:after="120"/>
        <w:jc w:val="both"/>
      </w:pPr>
      <w:r>
        <w:rPr>
          <w:rFonts w:ascii="Arial" w:cs="Arial" w:eastAsia="Arial" w:hAnsi="Arial"/>
          <w:sz w:val="24"/>
          <w:szCs w:val="24"/>
        </w:rPr>
        <w:t xml:space="preserve">Поступление ресурсов (без специальных средств, внешних грантов и кредитов ПГИ) составило 78905,6 млн. сомов, или 98,5% от плана в сумме 80146,7 млн. сомов. В сравнении с аналогичным периодом прошлого года поступления ресурсов увеличилось на 2,9%, что составило 2223,7 млн. сомов.</w:t>
      </w:r>
    </w:p>
    <w:p>
      <w:pPr>
        <w:spacing w:after="120"/>
        <w:jc w:val="both"/>
      </w:pPr>
      <w:r>
        <w:rPr>
          <w:rFonts w:ascii="Arial" w:cs="Arial" w:eastAsia="Arial" w:hAnsi="Arial"/>
          <w:sz w:val="24"/>
          <w:szCs w:val="24"/>
        </w:rPr>
        <w:t xml:space="preserve">Совокупные доходы (текущие доходы и поступления от продажи нефинансовых активов) республиканского бюджета за 2012 год (с учетом специальных средств и внешних грантов ПГИ) составили 77601,1 млн. сомов, или 96,9% к плану в сумме 80116,9 млн. сомов.</w:t>
      </w:r>
    </w:p>
    <w:p>
      <w:pPr>
        <w:spacing w:after="120"/>
        <w:jc w:val="both"/>
      </w:pPr>
      <w:r>
        <w:rPr>
          <w:rFonts w:ascii="Arial" w:cs="Arial" w:eastAsia="Arial" w:hAnsi="Arial"/>
          <w:sz w:val="24"/>
          <w:szCs w:val="24"/>
        </w:rPr>
        <w:t xml:space="preserve">Общий объем доходов республиканского бюджета за 2012 год составили 77498,6 млн. сомов, с невыполнением плана 2418,3 млн. сомов. В сравнении с показателем предыдущего года доходы возросли на 12,3%, или на 8477,0 млн. сомов.</w:t>
      </w:r>
    </w:p>
    <w:p>
      <w:pPr>
        <w:spacing w:after="120"/>
        <w:jc w:val="both"/>
      </w:pPr>
      <w:r>
        <w:rPr>
          <w:rFonts w:ascii="Arial" w:cs="Arial" w:eastAsia="Arial" w:hAnsi="Arial"/>
          <w:sz w:val="24"/>
          <w:szCs w:val="24"/>
        </w:rPr>
        <w:t xml:space="preserve">Налоговых сборов в доход республиканского бюджета поступило 56247,1 млн. сомов и неналоговых доходов - 15643,2 млн. сомов, план по налоговым доходам исполнен на 96,9% и неналоговым доходам - на 99,5%.</w:t>
      </w:r>
    </w:p>
    <w:p>
      <w:pPr>
        <w:spacing w:after="120"/>
        <w:jc w:val="both"/>
      </w:pPr>
      <w:r>
        <w:rPr>
          <w:rFonts w:ascii="Arial" w:cs="Arial" w:eastAsia="Arial" w:hAnsi="Arial"/>
          <w:sz w:val="24"/>
          <w:szCs w:val="24"/>
        </w:rPr>
        <w:t xml:space="preserve">В составе поступивших ресурсов наибольший удельный вес занимают поступления, обеспеченные:</w:t>
      </w:r>
    </w:p>
    <w:p>
      <w:pPr>
        <w:spacing w:after="120"/>
        <w:jc w:val="both"/>
      </w:pPr>
      <w:r>
        <w:rPr>
          <w:rFonts w:ascii="Arial" w:cs="Arial" w:eastAsia="Arial" w:hAnsi="Arial"/>
          <w:sz w:val="24"/>
          <w:szCs w:val="24"/>
        </w:rPr>
        <w:t xml:space="preserve">Государственной таможенной службой - 28,6%,</w:t>
      </w:r>
    </w:p>
    <w:p>
      <w:pPr>
        <w:spacing w:after="120"/>
        <w:jc w:val="both"/>
      </w:pPr>
      <w:r>
        <w:rPr>
          <w:rFonts w:ascii="Arial" w:cs="Arial" w:eastAsia="Arial" w:hAnsi="Arial"/>
          <w:sz w:val="24"/>
          <w:szCs w:val="24"/>
        </w:rPr>
        <w:t xml:space="preserve">Государственной налоговой службой - 25,5%,</w:t>
      </w:r>
    </w:p>
    <w:p>
      <w:pPr>
        <w:spacing w:after="120"/>
        <w:jc w:val="both"/>
      </w:pPr>
      <w:r>
        <w:rPr>
          <w:rFonts w:ascii="Arial" w:cs="Arial" w:eastAsia="Arial" w:hAnsi="Arial"/>
          <w:sz w:val="24"/>
          <w:szCs w:val="24"/>
        </w:rPr>
        <w:t xml:space="preserve">Внешними займами - 16,6%,</w:t>
      </w:r>
    </w:p>
    <w:p>
      <w:pPr>
        <w:spacing w:after="120"/>
        <w:jc w:val="both"/>
      </w:pPr>
      <w:r>
        <w:rPr>
          <w:rFonts w:ascii="Arial" w:cs="Arial" w:eastAsia="Arial" w:hAnsi="Arial"/>
          <w:sz w:val="24"/>
          <w:szCs w:val="24"/>
        </w:rPr>
        <w:t xml:space="preserve">Доходами от ГКВ - 6,6%,</w:t>
      </w:r>
    </w:p>
    <w:p>
      <w:pPr>
        <w:spacing w:after="120"/>
        <w:jc w:val="both"/>
      </w:pPr>
      <w:r>
        <w:rPr>
          <w:rFonts w:ascii="Arial" w:cs="Arial" w:eastAsia="Arial" w:hAnsi="Arial"/>
          <w:sz w:val="24"/>
          <w:szCs w:val="24"/>
        </w:rPr>
        <w:t xml:space="preserve">Грантами из-за границы - 5,3%,</w:t>
      </w:r>
    </w:p>
    <w:p>
      <w:pPr>
        <w:spacing w:after="120"/>
        <w:jc w:val="both"/>
      </w:pPr>
      <w:r>
        <w:rPr>
          <w:rFonts w:ascii="Arial" w:cs="Arial" w:eastAsia="Arial" w:hAnsi="Arial"/>
          <w:sz w:val="24"/>
          <w:szCs w:val="24"/>
        </w:rPr>
        <w:t xml:space="preserve">Возвратом бюджетных ссуд - 2,7%.</w:t>
      </w:r>
    </w:p>
    <w:p>
      <w:pPr>
        <w:spacing w:after="120"/>
        <w:jc w:val="both"/>
      </w:pPr>
      <w:r>
        <w:rPr>
          <w:rFonts w:ascii="Arial" w:cs="Arial" w:eastAsia="Arial" w:hAnsi="Arial"/>
          <w:sz w:val="24"/>
          <w:szCs w:val="24"/>
        </w:rPr>
        <w:t xml:space="preserve">Доходы (без специальных средств и с учетом внешних грантов ПГИ), поступившие в республиканский бюджет за 2012 год, составили 71716,8 млн. сомов, или 97,3% к плану в сумме 73673,2 млн. сомов. По сравнению с аналогичным периодом 2011 года показатели доходов возросли на 11,9%, что составило в денежном выражении 7629,4 млн. сомов.</w:t>
      </w:r>
    </w:p>
    <w:p>
      <w:pPr>
        <w:spacing w:after="120"/>
        <w:jc w:val="both"/>
      </w:pPr>
      <w:r>
        <w:rPr>
          <w:rFonts w:ascii="Arial" w:cs="Arial" w:eastAsia="Arial" w:hAnsi="Arial"/>
          <w:sz w:val="24"/>
          <w:szCs w:val="24"/>
        </w:rPr>
        <w:t xml:space="preserve">Общий объем налоговых поступлений составили 56247,1 млн. сомов, или выполнение плана в сумме 58051,6 млн. сомов составило 96,9%. Номинальный темп роста данного показателя по сравнению с аналогичным показателем прошлого года составил 121,9%, или 10121,9 млн. сомов. Значительный объем в структуре неналоговых поступлений занимают специальные средства бюджетных учреждений, которые составили 5781,8 млн. сомов. План в сумме 6243,7 млн. сомов исполнен на 92,6%. По сравнению с аналогичным периодом 2011 года показатели доходов возросли на 17,2%, что составило в денежном выражении 847,6 млн. сомов.</w:t>
      </w:r>
    </w:p>
    <w:p>
      <w:pPr>
        <w:spacing w:after="120"/>
        <w:jc w:val="both"/>
      </w:pPr>
      <w:r>
        <w:rPr>
          <w:rFonts w:ascii="Arial" w:cs="Arial" w:eastAsia="Arial" w:hAnsi="Arial"/>
          <w:sz w:val="24"/>
          <w:szCs w:val="24"/>
        </w:rPr>
        <w:t xml:space="preserve">Общая сумма поступивших в республиканский бюджет дивидендов, причитающихся на государственную долю акций от деятельности акционерных предприятий, составила 1827,0 млн. сомов, или план в сумме 2059,2 млн. сомов выполнен на 88,7%.</w:t>
      </w:r>
    </w:p>
    <w:p>
      <w:pPr>
        <w:spacing w:after="120"/>
        <w:jc w:val="both"/>
      </w:pPr>
      <w:r>
        <w:rPr>
          <w:rFonts w:ascii="Arial" w:cs="Arial" w:eastAsia="Arial" w:hAnsi="Arial"/>
          <w:sz w:val="24"/>
          <w:szCs w:val="24"/>
        </w:rPr>
        <w:t xml:space="preserve">Зачисление в доходную часть республиканского бюджета грантов из-за границы в 2012 году составило 5608,3 млн. сомов, или 91,2% к плану, из них грант ПГИ составил 4731,0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 по ресурсной (доходной) части республиканского бюджета за 2012 год по сравнению с 2011 годом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67"/>
        <w:gridCol w:w="963"/>
        <w:gridCol w:w="799"/>
        <w:gridCol w:w="799"/>
        <w:gridCol w:w="799"/>
        <w:gridCol w:w="1244"/>
        <w:gridCol w:w="1309"/>
      </w:tblGrid>
      <w:tr>
        <w:tc>
          <w:tcPr>
            <w:tcW w:type="dxa" w:w="426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ресурсов и доходов</w:t>
            </w:r>
          </w:p>
        </w:tc>
        <w:tc>
          <w:tcPr>
            <w:tcW w:type="dxa" w:w="96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2011 г.</w:t>
            </w:r>
          </w:p>
        </w:tc>
        <w:tc>
          <w:tcPr>
            <w:tcW w:type="dxa" w:w="2397"/>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24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Номин. темп роста</w:t>
            </w:r>
          </w:p>
        </w:tc>
        <w:tc>
          <w:tcPr>
            <w:tcW w:type="dxa" w:w="130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Реальн. темп роста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вып.</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42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ресурсов</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94775,5</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107758,5</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105047,6</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97,5</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r>
      <w:tr>
        <w:tc>
          <w:tcPr>
            <w:tcW w:type="dxa" w:w="42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Ресурсы (без спец. средств, ПГИ)</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76681,9</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80146,7</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78905,6</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98,5</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95,8</w:t>
            </w:r>
          </w:p>
        </w:tc>
      </w:tr>
      <w:tr>
        <w:tc>
          <w:tcPr>
            <w:tcW w:type="dxa" w:w="42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Доходы</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69021,6</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79917,0</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77498,6</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97,0</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r>
      <w:tr>
        <w:tc>
          <w:tcPr>
            <w:tcW w:type="dxa" w:w="42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Налоговые доходы</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46125,2</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58051,6</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56247,1</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96,9</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121,9</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113,5</w:t>
            </w:r>
          </w:p>
        </w:tc>
      </w:tr>
      <w:tr>
        <w:tc>
          <w:tcPr>
            <w:tcW w:type="dxa" w:w="42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Полученные официальные трансферты</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8752,3</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6148,4</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5608,3</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91,2</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64,1</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59,7</w:t>
            </w:r>
          </w:p>
        </w:tc>
      </w:tr>
      <w:tr>
        <w:tc>
          <w:tcPr>
            <w:tcW w:type="dxa" w:w="42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Неналоговые доходы</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14144,1</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15716,0</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15643,2</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99,5</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r>
      <w:tr>
        <w:tc>
          <w:tcPr>
            <w:tcW w:type="dxa" w:w="42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 по депозитам Правительства, находящимся в Национальном банке КР</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72,0</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115,4</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116,1</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161,3</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150,2</w:t>
            </w:r>
          </w:p>
        </w:tc>
      </w:tr>
      <w:tr>
        <w:tc>
          <w:tcPr>
            <w:tcW w:type="dxa" w:w="42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 по выданным бюджетным ссудам и кредитам</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533,4</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570,3</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680,1</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119,3</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127,5</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118,7</w:t>
            </w:r>
          </w:p>
        </w:tc>
      </w:tr>
      <w:tr>
        <w:tc>
          <w:tcPr>
            <w:tcW w:type="dxa" w:w="42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Дивиденды, начисленные на государственный пакет акций</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2923,2</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2059,2</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1827,0</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88,7</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62,5</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58,2</w:t>
            </w:r>
          </w:p>
        </w:tc>
      </w:tr>
      <w:tr>
        <w:tc>
          <w:tcPr>
            <w:tcW w:type="dxa" w:w="42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Прибыль Национального банка Кыргызской Республики</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1361,6</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1575,8</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1575,8</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115,7</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r>
      <w:tr>
        <w:tc>
          <w:tcPr>
            <w:tcW w:type="dxa" w:w="42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Арендная плата</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2769,8</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3563,8</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3572,6</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129,0</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120,1</w:t>
            </w:r>
          </w:p>
        </w:tc>
      </w:tr>
      <w:tr>
        <w:tc>
          <w:tcPr>
            <w:tcW w:type="dxa" w:w="42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Плата за выдачу лицензий</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148,3</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w:t>
            </w:r>
          </w:p>
        </w:tc>
      </w:tr>
      <w:tr>
        <w:tc>
          <w:tcPr>
            <w:tcW w:type="dxa" w:w="42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Поступления от спецсредств бюджетных учреждений</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4934,2</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6243,7</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5781,8</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92,6</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117,2</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r>
      <w:tr>
        <w:tc>
          <w:tcPr>
            <w:tcW w:type="dxa" w:w="42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Штрафы, санкции, конфискации</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237,2</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230,0</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226,1</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98,3</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95,3</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88,7</w:t>
            </w:r>
          </w:p>
        </w:tc>
      </w:tr>
      <w:tr>
        <w:tc>
          <w:tcPr>
            <w:tcW w:type="dxa" w:w="42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неналоговые доходы</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593,5</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322,6</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645,2</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54,4</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50,7</w:t>
            </w:r>
          </w:p>
        </w:tc>
      </w:tr>
    </w:tbl>
    <w:p>
      <w:pPr>
        <w:spacing w:after="120"/>
        <w:jc w:val="both"/>
      </w:pPr>
      <w:r>
        <w:rPr>
          <w:rFonts w:ascii="Arial" w:cs="Arial" w:eastAsia="Arial" w:hAnsi="Arial"/>
          <w:sz w:val="24"/>
          <w:szCs w:val="24"/>
        </w:rPr>
        <w:t xml:space="preserve">Предприятиями и организациями возвращено по ранее выданным ссудам и кредитам (с учетом процентов) 3509,9 млн. сомов против запланированных 3318,4 млн. сомов к плану. Сверхплановые поступления составили 191,5 млн. сомов. По сравнению с аналогичным периодом 2011 года показатели доходов в денежном выражении уменьшились на 2221,6 млн. сомов.</w:t>
      </w:r>
    </w:p>
    <w:p>
      <w:pPr>
        <w:spacing w:after="120"/>
        <w:jc w:val="both"/>
      </w:pPr>
      <w:r>
        <w:rPr>
          <w:rFonts w:ascii="Arial" w:cs="Arial" w:eastAsia="Arial" w:hAnsi="Arial"/>
          <w:sz w:val="24"/>
          <w:szCs w:val="24"/>
        </w:rPr>
        <w:t xml:space="preserve">Доходы, поступившие за 2012 год в республиканский бюджет от приватизации государственной собственности, составили 153,2 млн. сомов. По сравнению с аналогичным периодом 2011 года показатели доходов в денежном выражении уменьшились на 6,2 млн. сомов.</w:t>
      </w:r>
    </w:p>
    <w:p>
      <w:pPr>
        <w:spacing w:after="120"/>
        <w:jc w:val="both"/>
      </w:pPr>
      <w:r>
        <w:rPr>
          <w:rFonts w:ascii="Arial" w:cs="Arial" w:eastAsia="Arial" w:hAnsi="Arial"/>
          <w:sz w:val="24"/>
          <w:szCs w:val="24"/>
        </w:rPr>
        <w:t xml:space="preserve">Доходы по государственным казначейским векселям составили 6973,8 млн. сомов, или 100,3% к прогнозу.</w:t>
      </w:r>
    </w:p>
    <w:p>
      <w:pPr>
        <w:spacing w:after="120"/>
        <w:jc w:val="both"/>
      </w:pPr>
      <w:r>
        <w:rPr>
          <w:rFonts w:ascii="Arial" w:cs="Arial" w:eastAsia="Arial" w:hAnsi="Arial"/>
          <w:sz w:val="24"/>
          <w:szCs w:val="24"/>
        </w:rPr>
        <w:t xml:space="preserve">Местный бюджет</w:t>
      </w:r>
    </w:p>
    <w:p>
      <w:pPr>
        <w:spacing w:after="120"/>
        <w:jc w:val="both"/>
      </w:pPr>
      <w:r>
        <w:rPr>
          <w:rFonts w:ascii="Arial" w:cs="Arial" w:eastAsia="Arial" w:hAnsi="Arial"/>
          <w:sz w:val="24"/>
          <w:szCs w:val="24"/>
        </w:rPr>
        <w:t xml:space="preserve">За 2012 год фактическое поступление доходов местного бюджета с трансфертами в целом по республике составили 23565,4 млн. сомов, при этом номинальный темп роста относительно соответствующего показателя предыдущего года составил 110,3%, или 2201,0 млн. сомов.</w:t>
      </w:r>
    </w:p>
    <w:p>
      <w:pPr>
        <w:spacing w:after="120"/>
        <w:jc w:val="both"/>
      </w:pPr>
      <w:r>
        <w:rPr>
          <w:rFonts w:ascii="Arial" w:cs="Arial" w:eastAsia="Arial" w:hAnsi="Arial"/>
          <w:sz w:val="24"/>
          <w:szCs w:val="24"/>
        </w:rPr>
        <w:t xml:space="preserve">Фактическое поступление местных доходов без трансфертов составили 9273,4 млн. сомов или 95,3% от планового показателя.</w:t>
      </w:r>
    </w:p>
    <w:p>
      <w:pPr>
        <w:spacing w:after="120"/>
        <w:jc w:val="both"/>
      </w:pPr>
      <w:r>
        <w:rPr>
          <w:rFonts w:ascii="Arial" w:cs="Arial" w:eastAsia="Arial" w:hAnsi="Arial"/>
          <w:sz w:val="24"/>
          <w:szCs w:val="24"/>
        </w:rPr>
        <w:t xml:space="preserve">Уровень налоговых доходов местного бюджета за 2012 год составили 7664,3 млн. сомов или 94,3% от установленного плана (сумма недопоступления 462,7 млн. сомов), при этом номинальный темп роста относительно соответствующего показателя предыдущего года увеличился на 11,2% или на 772,1 млн. сомов.</w:t>
      </w:r>
    </w:p>
    <w:p>
      <w:pPr>
        <w:spacing w:after="120"/>
        <w:jc w:val="both"/>
      </w:pPr>
      <w:r>
        <w:rPr>
          <w:rFonts w:ascii="Arial" w:cs="Arial" w:eastAsia="Arial" w:hAnsi="Arial"/>
          <w:sz w:val="24"/>
          <w:szCs w:val="24"/>
        </w:rPr>
        <w:t xml:space="preserve">По налогам на основе патента план выполнен на 97,4% или недопоступило 37,4 млн. сомов, в том числе по налогу на основе обязательного патента план выполнен на 110,7% или перевыполнение 10,7 млн. сомов, по налогу на основе добровольного патента план выполнен на 96,3% или недопоступило 48,1 млн. сомов.</w:t>
      </w:r>
    </w:p>
    <w:p>
      <w:pPr>
        <w:spacing w:after="120"/>
        <w:jc w:val="both"/>
      </w:pPr>
      <w:r>
        <w:rPr>
          <w:rFonts w:ascii="Arial" w:cs="Arial" w:eastAsia="Arial" w:hAnsi="Arial"/>
          <w:sz w:val="24"/>
          <w:szCs w:val="24"/>
        </w:rPr>
        <w:t xml:space="preserve">План по налогу с владельцев транспортных средств выполнен на 120,0% (сумма перевыполнения 92,4 млн. сомов). Относительно прошлогоднего уровня поступления также увеличились на 27,9% или на 120,7 млн. сомов.</w:t>
      </w:r>
    </w:p>
    <w:p>
      <w:pPr>
        <w:spacing w:after="120"/>
        <w:jc w:val="both"/>
      </w:pPr>
      <w:r>
        <w:rPr>
          <w:rFonts w:ascii="Arial" w:cs="Arial" w:eastAsia="Arial" w:hAnsi="Arial"/>
          <w:sz w:val="24"/>
          <w:szCs w:val="24"/>
        </w:rPr>
        <w:t xml:space="preserve">План по налогу с продаж выполнен на 88,8% (сумма недопоступления 270,9 млн. сомов), относительно прошлогоднего уровня поступления увеличились на 3,8% или на 78,3 млн. сомов.</w:t>
      </w:r>
    </w:p>
    <w:p>
      <w:pPr>
        <w:spacing w:after="120"/>
        <w:jc w:val="both"/>
      </w:pPr>
      <w:r>
        <w:rPr>
          <w:rFonts w:ascii="Arial" w:cs="Arial" w:eastAsia="Arial" w:hAnsi="Arial"/>
          <w:sz w:val="24"/>
          <w:szCs w:val="24"/>
        </w:rPr>
        <w:t xml:space="preserve">План по подоходному налогу выполнен на 94,3% (сумма недопоступления 131,7 млн. сомов), относительно прошлогоднего уровня поступления увеличились на 28,7% или на 481,7 млн. сомов.</w:t>
      </w:r>
    </w:p>
    <w:p>
      <w:pPr>
        <w:spacing w:after="120"/>
        <w:jc w:val="both"/>
      </w:pPr>
      <w:r>
        <w:rPr>
          <w:rFonts w:ascii="Arial" w:cs="Arial" w:eastAsia="Arial" w:hAnsi="Arial"/>
          <w:sz w:val="24"/>
          <w:szCs w:val="24"/>
        </w:rPr>
        <w:t xml:space="preserve">Поступления по земельному налогу в целом составили 757,1 млн. сомов, плановый показатель выполнен на 93,6% (сумма недопоступления 51,6 млн. сомов). Относительно прошлогоднего уровня поступления снизились на 0,6% или на 4,7 млн. сомов.</w:t>
      </w:r>
    </w:p>
    <w:p>
      <w:pPr>
        <w:spacing w:after="120"/>
        <w:jc w:val="both"/>
      </w:pPr>
      <w:r>
        <w:rPr>
          <w:rFonts w:ascii="Arial" w:cs="Arial" w:eastAsia="Arial" w:hAnsi="Arial"/>
          <w:sz w:val="24"/>
          <w:szCs w:val="24"/>
        </w:rPr>
        <w:t xml:space="preserve">Объем неналоговых доходов местного бюджета за рассматриваемый период составили в сумме 1609,2 млн. сомов, при этом плановый показатель выполнен на 100,7%, сумма перевыполнения 10,4 млн. сомов. Относительно предыдущего года поступления неналоговых доходов увеличилось на 6,5% или на 98,6 млн. сомов.</w:t>
      </w:r>
    </w:p>
    <w:p>
      <w:pPr>
        <w:spacing w:after="120"/>
        <w:jc w:val="both"/>
      </w:pPr>
      <w:r>
        <w:rPr>
          <w:rFonts w:ascii="Arial" w:cs="Arial" w:eastAsia="Arial" w:hAnsi="Arial"/>
          <w:sz w:val="24"/>
          <w:szCs w:val="24"/>
        </w:rPr>
        <w:t xml:space="preserve">Фактическое поступление государственной пошлины взимаемой органами юстиции составили 263,1 млн. сомов или план выполнен на 84,2%. Относительно показателей соответствующего периода предыдущего года платежи уменьшились на 6,1% или на 17,0 млн. сомов.</w:t>
      </w:r>
    </w:p>
    <w:p>
      <w:pPr>
        <w:spacing w:after="120"/>
        <w:jc w:val="both"/>
      </w:pPr>
      <w:r>
        <w:rPr>
          <w:rFonts w:ascii="Arial" w:cs="Arial" w:eastAsia="Arial" w:hAnsi="Arial"/>
          <w:sz w:val="24"/>
          <w:szCs w:val="24"/>
        </w:rPr>
        <w:t xml:space="preserve">Поступления по административным штрафам составили 67,0 млн. сомов, план выполнен на 65,2% или недопоступило в бюджет на сумму 35,7 млн. сомов, относительно прошлогоднего уровня поступления также уменьшились на 29,2% или на 27,6 млн. сомов.</w:t>
      </w:r>
    </w:p>
    <w:p>
      <w:pPr>
        <w:spacing w:after="120"/>
        <w:jc w:val="both"/>
      </w:pPr>
      <w:r>
        <w:rPr>
          <w:rFonts w:ascii="Arial" w:cs="Arial" w:eastAsia="Arial" w:hAnsi="Arial"/>
          <w:sz w:val="24"/>
          <w:szCs w:val="24"/>
        </w:rPr>
        <w:t xml:space="preserve">Фактическое поступление сумм специальных средств от оказанных услуг бюджетными учреждениями составило 645,9 млн. сомов, с выполнением плана на 96,7% (сумма невыполнения 22,0 млн. сомов). Относительно показателей соответствующего периода предыдущего года платежи увеличились на 17,1% или на 94,5 млн. сомов.</w:t>
      </w:r>
    </w:p>
    <w:p>
      <w:pPr>
        <w:spacing w:after="120"/>
        <w:jc w:val="both"/>
      </w:pPr>
      <w:r>
        <w:rPr>
          <w:rFonts w:ascii="Arial" w:cs="Arial" w:eastAsia="Arial" w:hAnsi="Arial"/>
          <w:sz w:val="24"/>
          <w:szCs w:val="24"/>
        </w:rPr>
        <w:t xml:space="preserve">Фактическое поступление в целом арендной платы составили 522,6 млн. сомов или план выполнен на 112,9%, сумма перевыполнения 59,6 млн. сомов. Относительно соответствующих показателей предыдущего года сбор платежей по арендной плате в целом увеличился на 8,5% или на 40,9 млн. сомов.</w:t>
      </w:r>
    </w:p>
    <w:p>
      <w:pPr>
        <w:spacing w:after="120"/>
        <w:jc w:val="both"/>
      </w:pPr>
      <w:r>
        <w:rPr>
          <w:rFonts w:ascii="Arial" w:cs="Arial" w:eastAsia="Arial" w:hAnsi="Arial"/>
          <w:sz w:val="24"/>
          <w:szCs w:val="24"/>
        </w:rPr>
        <w:t xml:space="preserve">Поступление в доход местных бюджетов сумм от продажи нефинансовых и финансовых активов составили 140,7 млн. сомов, из них нефинансовые активы 133,6 млн.сомов, план выполнен на 89,1%, финансовые активы 7,0 млн. сомов. Относительно показателей соответствующего периода предыдущего года нефинансовые платежи уменьшились на 44,4% или на 106,7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Исполнение расходной части государственного бюджета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рамках реализации бюджетной политики в 2012 году были реализованы следующие мероприятия:</w:t>
      </w:r>
    </w:p>
    <w:p>
      <w:pPr>
        <w:spacing w:after="120"/>
        <w:jc w:val="both"/>
      </w:pPr>
      <w:r>
        <w:rPr>
          <w:rFonts w:ascii="Arial" w:cs="Arial" w:eastAsia="Arial" w:hAnsi="Arial"/>
          <w:sz w:val="24"/>
          <w:szCs w:val="24"/>
        </w:rPr>
        <w:t xml:space="preserve">- </w:t>
      </w:r>
      <w:hyperlink w:history="1" r:id="rIdpmuahk5p5ki916ls8agj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октября 2012 года № 718 был одобрен проект Бюджетного кодекса Кыргызской Республики и направлен на рассмотрение в Жогорку Кенеш Кыргызской Республики;</w:t>
      </w:r>
    </w:p>
    <w:p>
      <w:pPr>
        <w:spacing w:after="120"/>
        <w:jc w:val="both"/>
      </w:pPr>
      <w:r>
        <w:rPr>
          <w:rFonts w:ascii="Arial" w:cs="Arial" w:eastAsia="Arial" w:hAnsi="Arial"/>
          <w:sz w:val="24"/>
          <w:szCs w:val="24"/>
        </w:rPr>
        <w:t xml:space="preserve">- </w:t>
      </w:r>
      <w:hyperlink w:history="1" r:id="rIdjhqc8cwgajwpb8pz-mba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республиканском бюджете Кыргызской Республики на 2012 год и прогнозе на 2013-2014 годы" от 17 апреля 2012 года № 41 был утвержден бюджет на 2012 год и прогноза на 2013-2014 годы, а также Законами Кыргызской Республики "О внесении изменений в Закон Кыргызской Республики "О республиканском бюджете Кыргызской Республики на 2012 год и прогнозе на 2013-2014 годы" от 16 июля 2012 года № 119 и от 31 декабря 2012 года № 207 были внесены изменения в бюджет;</w:t>
      </w:r>
    </w:p>
    <w:p>
      <w:pPr>
        <w:spacing w:after="120"/>
        <w:jc w:val="both"/>
      </w:pPr>
      <w:r>
        <w:rPr>
          <w:rFonts w:ascii="Arial" w:cs="Arial" w:eastAsia="Arial" w:hAnsi="Arial"/>
          <w:sz w:val="24"/>
          <w:szCs w:val="24"/>
        </w:rPr>
        <w:t xml:space="preserve">- подготовлен проект республиканского бюджета на 2013 год и прогноза на 2014-2015 годы и утвержден </w:t>
      </w:r>
      <w:hyperlink w:history="1" r:id="rIdhp-whk7brt8nxrw50ur7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республиканском бюджете Кыргызской Республики на 2013 год и прогнозе на 2014-2015 годы" от 1 февраля 2013 года № 10;</w:t>
      </w:r>
    </w:p>
    <w:p>
      <w:pPr>
        <w:spacing w:after="120"/>
        <w:jc w:val="both"/>
      </w:pPr>
      <w:r>
        <w:rPr>
          <w:rFonts w:ascii="Arial" w:cs="Arial" w:eastAsia="Arial" w:hAnsi="Arial"/>
          <w:sz w:val="24"/>
          <w:szCs w:val="24"/>
        </w:rPr>
        <w:t xml:space="preserve">- "Среднесрочный прогноз бюджета Кыргызской Республики на 2013-2015 годы" подготовлен и одобрен решением Координационного совета по макроэкономической и инвестиционной политике при Правительстве Кыргызской Республики от 25 мая 2012 года.</w:t>
      </w:r>
    </w:p>
    <w:p>
      <w:pPr>
        <w:spacing w:after="120"/>
        <w:jc w:val="both"/>
      </w:pPr>
      <w:r>
        <w:rPr>
          <w:rFonts w:ascii="Arial" w:cs="Arial" w:eastAsia="Arial" w:hAnsi="Arial"/>
          <w:sz w:val="24"/>
          <w:szCs w:val="24"/>
        </w:rPr>
        <w:t xml:space="preserve">В целях повышения прозрачности бюджетного процесса на регулярной основе на официальном сайте Министерства финансов размещалась бюджетная информация, включающая Среднесрочный прогноз бюджета на 2013-2015 годы, проект республиканского бюджета на 2013-2015 годы, ежемесячный финансовый план, гражданский бюджет на 2012 год, пресс-релизы и другие.</w:t>
      </w:r>
    </w:p>
    <w:p>
      <w:pPr>
        <w:spacing w:after="120"/>
        <w:jc w:val="both"/>
      </w:pPr>
      <w:r>
        <w:rPr>
          <w:rFonts w:ascii="Arial" w:cs="Arial" w:eastAsia="Arial" w:hAnsi="Arial"/>
          <w:sz w:val="24"/>
          <w:szCs w:val="24"/>
        </w:rPr>
        <w:t xml:space="preserve">Гражданский бюджет предназначен для широкой общественности и является коротким и информативным документом, освещающим формирование, распределение и использование бюджетных средств. Гражданский бюджет 2012 года был презентован представителям гражданского общества и распространен в виде плакатов и брошюр в городах: Ош, Джалал-Абад, Талас, Нарын, Каракол.</w:t>
      </w:r>
    </w:p>
    <w:p>
      <w:pPr>
        <w:spacing w:after="120"/>
        <w:jc w:val="both"/>
      </w:pPr>
      <w:r>
        <w:rPr>
          <w:rFonts w:ascii="Arial" w:cs="Arial" w:eastAsia="Arial" w:hAnsi="Arial"/>
          <w:sz w:val="24"/>
          <w:szCs w:val="24"/>
        </w:rPr>
        <w:t xml:space="preserve">Реформирование системы управления государственными финансами (УГФ) в Кыргызской Республике осуществлялось в рамках Плана действий по реформированию системы управления государственными финансами Кыргызской Республики, утвержденного </w:t>
      </w:r>
      <w:hyperlink w:history="1" r:id="rIdgqb369cownw25sigkdtn3">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22 октября 2009 года № 396.</w:t>
      </w:r>
    </w:p>
    <w:p>
      <w:pPr>
        <w:spacing w:after="120"/>
        <w:jc w:val="both"/>
      </w:pPr>
      <w:r>
        <w:rPr>
          <w:rFonts w:ascii="Arial" w:cs="Arial" w:eastAsia="Arial" w:hAnsi="Arial"/>
          <w:sz w:val="24"/>
          <w:szCs w:val="24"/>
        </w:rPr>
        <w:t xml:space="preserve">Реализация Плана действий была направлена на дальнейшее устранение проблем системы управления государственными финансами и недостатков бюджетного процесса в целом и послужила платформой для дальнейшей существенной модернизации системы управления государственными финансами. Однако, в свете последних преобразований, а также в рамках дальнейшего совершенствования системы управления государственными финансами возникла необходимость пересмотра и обновления Среднесрочного плана действий по реформированию системы УГФ Кыргызской Республики.</w:t>
      </w:r>
    </w:p>
    <w:p>
      <w:pPr>
        <w:spacing w:after="120"/>
        <w:jc w:val="both"/>
      </w:pPr>
      <w:r>
        <w:rPr>
          <w:rFonts w:ascii="Arial" w:cs="Arial" w:eastAsia="Arial" w:hAnsi="Arial"/>
          <w:sz w:val="24"/>
          <w:szCs w:val="24"/>
        </w:rPr>
        <w:t xml:space="preserve">Обновленный Среднесрочный план действий по реформированию системы УГФ был утвержден </w:t>
      </w:r>
      <w:hyperlink w:history="1" r:id="rIdg97bjapyerckwu4zttio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Среднесрочного плана действий по реформированию системы УГФ Кыргызской Республики на 2012-2015 годы" от 3 октября 2012 года № 675.</w:t>
      </w:r>
    </w:p>
    <w:p>
      <w:pPr>
        <w:spacing w:after="120"/>
        <w:jc w:val="both"/>
      </w:pPr>
      <w:r>
        <w:rPr>
          <w:rFonts w:ascii="Arial" w:cs="Arial" w:eastAsia="Arial" w:hAnsi="Arial"/>
          <w:sz w:val="24"/>
          <w:szCs w:val="24"/>
        </w:rPr>
        <w:t xml:space="preserve">Кроме того, в целях продвижения реформ по УГФ и поэтапного перехода на программное бюджетирование, ориентированное на результат, Министерством финансов Кыргызской Республики в республиканском бюджете Кыргызской Республики на 2012 год и прогноза на 2013-2014 годы, представлены бюджеты в программном формате шести пилотных министерств дополнительно к традиционному формату. В приложении к пояснительной записке к </w:t>
      </w:r>
      <w:hyperlink w:history="1" r:id="rIdodee5vm0mmujvcrldww-z">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республиканском бюджете Кыргызской Республики на 2012 год и прогнозе на 2013-2014 годы" приложена подробная информация по бюджетам пилотных министерств в программном формате.</w:t>
      </w:r>
    </w:p>
    <w:p>
      <w:pPr>
        <w:spacing w:after="120"/>
        <w:jc w:val="both"/>
      </w:pPr>
      <w:r>
        <w:rPr>
          <w:rFonts w:ascii="Arial" w:cs="Arial" w:eastAsia="Arial" w:hAnsi="Arial"/>
          <w:sz w:val="24"/>
          <w:szCs w:val="24"/>
        </w:rPr>
        <w:t xml:space="preserve">С целью повышения потенциала министерств и ведомств для разработки бюджета на программной основе в 2012 году проводились обучающие тренинги. Методические, инструктивные материалы по программному бюджетированию предоставлялись разработчикам программных бюджетов.</w:t>
      </w:r>
    </w:p>
    <w:p>
      <w:pPr>
        <w:spacing w:after="120"/>
        <w:jc w:val="both"/>
      </w:pPr>
      <w:r>
        <w:rPr>
          <w:rFonts w:ascii="Arial" w:cs="Arial" w:eastAsia="Arial" w:hAnsi="Arial"/>
          <w:sz w:val="24"/>
          <w:szCs w:val="24"/>
        </w:rPr>
        <w:t xml:space="preserve">По итогам 2012 года совокупные расходы (текущие расходы и расходы по приобретению нефинансовых активов) государственного бюджета Кыргызской Республики (с учетом специальных средств, внешних грантов и кредитов ПГИ) составили 107240,4 млн. сомов при уточненном плане 111443,8 млн. сомов, или на 96,2 процента, в том числе республиканский бюджет исполнен в сумме 97836,7 млн. сомов или на 96,6 процента к уточненному плану (101296,1 млн. сомов), местный бюджет исполнен в сумме 23695,7 млн. сомов или на 96,6 процента к плану (24542,0 млн. сомов). По сравнению с прошлым годом совокупные расходы государственного бюджета возросли на 15696,3 млн. сомов или на 17,1 процента.</w:t>
      </w:r>
    </w:p>
    <w:p>
      <w:pPr>
        <w:spacing w:after="120"/>
        <w:jc w:val="both"/>
      </w:pPr>
      <w:r>
        <w:rPr>
          <w:rFonts w:ascii="Arial" w:cs="Arial" w:eastAsia="Arial" w:hAnsi="Arial"/>
          <w:sz w:val="24"/>
          <w:szCs w:val="24"/>
        </w:rPr>
        <w:t xml:space="preserve">По отношению к ВВП совокупные расходы государственного бюджета Кыргызской Республики составили 35,2 процента, в том числе расходы по республиканскому бюджету - 32,1 процента, по местному бюджету - 7,8 процента.</w:t>
      </w:r>
    </w:p>
    <w:p>
      <w:pPr>
        <w:spacing w:after="120"/>
        <w:jc w:val="both"/>
      </w:pPr>
      <w:r>
        <w:rPr>
          <w:rFonts w:ascii="Arial" w:cs="Arial" w:eastAsia="Arial" w:hAnsi="Arial"/>
          <w:sz w:val="24"/>
          <w:szCs w:val="24"/>
        </w:rPr>
        <w:t xml:space="preserve">Совокупные расходы государственного бюджета Кыргызской Республики за 2012 год (без учета специальных средств, внешних грантов и кредитов ПГИ) составили 80476,9 млн. сомов при уточненном плане 82334,1 млн. сомов или исполнен на 97,7 процента. Относительно прошлого года совокупные расходы государственного бюджета возросли на 7357,8 млн. сомов или на 10,1 процента.</w:t>
      </w:r>
    </w:p>
    <w:p>
      <w:pPr>
        <w:spacing w:after="120"/>
        <w:jc w:val="both"/>
      </w:pPr>
      <w:r>
        <w:rPr>
          <w:rFonts w:ascii="Arial" w:cs="Arial" w:eastAsia="Arial" w:hAnsi="Arial"/>
          <w:sz w:val="24"/>
          <w:szCs w:val="24"/>
        </w:rPr>
        <w:t xml:space="preserve">К объему ВВП совокупные расходы государственного бюджета (без учета специальных средств, грантов и кредитов ПГИ) составили 26,4 процента. В сравнении с 2011 годом расходы государственного бюджета по отношению к ВВП уменьшились на 0,4 процентных пункта.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Исполнение государственного бюджета Кыргызской Республики по статьям расходов за 2011-2012 гг. (без учета специальных средств, внешних грантов и кредитов ПГИ)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05"/>
        <w:gridCol w:w="882"/>
        <w:gridCol w:w="882"/>
        <w:gridCol w:w="882"/>
        <w:gridCol w:w="882"/>
        <w:gridCol w:w="882"/>
        <w:gridCol w:w="882"/>
        <w:gridCol w:w="884"/>
      </w:tblGrid>
      <w:tr>
        <w:tc>
          <w:tcPr>
            <w:tcW w:type="dxa" w:w="400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статей</w:t>
            </w:r>
          </w:p>
        </w:tc>
        <w:tc>
          <w:tcPr>
            <w:tcW w:type="dxa" w:w="88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2011 г.</w:t>
            </w:r>
          </w:p>
        </w:tc>
        <w:tc>
          <w:tcPr>
            <w:tcW w:type="dxa" w:w="88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2012 г.</w:t>
            </w:r>
          </w:p>
        </w:tc>
        <w:tc>
          <w:tcPr>
            <w:tcW w:type="dxa" w:w="88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2012 г.</w:t>
            </w:r>
          </w:p>
        </w:tc>
        <w:tc>
          <w:tcPr>
            <w:tcW w:type="dxa" w:w="88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к плану</w:t>
            </w:r>
          </w:p>
        </w:tc>
        <w:tc>
          <w:tcPr>
            <w:tcW w:type="dxa" w:w="88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 к плану (+,-)</w:t>
            </w:r>
          </w:p>
        </w:tc>
        <w:tc>
          <w:tcPr>
            <w:tcW w:type="dxa" w:w="88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 (+,-) к 2011 г.</w:t>
            </w:r>
          </w:p>
        </w:tc>
        <w:tc>
          <w:tcPr>
            <w:tcW w:type="dxa" w:w="8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к 2011 г.</w:t>
            </w:r>
          </w:p>
        </w:tc>
      </w:tr>
      <w:tr>
        <w:tc>
          <w:tcPr>
            <w:tcW w:type="dxa" w:w="40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Заработная плата</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23740,0</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27149,8</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26888,5</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99,0</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-261,3</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3148,5</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113,3</w:t>
            </w:r>
          </w:p>
        </w:tc>
      </w:tr>
      <w:tr>
        <w:tc>
          <w:tcPr>
            <w:tcW w:type="dxa" w:w="40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Взносы в Социальный фонд</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3195,3</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3749,9</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3670,5</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97,9</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-79,4</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475,2</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114,9</w:t>
            </w:r>
          </w:p>
        </w:tc>
      </w:tr>
      <w:tr>
        <w:tc>
          <w:tcPr>
            <w:tcW w:type="dxa" w:w="40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на служебные поездки</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482,6</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483,9</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467,3</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96,6</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96,8</w:t>
            </w:r>
          </w:p>
        </w:tc>
      </w:tr>
      <w:tr>
        <w:tc>
          <w:tcPr>
            <w:tcW w:type="dxa" w:w="40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Коммунальные услуги</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2278,0</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2686,0</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2591,6</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96,5</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-94,4</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313,6</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113,8</w:t>
            </w:r>
          </w:p>
        </w:tc>
      </w:tr>
      <w:tr>
        <w:tc>
          <w:tcPr>
            <w:tcW w:type="dxa" w:w="40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Арендная плата</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207,4</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190,8</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187,9</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98,5</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90,6</w:t>
            </w:r>
          </w:p>
        </w:tc>
      </w:tr>
      <w:tr>
        <w:tc>
          <w:tcPr>
            <w:tcW w:type="dxa" w:w="40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Транспортные услуги</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665,2</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711,7</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698,7</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98,2</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r>
      <w:tr>
        <w:tc>
          <w:tcPr>
            <w:tcW w:type="dxa" w:w="40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Приобретения прочих услуг</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5438,8</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5890,3</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5710,2</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96,9</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-180,1</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271,4</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r>
      <w:tr>
        <w:tc>
          <w:tcPr>
            <w:tcW w:type="dxa" w:w="40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представленные единой статьей в системе здравоохранения</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5661,9</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8054,8</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8014,2</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99,5</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-40,6</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2352,3</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141,5</w:t>
            </w:r>
          </w:p>
        </w:tc>
      </w:tr>
      <w:tr>
        <w:tc>
          <w:tcPr>
            <w:tcW w:type="dxa" w:w="40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медикаментов и изделий медицинского назначения</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466,1</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427,0</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423,2</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99,1</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-42,9</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90,8</w:t>
            </w:r>
          </w:p>
        </w:tc>
      </w:tr>
      <w:tr>
        <w:tc>
          <w:tcPr>
            <w:tcW w:type="dxa" w:w="40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продуктов питания</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2376,0</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2538,5</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2415,1</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95,1</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-123,4</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r>
      <w:tr>
        <w:tc>
          <w:tcPr>
            <w:tcW w:type="dxa" w:w="40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по кредитам и займам, полученным от иностранных государств и международных организаций</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1895,6</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1684,3</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1533,2</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91,0</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-151,1</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-362,4</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80,9</w:t>
            </w:r>
          </w:p>
        </w:tc>
      </w:tr>
      <w:tr>
        <w:tc>
          <w:tcPr>
            <w:tcW w:type="dxa" w:w="40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по государственным ценным бумагам</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859,9</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1400,8</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1395,8</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99,6</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535,9</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162,3</w:t>
            </w:r>
          </w:p>
        </w:tc>
      </w:tr>
      <w:tr>
        <w:tc>
          <w:tcPr>
            <w:tcW w:type="dxa" w:w="40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Субсидии предприятиям</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2373,7</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2544,7</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2396,7</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94,2</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-148,0</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r>
      <w:tr>
        <w:tc>
          <w:tcPr>
            <w:tcW w:type="dxa" w:w="40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Текущие гранты международным организациям</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160,6</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160,3</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99,8</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-39,7</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80,2</w:t>
            </w:r>
          </w:p>
        </w:tc>
      </w:tr>
      <w:tr>
        <w:tc>
          <w:tcPr>
            <w:tcW w:type="dxa" w:w="40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Пособия</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13887,9</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16655,6</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16620,6</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99,8</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2732,7</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119,7</w:t>
            </w:r>
          </w:p>
        </w:tc>
      </w:tr>
      <w:tr>
        <w:tc>
          <w:tcPr>
            <w:tcW w:type="dxa" w:w="40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Различные прочие расходы</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1037,5</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1467,7</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980,6</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66,8</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-487,1</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-56,9</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94,5</w:t>
            </w:r>
          </w:p>
        </w:tc>
      </w:tr>
      <w:tr>
        <w:tc>
          <w:tcPr>
            <w:tcW w:type="dxa" w:w="40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нефинансовых активов</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8353,2</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6537,7</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6322,5</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96,7</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-215,2</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-2030,7</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75,7</w:t>
            </w:r>
          </w:p>
        </w:tc>
      </w:tr>
      <w:tr>
        <w:tc>
          <w:tcPr>
            <w:tcW w:type="dxa" w:w="40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73119,1</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82334,1</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80476,9</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97,7</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-1857,2</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7357,8</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 исполнения государственного бюджета Кыргызской Республики за 2011 и 2012 гг. по основным разделам и их удельный вес в общих расходах (с учетом специальных средств и без учета внешних грантов и кредитов ПГИ)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43"/>
        <w:gridCol w:w="784"/>
        <w:gridCol w:w="784"/>
        <w:gridCol w:w="784"/>
        <w:gridCol w:w="784"/>
        <w:gridCol w:w="784"/>
        <w:gridCol w:w="784"/>
        <w:gridCol w:w="784"/>
        <w:gridCol w:w="784"/>
        <w:gridCol w:w="784"/>
        <w:gridCol w:w="784"/>
      </w:tblGrid>
      <w:tr>
        <w:tc>
          <w:tcPr>
            <w:tcW w:type="dxa" w:w="234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разделов</w:t>
            </w:r>
          </w:p>
        </w:tc>
        <w:tc>
          <w:tcPr>
            <w:tcW w:type="dxa" w:w="7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за 2011 г.</w:t>
            </w:r>
          </w:p>
        </w:tc>
        <w:tc>
          <w:tcPr>
            <w:tcW w:type="dxa" w:w="7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 вес (%)</w:t>
            </w:r>
          </w:p>
        </w:tc>
        <w:tc>
          <w:tcPr>
            <w:tcW w:type="dxa" w:w="7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7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2012 г.</w:t>
            </w:r>
          </w:p>
        </w:tc>
        <w:tc>
          <w:tcPr>
            <w:tcW w:type="dxa" w:w="7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за 2012 г.</w:t>
            </w:r>
          </w:p>
        </w:tc>
        <w:tc>
          <w:tcPr>
            <w:tcW w:type="dxa" w:w="7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w:t>
            </w:r>
          </w:p>
        </w:tc>
        <w:tc>
          <w:tcPr>
            <w:tcW w:type="dxa" w:w="7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 вес (%)</w:t>
            </w:r>
          </w:p>
        </w:tc>
        <w:tc>
          <w:tcPr>
            <w:tcW w:type="dxa" w:w="7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7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 2011 г. от 2012 г.</w:t>
            </w:r>
          </w:p>
        </w:tc>
      </w:tr>
      <w:tr>
        <w:tc>
          <w:tcPr>
            <w:tcW w:type="dxa" w:w="2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службы общего назначения</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9779,4</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11751,3</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11119,9</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94,6</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1340,5</w:t>
            </w:r>
          </w:p>
        </w:tc>
      </w:tr>
      <w:tr>
        <w:tc>
          <w:tcPr>
            <w:tcW w:type="dxa" w:w="2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Оборона, общественный порядок и безопасность</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10600,9</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11335,5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11094,7</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97,9</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493,8</w:t>
            </w:r>
          </w:p>
        </w:tc>
      </w:tr>
      <w:tr>
        <w:tc>
          <w:tcPr>
            <w:tcW w:type="dxa" w:w="2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Экономические вопросы</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8203,4</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6591,4</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6305,8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95,7</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-285,6</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-1897,6</w:t>
            </w:r>
          </w:p>
        </w:tc>
      </w:tr>
      <w:tr>
        <w:tc>
          <w:tcPr>
            <w:tcW w:type="dxa" w:w="2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Охрана окружающей среды</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585,5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547,0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526,0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-59,5</w:t>
            </w:r>
          </w:p>
        </w:tc>
      </w:tr>
      <w:tr>
        <w:tc>
          <w:tcPr>
            <w:tcW w:type="dxa" w:w="2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Жилищные и коммунальные услуги</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4110,4</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4603,4</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4313,9</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93,7</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203,5</w:t>
            </w:r>
          </w:p>
        </w:tc>
      </w:tr>
      <w:tr>
        <w:tc>
          <w:tcPr>
            <w:tcW w:type="dxa" w:w="2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Здравоохранение</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9240,6</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11697,8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11386,6</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97,3</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2146,0</w:t>
            </w:r>
          </w:p>
        </w:tc>
      </w:tr>
      <w:tr>
        <w:tc>
          <w:tcPr>
            <w:tcW w:type="dxa" w:w="2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Отдых, культура и религия</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2552,8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2679,0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2604,4</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-74,6</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51,6</w:t>
            </w:r>
          </w:p>
        </w:tc>
      </w:tr>
      <w:tr>
        <w:tc>
          <w:tcPr>
            <w:tcW w:type="dxa" w:w="2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Образование</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19039,4</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24,3</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23211,2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22556,1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-655,1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3516,7</w:t>
            </w:r>
          </w:p>
        </w:tc>
      </w:tr>
      <w:tr>
        <w:tc>
          <w:tcPr>
            <w:tcW w:type="dxa" w:w="2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Социальная защита</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14272,3</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17659,1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16972,8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-686,3</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2700,5</w:t>
            </w:r>
          </w:p>
        </w:tc>
      </w:tr>
      <w:tr>
        <w:tc>
          <w:tcPr>
            <w:tcW w:type="dxa" w:w="2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78384,7</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28,7</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90075,7</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86880,2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-3195,5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8495,5</w:t>
            </w:r>
          </w:p>
        </w:tc>
      </w:tr>
    </w:tbl>
    <w:p>
      <w:pPr>
        <w:spacing w:after="120"/>
        <w:jc w:val="both"/>
      </w:pPr>
      <w:r>
        <w:rPr>
          <w:rFonts w:ascii="Arial" w:cs="Arial" w:eastAsia="Arial" w:hAnsi="Arial"/>
          <w:sz w:val="24"/>
          <w:szCs w:val="24"/>
        </w:rPr>
        <w:t xml:space="preserve">Расходная часть республиканского бюджета</w:t>
      </w:r>
    </w:p>
    <w:p>
      <w:pPr>
        <w:spacing w:after="120"/>
        <w:jc w:val="both"/>
      </w:pPr>
      <w:r>
        <w:rPr>
          <w:rFonts w:ascii="Arial" w:cs="Arial" w:eastAsia="Arial" w:hAnsi="Arial"/>
          <w:sz w:val="24"/>
          <w:szCs w:val="24"/>
        </w:rPr>
        <w:t xml:space="preserve">Общие расходы республиканского бюджета с учетом расходов, произведенных по разделу "потоки денежных средств в связи с операциями по финансированию" и без учета специальных средств, внешних грантов и кредитов ПГИ за 2012 год составили 81774,2 млн. сомов. Относительно 2011 года общие расходы республиканского бюджета увеличились на 7195,2 млн. сомов, или на 9,6 процента.</w:t>
      </w:r>
    </w:p>
    <w:p>
      <w:pPr>
        <w:spacing w:after="120"/>
        <w:jc w:val="both"/>
      </w:pPr>
      <w:r>
        <w:rPr>
          <w:rFonts w:ascii="Arial" w:cs="Arial" w:eastAsia="Arial" w:hAnsi="Arial"/>
          <w:sz w:val="24"/>
          <w:szCs w:val="24"/>
        </w:rPr>
        <w:t xml:space="preserve">Совокупные расходы (текущие расходы и расходы по приобретению нефинансовых активов) республиканского бюджета Кыргызской Республики (с учетом специальных средств, внешних грантов и кредитов ПГИ) за 2012 год составили 97836,7 млн. сомов, или 96,6% от уточненного плана в сумме 101296,1 млн. сомов. К объему ВВП совокупные расходы республиканского бюджета составили 32,1 процента. По сравнению с прошлым годом расходы республиканского бюджета возросли на 14751,4 млн. сомов или на 17,8 процента.</w:t>
      </w:r>
    </w:p>
    <w:p>
      <w:pPr>
        <w:spacing w:after="120"/>
        <w:jc w:val="both"/>
      </w:pPr>
      <w:r>
        <w:rPr>
          <w:rFonts w:ascii="Arial" w:cs="Arial" w:eastAsia="Arial" w:hAnsi="Arial"/>
          <w:sz w:val="24"/>
          <w:szCs w:val="24"/>
        </w:rPr>
        <w:t xml:space="preserve">Совокупные расходы республиканского бюджета Кыргызской Республики за 2012 год (без учета специальных средств, внешних грантов и кредитов ПГИ) составили 71703,3 млн. сомов при уточненном плане 72876,2 млн. сомов, или исполнен на 98,4 процента. К объему ВВП совокупные расходы республиканского бюджета составили 23,6 процентных пункта.</w:t>
      </w:r>
    </w:p>
    <w:p>
      <w:pPr>
        <w:spacing w:after="120"/>
        <w:jc w:val="both"/>
      </w:pPr>
      <w:r>
        <w:rPr>
          <w:rFonts w:ascii="Arial" w:cs="Arial" w:eastAsia="Arial" w:hAnsi="Arial"/>
          <w:sz w:val="24"/>
          <w:szCs w:val="24"/>
        </w:rPr>
        <w:t xml:space="preserve">Абсолютный прирост расходов республиканского бюджета в 2012 году составил 6495,3 млн. сомов, или возрос на 10,0%.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Аналитическая таблица исполнения республиканского бюджета Кыргызской Республики по статьям расходов за 2012 год (без учета специальных средств, внешних грантов и кредитов ПГИ)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14"/>
        <w:gridCol w:w="1093"/>
        <w:gridCol w:w="1093"/>
        <w:gridCol w:w="1093"/>
        <w:gridCol w:w="1093"/>
        <w:gridCol w:w="1093"/>
      </w:tblGrid>
      <w:tr>
        <w:tc>
          <w:tcPr>
            <w:tcW w:type="dxa" w:w="471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статей</w:t>
            </w:r>
          </w:p>
        </w:tc>
        <w:tc>
          <w:tcPr>
            <w:tcW w:type="dxa" w:w="10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2012 г.</w:t>
            </w:r>
          </w:p>
        </w:tc>
        <w:tc>
          <w:tcPr>
            <w:tcW w:type="dxa" w:w="10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2012 г.</w:t>
            </w:r>
          </w:p>
        </w:tc>
        <w:tc>
          <w:tcPr>
            <w:tcW w:type="dxa" w:w="10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 выполнения (%)</w:t>
            </w:r>
          </w:p>
        </w:tc>
        <w:tc>
          <w:tcPr>
            <w:tcW w:type="dxa" w:w="10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Откл-ние (+,-)</w:t>
            </w:r>
          </w:p>
        </w:tc>
        <w:tc>
          <w:tcPr>
            <w:tcW w:type="dxa" w:w="10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 мес. потреб.</w:t>
            </w:r>
          </w:p>
        </w:tc>
      </w:tr>
      <w:tr>
        <w:tc>
          <w:tcPr>
            <w:tcW w:type="dxa" w:w="4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Заработная плата</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14474,3</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14364,9</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99,2</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-109,4</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1206,2</w:t>
            </w:r>
          </w:p>
        </w:tc>
      </w:tr>
      <w:tr>
        <w:tc>
          <w:tcPr>
            <w:tcW w:type="dxa" w:w="4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Взносы в Социальный фонд</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1617,1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1587,8</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98,2</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134,8</w:t>
            </w:r>
          </w:p>
        </w:tc>
      </w:tr>
      <w:tr>
        <w:tc>
          <w:tcPr>
            <w:tcW w:type="dxa" w:w="4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на служебные поездки</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353,4</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343,6</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97,2</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29,5</w:t>
            </w:r>
          </w:p>
        </w:tc>
      </w:tr>
      <w:tr>
        <w:tc>
          <w:tcPr>
            <w:tcW w:type="dxa" w:w="4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Коммунальные услуги</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1550,4</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1511,1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97,5</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-39,3</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129,2</w:t>
            </w:r>
          </w:p>
        </w:tc>
      </w:tr>
      <w:tr>
        <w:tc>
          <w:tcPr>
            <w:tcW w:type="dxa" w:w="4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Арендная плата</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183,6</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181,2</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98,7</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w:t>
            </w:r>
          </w:p>
        </w:tc>
      </w:tr>
      <w:tr>
        <w:tc>
          <w:tcPr>
            <w:tcW w:type="dxa" w:w="4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Транспортные услуги</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557,2</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550,0</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98,7</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46,4</w:t>
            </w:r>
          </w:p>
        </w:tc>
      </w:tr>
      <w:tr>
        <w:tc>
          <w:tcPr>
            <w:tcW w:type="dxa" w:w="4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Приобретения прочих услуг</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2945,2</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2786,4</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94,6</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-158,8</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245,4</w:t>
            </w:r>
          </w:p>
        </w:tc>
      </w:tr>
      <w:tr>
        <w:tc>
          <w:tcPr>
            <w:tcW w:type="dxa" w:w="4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представленные единой статьей в системе здравоохранения</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7098,9</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7096,6</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591,6</w:t>
            </w:r>
          </w:p>
        </w:tc>
      </w:tr>
      <w:tr>
        <w:tc>
          <w:tcPr>
            <w:tcW w:type="dxa" w:w="4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медикаментов и изделий медицинского</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406,0</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402,3</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33,8</w:t>
            </w:r>
          </w:p>
        </w:tc>
      </w:tr>
      <w:tr>
        <w:tc>
          <w:tcPr>
            <w:tcW w:type="dxa" w:w="4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продуктов питания</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1580,0</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1555,1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98,4</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-24,9</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131,7</w:t>
            </w:r>
          </w:p>
        </w:tc>
      </w:tr>
      <w:tr>
        <w:tc>
          <w:tcPr>
            <w:tcW w:type="dxa" w:w="4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по кредитам и займам, полученным от иностранных государств и международных организаций</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1668,0</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1521,0</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91,2</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-147,0</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139,0</w:t>
            </w:r>
          </w:p>
        </w:tc>
      </w:tr>
      <w:tr>
        <w:tc>
          <w:tcPr>
            <w:tcW w:type="dxa" w:w="4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по государственным ценным бумагам</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1382,8</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1378,0</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99,7</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115,2</w:t>
            </w:r>
          </w:p>
        </w:tc>
      </w:tr>
      <w:tr>
        <w:tc>
          <w:tcPr>
            <w:tcW w:type="dxa" w:w="4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Субсидии предприятиям</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1296,0</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1292,0</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99,7</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r>
      <w:tr>
        <w:tc>
          <w:tcPr>
            <w:tcW w:type="dxa" w:w="4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Текущие гранты международным организациям</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160,6</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160,3</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99,8</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w:t>
            </w:r>
          </w:p>
        </w:tc>
      </w:tr>
      <w:tr>
        <w:tc>
          <w:tcPr>
            <w:tcW w:type="dxa" w:w="4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Текущие гранты другим единицам сектора</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14394,3</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14292,0</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99,3</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1199,5</w:t>
            </w:r>
          </w:p>
        </w:tc>
      </w:tr>
      <w:tr>
        <w:tc>
          <w:tcPr>
            <w:tcW w:type="dxa" w:w="4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Пособия</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16294,8</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16286,7</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1357,9</w:t>
            </w:r>
          </w:p>
        </w:tc>
      </w:tr>
      <w:tr>
        <w:tc>
          <w:tcPr>
            <w:tcW w:type="dxa" w:w="4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Различные прочие расходы</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1416,7</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935,9</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-480,8</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118,1</w:t>
            </w:r>
          </w:p>
        </w:tc>
      </w:tr>
      <w:tr>
        <w:tc>
          <w:tcPr>
            <w:tcW w:type="dxa" w:w="4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нефинансовых активов</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5496,9</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5458,4</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99,3</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458,1</w:t>
            </w:r>
          </w:p>
        </w:tc>
      </w:tr>
      <w:tr>
        <w:tc>
          <w:tcPr>
            <w:tcW w:type="dxa" w:w="4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72876,2</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71703,3</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98,4</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-1172,9</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6073,0</w:t>
            </w:r>
          </w:p>
        </w:tc>
      </w:tr>
    </w:tbl>
    <w:p>
      <w:pPr>
        <w:spacing w:after="120"/>
        <w:jc w:val="both"/>
      </w:pPr>
      <w:r>
        <w:rPr>
          <w:rFonts w:ascii="Arial" w:cs="Arial" w:eastAsia="Arial" w:hAnsi="Arial"/>
          <w:sz w:val="24"/>
          <w:szCs w:val="24"/>
        </w:rPr>
        <w:t xml:space="preserve">Относительно высокий процент исполнения плана расходов наблюдается по таким статьям, как "Заработная плата" - 99,2% (14364,9 млн. сомов), "Расходы представленные единой статьей в системе здравоохранения" - 100% (7096,6 млн. сомов), "Приобретение медикаментов и изделий медицинского назначения" - 99,1% (402,3 млн. сомов), "Выплаты процентов по государственным ценным бумагам" - 99,7% (1378,0 млн. сомов), "Субсидии предприятиям" - 99,7% (1292,0 млн. сомов), "Текущие гранты международным организациям" - 99,8% (160,3 млн. сомов), "Пособия" - 100% (16286,7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 исполнения республиканского бюджета Кыргызской Республики по статьям расходов за 2012 и 2011 годы (без учета специальных средств, внешних грантов и кредитов ПГИ)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75"/>
        <w:gridCol w:w="1274"/>
        <w:gridCol w:w="1276"/>
        <w:gridCol w:w="1276"/>
        <w:gridCol w:w="1276"/>
      </w:tblGrid>
      <w:tr>
        <w:tc>
          <w:tcPr>
            <w:tcW w:type="dxa" w:w="507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статей</w:t>
            </w:r>
          </w:p>
        </w:tc>
        <w:tc>
          <w:tcPr>
            <w:tcW w:type="dxa" w:w="127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за 2011 г.</w:t>
            </w:r>
          </w:p>
        </w:tc>
        <w:tc>
          <w:tcPr>
            <w:tcW w:type="dxa" w:w="127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за 2012 г.</w:t>
            </w:r>
          </w:p>
        </w:tc>
        <w:tc>
          <w:tcPr>
            <w:tcW w:type="dxa" w:w="127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Отклонение (+,-)</w:t>
            </w:r>
          </w:p>
        </w:tc>
        <w:tc>
          <w:tcPr>
            <w:tcW w:type="dxa" w:w="127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к 2011 году</w:t>
            </w:r>
          </w:p>
        </w:tc>
      </w:tr>
      <w:tr>
        <w:tc>
          <w:tcPr>
            <w:tcW w:type="dxa" w:w="50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Заработная плата</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12389,4</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14364,9</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1975,5</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115,9</w:t>
            </w:r>
          </w:p>
        </w:tc>
      </w:tr>
      <w:tr>
        <w:tc>
          <w:tcPr>
            <w:tcW w:type="dxa" w:w="50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Взносы в Социальный фонд</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1294,5</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1587,8</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293,3</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122,7</w:t>
            </w:r>
          </w:p>
        </w:tc>
      </w:tr>
      <w:tr>
        <w:tc>
          <w:tcPr>
            <w:tcW w:type="dxa" w:w="50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на служебные поездки</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355,8</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343,6</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96,6</w:t>
            </w:r>
          </w:p>
        </w:tc>
      </w:tr>
      <w:tr>
        <w:tc>
          <w:tcPr>
            <w:tcW w:type="dxa" w:w="50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Коммунальные услуги</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1344,0</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1511,1</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167,1</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112,4</w:t>
            </w:r>
          </w:p>
        </w:tc>
      </w:tr>
      <w:tr>
        <w:tc>
          <w:tcPr>
            <w:tcW w:type="dxa" w:w="50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Арендная плата</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181,2</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w:t>
            </w:r>
          </w:p>
        </w:tc>
      </w:tr>
      <w:tr>
        <w:tc>
          <w:tcPr>
            <w:tcW w:type="dxa" w:w="50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Транспортные услуги</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488,3</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550,0</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61,7</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112,6</w:t>
            </w:r>
          </w:p>
        </w:tc>
      </w:tr>
      <w:tr>
        <w:tc>
          <w:tcPr>
            <w:tcW w:type="dxa" w:w="50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Приобретения прочих услуг</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2753,0</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2786,4</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33,4</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r>
      <w:tr>
        <w:tc>
          <w:tcPr>
            <w:tcW w:type="dxa" w:w="50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представленные единой статьей в системе здравоохранения</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5386,4</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7096,6</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1710,2</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131,8</w:t>
            </w:r>
          </w:p>
        </w:tc>
      </w:tr>
      <w:tr>
        <w:tc>
          <w:tcPr>
            <w:tcW w:type="dxa" w:w="50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медикаментов и изделий медицинского</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425,0</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402,3</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-22,7</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94,7</w:t>
            </w:r>
          </w:p>
        </w:tc>
      </w:tr>
      <w:tr>
        <w:tc>
          <w:tcPr>
            <w:tcW w:type="dxa" w:w="50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продуктов питания</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1461,6</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1555,1</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93,5</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r>
      <w:tr>
        <w:tc>
          <w:tcPr>
            <w:tcW w:type="dxa" w:w="50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по кредитам и займам, полученным от иностранных государств и международных организаций</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1881,0</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1521,0</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-360,0</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80,9</w:t>
            </w:r>
          </w:p>
        </w:tc>
      </w:tr>
      <w:tr>
        <w:tc>
          <w:tcPr>
            <w:tcW w:type="dxa" w:w="50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по государственным ценным бумагам</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844,4</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1378,0</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533,6</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163,2</w:t>
            </w:r>
          </w:p>
        </w:tc>
      </w:tr>
      <w:tr>
        <w:tc>
          <w:tcPr>
            <w:tcW w:type="dxa" w:w="50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Субсидии предприятиям</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1549,5</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1292,0</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-257,5</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83,4</w:t>
            </w:r>
          </w:p>
        </w:tc>
      </w:tr>
      <w:tr>
        <w:tc>
          <w:tcPr>
            <w:tcW w:type="dxa" w:w="50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Текущие гранты международным организациям</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199,8</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160,3</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-39,5</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80,2</w:t>
            </w:r>
          </w:p>
        </w:tc>
      </w:tr>
      <w:tr>
        <w:tc>
          <w:tcPr>
            <w:tcW w:type="dxa" w:w="50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Текущие гранты другим единицам сектора</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12961,7</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14292,0</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1330,3</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r>
      <w:tr>
        <w:tc>
          <w:tcPr>
            <w:tcW w:type="dxa" w:w="50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Пособия</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13493,6</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16286,7</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2793,1</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120,7</w:t>
            </w:r>
          </w:p>
        </w:tc>
      </w:tr>
      <w:tr>
        <w:tc>
          <w:tcPr>
            <w:tcW w:type="dxa" w:w="50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Различные прочие расходы</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1006,1</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935,9</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-70,2</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w:t>
            </w:r>
          </w:p>
        </w:tc>
      </w:tr>
      <w:tr>
        <w:tc>
          <w:tcPr>
            <w:tcW w:type="dxa" w:w="50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нефинансовых активов</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7173,2</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5458,4</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-1714,8</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76,1</w:t>
            </w:r>
          </w:p>
        </w:tc>
      </w:tr>
      <w:tr>
        <w:tc>
          <w:tcPr>
            <w:tcW w:type="dxa" w:w="50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65208,0</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71703,3</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6495,3</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Сведения по внешним грантам и кредитам ПГИ за 2012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17"/>
        <w:gridCol w:w="1465"/>
        <w:gridCol w:w="1465"/>
        <w:gridCol w:w="1465"/>
        <w:gridCol w:w="1465"/>
      </w:tblGrid>
      <w:tr>
        <w:tc>
          <w:tcPr>
            <w:tcW w:type="dxa" w:w="431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14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2012 г.</w:t>
            </w:r>
          </w:p>
        </w:tc>
        <w:tc>
          <w:tcPr>
            <w:tcW w:type="dxa" w:w="14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2012 г.</w:t>
            </w:r>
          </w:p>
        </w:tc>
        <w:tc>
          <w:tcPr>
            <w:tcW w:type="dxa" w:w="14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Отклонение (+,-)</w:t>
            </w:r>
          </w:p>
        </w:tc>
        <w:tc>
          <w:tcPr>
            <w:tcW w:type="dxa" w:w="14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выполнения</w:t>
            </w:r>
          </w:p>
        </w:tc>
      </w:tr>
      <w:tr>
        <w:tc>
          <w:tcPr>
            <w:tcW w:type="dxa" w:w="4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службы общего назначения</w:t>
            </w:r>
          </w:p>
        </w:tc>
        <w:tc>
          <w:tcPr>
            <w:tcW w:type="dxa" w:w="1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417848,8</w:t>
            </w:r>
          </w:p>
        </w:tc>
        <w:tc>
          <w:tcPr>
            <w:tcW w:type="dxa" w:w="1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338343,6</w:t>
            </w:r>
          </w:p>
        </w:tc>
        <w:tc>
          <w:tcPr>
            <w:tcW w:type="dxa" w:w="1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-79505,2</w:t>
            </w:r>
          </w:p>
        </w:tc>
        <w:tc>
          <w:tcPr>
            <w:tcW w:type="dxa" w:w="1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w:t>
            </w:r>
          </w:p>
        </w:tc>
      </w:tr>
      <w:tr>
        <w:tc>
          <w:tcPr>
            <w:tcW w:type="dxa" w:w="4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Оборона</w:t>
            </w:r>
          </w:p>
        </w:tc>
        <w:tc>
          <w:tcPr>
            <w:tcW w:type="dxa" w:w="1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94028,2</w:t>
            </w:r>
          </w:p>
        </w:tc>
        <w:tc>
          <w:tcPr>
            <w:tcW w:type="dxa" w:w="1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89812,3</w:t>
            </w:r>
          </w:p>
        </w:tc>
        <w:tc>
          <w:tcPr>
            <w:tcW w:type="dxa" w:w="1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-4215,9</w:t>
            </w:r>
          </w:p>
        </w:tc>
        <w:tc>
          <w:tcPr>
            <w:tcW w:type="dxa" w:w="1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95,5</w:t>
            </w:r>
          </w:p>
        </w:tc>
      </w:tr>
      <w:tr>
        <w:tc>
          <w:tcPr>
            <w:tcW w:type="dxa" w:w="4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Экономические вопросы</w:t>
            </w:r>
          </w:p>
        </w:tc>
        <w:tc>
          <w:tcPr>
            <w:tcW w:type="dxa" w:w="1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19535484,2</w:t>
            </w:r>
          </w:p>
        </w:tc>
        <w:tc>
          <w:tcPr>
            <w:tcW w:type="dxa" w:w="1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18778008,7</w:t>
            </w:r>
          </w:p>
        </w:tc>
        <w:tc>
          <w:tcPr>
            <w:tcW w:type="dxa" w:w="1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-757475,5</w:t>
            </w:r>
          </w:p>
        </w:tc>
        <w:tc>
          <w:tcPr>
            <w:tcW w:type="dxa" w:w="1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96,1</w:t>
            </w:r>
          </w:p>
        </w:tc>
      </w:tr>
      <w:tr>
        <w:tc>
          <w:tcPr>
            <w:tcW w:type="dxa" w:w="4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Здравоохранение</w:t>
            </w:r>
          </w:p>
        </w:tc>
        <w:tc>
          <w:tcPr>
            <w:tcW w:type="dxa" w:w="1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308752,4</w:t>
            </w:r>
          </w:p>
        </w:tc>
        <w:tc>
          <w:tcPr>
            <w:tcW w:type="dxa" w:w="1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258664,5</w:t>
            </w:r>
          </w:p>
        </w:tc>
        <w:tc>
          <w:tcPr>
            <w:tcW w:type="dxa" w:w="1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-50087,9</w:t>
            </w:r>
          </w:p>
        </w:tc>
        <w:tc>
          <w:tcPr>
            <w:tcW w:type="dxa" w:w="1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83,8</w:t>
            </w:r>
          </w:p>
        </w:tc>
      </w:tr>
      <w:tr>
        <w:tc>
          <w:tcPr>
            <w:tcW w:type="dxa" w:w="4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Образование</w:t>
            </w:r>
          </w:p>
        </w:tc>
        <w:tc>
          <w:tcPr>
            <w:tcW w:type="dxa" w:w="1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486276,1</w:t>
            </w:r>
          </w:p>
        </w:tc>
        <w:tc>
          <w:tcPr>
            <w:tcW w:type="dxa" w:w="1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369734,9</w:t>
            </w:r>
          </w:p>
        </w:tc>
        <w:tc>
          <w:tcPr>
            <w:tcW w:type="dxa" w:w="1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-116541,2</w:t>
            </w:r>
          </w:p>
        </w:tc>
        <w:tc>
          <w:tcPr>
            <w:tcW w:type="dxa" w:w="1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76,0</w:t>
            </w:r>
          </w:p>
        </w:tc>
      </w:tr>
      <w:tr>
        <w:tc>
          <w:tcPr>
            <w:tcW w:type="dxa" w:w="4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Социальная защита</w:t>
            </w:r>
          </w:p>
        </w:tc>
        <w:tc>
          <w:tcPr>
            <w:tcW w:type="dxa" w:w="1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525633,9</w:t>
            </w:r>
          </w:p>
        </w:tc>
        <w:tc>
          <w:tcPr>
            <w:tcW w:type="dxa" w:w="1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525633,9</w:t>
            </w:r>
          </w:p>
        </w:tc>
        <w:tc>
          <w:tcPr>
            <w:tcW w:type="dxa" w:w="1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4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21368023,6</w:t>
            </w:r>
          </w:p>
        </w:tc>
        <w:tc>
          <w:tcPr>
            <w:tcW w:type="dxa" w:w="1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20360197,9</w:t>
            </w:r>
          </w:p>
        </w:tc>
        <w:tc>
          <w:tcPr>
            <w:tcW w:type="dxa" w:w="1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-1007825,7</w:t>
            </w:r>
          </w:p>
        </w:tc>
        <w:tc>
          <w:tcPr>
            <w:tcW w:type="dxa" w:w="1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95,3</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Исполнение республиканского бюджета Кыргызской Республики за 2011-2012 гг. по основным разделам и их удельный вес в общих расходах (с учетом специальных средств и без учета внешних грантов и кредитов ПГИ)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12"/>
        <w:gridCol w:w="785"/>
        <w:gridCol w:w="787"/>
        <w:gridCol w:w="785"/>
        <w:gridCol w:w="787"/>
        <w:gridCol w:w="787"/>
        <w:gridCol w:w="785"/>
        <w:gridCol w:w="787"/>
        <w:gridCol w:w="785"/>
        <w:gridCol w:w="787"/>
        <w:gridCol w:w="787"/>
      </w:tblGrid>
      <w:tr>
        <w:tc>
          <w:tcPr>
            <w:tcW w:type="dxa" w:w="231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разделов</w:t>
            </w:r>
          </w:p>
        </w:tc>
        <w:tc>
          <w:tcPr>
            <w:tcW w:type="dxa" w:w="78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за 2011 г.</w:t>
            </w:r>
          </w:p>
        </w:tc>
        <w:tc>
          <w:tcPr>
            <w:tcW w:type="dxa" w:w="78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 вес (%)</w:t>
            </w:r>
          </w:p>
        </w:tc>
        <w:tc>
          <w:tcPr>
            <w:tcW w:type="dxa" w:w="78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78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2012 г.</w:t>
            </w:r>
          </w:p>
        </w:tc>
        <w:tc>
          <w:tcPr>
            <w:tcW w:type="dxa" w:w="78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за 2012 г.</w:t>
            </w:r>
          </w:p>
        </w:tc>
        <w:tc>
          <w:tcPr>
            <w:tcW w:type="dxa" w:w="78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8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w:t>
            </w:r>
          </w:p>
        </w:tc>
        <w:tc>
          <w:tcPr>
            <w:tcW w:type="dxa" w:w="78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 вес (%)</w:t>
            </w:r>
          </w:p>
        </w:tc>
        <w:tc>
          <w:tcPr>
            <w:tcW w:type="dxa" w:w="78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78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 2011 г. от 2012 г.</w:t>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службы общего назначения</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20557,6</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29,4</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24072,8</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23311,7</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96,8</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-761,1</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2754,1</w:t>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Оборона, общественный порядок и безопасность</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10288,6</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11109,7</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10879,7</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97,9</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591,1</w:t>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Экономические вопросы</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7877,5</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6254,1</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5974,3</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95,5</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-279,7</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-1903,2</w:t>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Охрана окружающей среды</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585,0</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546,7</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526,0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96,2</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-59,0</w:t>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Жилищные и коммунальные услуги</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1417,9</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1334,1</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1333,7</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w:t>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Здравоохранение</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8020,1</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10190,4</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9997,3</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98,1</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-193,1</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1977,2</w:t>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Отдых, культура и религия</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1816,5</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1975,5</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1937,9</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98,1</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-37,6</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121,4</w:t>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Образование</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5736,7</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7293,0</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7024,5</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96,3</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-268,5</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1287,8</w:t>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Социальная защита</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13626,0</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17151,7</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16491,4</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96,2</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-660,3</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21,3</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2865,4</w:t>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69925,9</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79928,0</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77476,5</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96,9</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-2451,6</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7550,6</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Исполнение республиканского бюджета Кыргызской Республики за 2011-2012 гг. по основным разделам и их удельный вес в общих расходах (без учета специальных средств, внешних грантов и кредитов ПГИ)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92"/>
        <w:gridCol w:w="789"/>
        <w:gridCol w:w="789"/>
        <w:gridCol w:w="789"/>
        <w:gridCol w:w="789"/>
        <w:gridCol w:w="789"/>
        <w:gridCol w:w="789"/>
        <w:gridCol w:w="789"/>
        <w:gridCol w:w="789"/>
        <w:gridCol w:w="789"/>
        <w:gridCol w:w="789"/>
      </w:tblGrid>
      <w:tr>
        <w:tc>
          <w:tcPr>
            <w:tcW w:type="dxa" w:w="229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разделов</w:t>
            </w:r>
          </w:p>
        </w:tc>
        <w:tc>
          <w:tcPr>
            <w:tcW w:type="dxa" w:w="7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за 2011 г.</w:t>
            </w:r>
          </w:p>
        </w:tc>
        <w:tc>
          <w:tcPr>
            <w:tcW w:type="dxa" w:w="7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 вес (%)</w:t>
            </w:r>
          </w:p>
        </w:tc>
        <w:tc>
          <w:tcPr>
            <w:tcW w:type="dxa" w:w="7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7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на 2012 г.</w:t>
            </w:r>
          </w:p>
        </w:tc>
        <w:tc>
          <w:tcPr>
            <w:tcW w:type="dxa" w:w="7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за 2012 г.</w:t>
            </w:r>
          </w:p>
        </w:tc>
        <w:tc>
          <w:tcPr>
            <w:tcW w:type="dxa" w:w="7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w:t>
            </w:r>
          </w:p>
        </w:tc>
        <w:tc>
          <w:tcPr>
            <w:tcW w:type="dxa" w:w="7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 вес (%)</w:t>
            </w:r>
          </w:p>
        </w:tc>
        <w:tc>
          <w:tcPr>
            <w:tcW w:type="dxa" w:w="7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7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 2011 г. от 2012 г.</w:t>
            </w:r>
          </w:p>
        </w:tc>
      </w:tr>
      <w:tr>
        <w:tc>
          <w:tcPr>
            <w:tcW w:type="dxa" w:w="2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службы общего назначения</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20211,7</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22746,0</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22393,9</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98,5</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-352,1</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2182,2</w:t>
            </w:r>
          </w:p>
        </w:tc>
      </w:tr>
      <w:tr>
        <w:tc>
          <w:tcPr>
            <w:tcW w:type="dxa" w:w="2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Оборона, общественный порядок и безопасность</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8971,1</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9562,5</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9512,9</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99,5</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-49,7</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541,7</w:t>
            </w:r>
          </w:p>
        </w:tc>
      </w:tr>
      <w:tr>
        <w:tc>
          <w:tcPr>
            <w:tcW w:type="dxa" w:w="2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Экономические вопросы</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7308,5</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5455,6</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5424,5</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99,4</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-1884,0</w:t>
            </w:r>
          </w:p>
        </w:tc>
      </w:tr>
      <w:tr>
        <w:tc>
          <w:tcPr>
            <w:tcW w:type="dxa" w:w="2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Охрана окружающей среды</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411,1</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315,6</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315,2</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99,9</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-95,9</w:t>
            </w:r>
          </w:p>
        </w:tc>
      </w:tr>
      <w:tr>
        <w:tc>
          <w:tcPr>
            <w:tcW w:type="dxa" w:w="2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Жилищные и коммунальные услуги</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1417,4</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1333,5</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1333,1</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w:t>
            </w:r>
          </w:p>
        </w:tc>
      </w:tr>
      <w:tr>
        <w:tc>
          <w:tcPr>
            <w:tcW w:type="dxa" w:w="2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Здравоохранение</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7703,7</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9559,2</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9518,6</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99,6</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-40,5</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1814,9</w:t>
            </w:r>
          </w:p>
        </w:tc>
      </w:tr>
      <w:tr>
        <w:tc>
          <w:tcPr>
            <w:tcW w:type="dxa" w:w="2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Отдых, культура и религия</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1686,2</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1821,0</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1804,1</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99,1</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117,9</w:t>
            </w:r>
          </w:p>
        </w:tc>
      </w:tr>
      <w:tr>
        <w:tc>
          <w:tcPr>
            <w:tcW w:type="dxa" w:w="2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Образование</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3879,0</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4941,9</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4917,8</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99,5</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1038,8</w:t>
            </w:r>
          </w:p>
        </w:tc>
      </w:tr>
      <w:tr>
        <w:tc>
          <w:tcPr>
            <w:tcW w:type="dxa" w:w="2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Социальная защита</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13619,3</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17141,0</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16483,2</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96,2</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-657,8</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2863,9</w:t>
            </w:r>
          </w:p>
        </w:tc>
      </w:tr>
      <w:tr>
        <w:tc>
          <w:tcPr>
            <w:tcW w:type="dxa" w:w="2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65208,0</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23,9</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72876,2</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71703,3</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98,4</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-1172,9</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6495,3</w:t>
            </w:r>
          </w:p>
        </w:tc>
      </w:tr>
    </w:tbl>
    <w:p>
      <w:pPr>
        <w:spacing w:after="120"/>
        <w:jc w:val="both"/>
      </w:pPr>
      <w:r>
        <w:rPr>
          <w:rFonts w:ascii="Arial" w:cs="Arial" w:eastAsia="Arial" w:hAnsi="Arial"/>
          <w:sz w:val="24"/>
          <w:szCs w:val="24"/>
        </w:rPr>
        <w:t xml:space="preserve">Расходы республиканского бюджета на погашение основной суммы государственного долга составили 8541,7 млн. сомов или 99,6% при плане 8577,4 млн. сомов, в том числе расходы по погашению основной суммы внутреннего долга</w:t>
      </w:r>
      <w:r>
        <w:rPr>
          <w:rFonts w:ascii="Arial" w:cs="Arial" w:eastAsia="Arial" w:hAnsi="Arial"/>
          <w:sz w:val="24"/>
          <w:szCs w:val="24"/>
        </w:rPr>
        <w:t xml:space="preserve"> Правительства - 6634,0 млн. сомов, основной суммы внешнего долга Правительства - 1907,7 млн. сомов.</w:t>
      </w:r>
    </w:p>
    <w:p>
      <w:pPr>
        <w:spacing w:after="120"/>
        <w:jc w:val="both"/>
      </w:pPr>
      <w:r>
        <w:rPr>
          <w:rFonts w:ascii="Arial" w:cs="Arial" w:eastAsia="Arial" w:hAnsi="Arial"/>
          <w:sz w:val="24"/>
          <w:szCs w:val="24"/>
        </w:rPr>
        <w:t xml:space="preserve">На погашение внутреннего долга Правительства направлено - 6634,0 млн. сомов, в том числе:</w:t>
      </w:r>
    </w:p>
    <w:p>
      <w:pPr>
        <w:spacing w:after="120"/>
        <w:jc w:val="both"/>
      </w:pPr>
      <w:r>
        <w:rPr>
          <w:rFonts w:ascii="Arial" w:cs="Arial" w:eastAsia="Arial" w:hAnsi="Arial"/>
          <w:sz w:val="24"/>
          <w:szCs w:val="24"/>
        </w:rPr>
        <w:t xml:space="preserve">- государственные краткосрочные ценные бумаги - 4937,9 млн. сомов;</w:t>
      </w:r>
    </w:p>
    <w:p>
      <w:pPr>
        <w:spacing w:after="120"/>
        <w:jc w:val="both"/>
      </w:pPr>
      <w:r>
        <w:rPr>
          <w:rFonts w:ascii="Arial" w:cs="Arial" w:eastAsia="Arial" w:hAnsi="Arial"/>
          <w:sz w:val="24"/>
          <w:szCs w:val="24"/>
        </w:rPr>
        <w:t xml:space="preserve">- государственные долгосрочные ценные бумаги - 1696,1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Аналитическая таблица исполнения республиканского бюджета за 2012 год по основному государственному долгу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56"/>
        <w:gridCol w:w="1429"/>
        <w:gridCol w:w="1431"/>
        <w:gridCol w:w="1431"/>
        <w:gridCol w:w="1431"/>
      </w:tblGrid>
      <w:tr>
        <w:tc>
          <w:tcPr>
            <w:tcW w:type="dxa" w:w="445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статей</w:t>
            </w:r>
          </w:p>
        </w:tc>
        <w:tc>
          <w:tcPr>
            <w:tcW w:type="dxa" w:w="142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2011 г.</w:t>
            </w:r>
          </w:p>
        </w:tc>
        <w:tc>
          <w:tcPr>
            <w:tcW w:type="dxa" w:w="14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2012 г.</w:t>
            </w:r>
          </w:p>
        </w:tc>
        <w:tc>
          <w:tcPr>
            <w:tcW w:type="dxa" w:w="14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Отклонение</w:t>
            </w:r>
          </w:p>
        </w:tc>
        <w:tc>
          <w:tcPr>
            <w:tcW w:type="dxa" w:w="14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44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Внутренний долг, основная сумма</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6634,2</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6634,0</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44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Внешний долг, основная сумма</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1943,2</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1907,7</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98,2</w:t>
            </w:r>
          </w:p>
        </w:tc>
      </w:tr>
      <w:tr>
        <w:tc>
          <w:tcPr>
            <w:tcW w:type="dxa" w:w="44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государственный долг</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8577,4</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8541,7</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99,6</w:t>
            </w:r>
          </w:p>
        </w:tc>
      </w:tr>
    </w:tbl>
    <w:p>
      <w:pPr>
        <w:spacing w:after="120"/>
        <w:jc w:val="both"/>
      </w:pPr>
      <w:r>
        <w:rPr>
          <w:rFonts w:ascii="Arial" w:cs="Arial" w:eastAsia="Arial" w:hAnsi="Arial"/>
          <w:sz w:val="24"/>
          <w:szCs w:val="24"/>
        </w:rPr>
        <w:t xml:space="preserve">Удельный вес выплат по государственному долгу Правительства Кыргызской Республики в общем объеме расходов за отчетный год составил 11,9% и 2,8% к ВВП.</w:t>
      </w:r>
    </w:p>
    <w:p>
      <w:pPr>
        <w:spacing w:after="120"/>
        <w:jc w:val="both"/>
      </w:pPr>
      <w:r>
        <w:rPr>
          <w:rFonts w:ascii="Arial" w:cs="Arial" w:eastAsia="Arial" w:hAnsi="Arial"/>
          <w:sz w:val="24"/>
          <w:szCs w:val="24"/>
        </w:rPr>
        <w:t xml:space="preserve">За 2011 год удельный вес данных расходов в общем объеме расходов составлял 10,2% и 2,4% к объему ВВП.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 исполнения республиканского бюджета за 2011-2012 гг. по основному государственному долгу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71"/>
        <w:gridCol w:w="1427"/>
        <w:gridCol w:w="1427"/>
        <w:gridCol w:w="1427"/>
        <w:gridCol w:w="1427"/>
      </w:tblGrid>
      <w:tr>
        <w:tc>
          <w:tcPr>
            <w:tcW w:type="dxa" w:w="447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статей</w:t>
            </w:r>
          </w:p>
        </w:tc>
        <w:tc>
          <w:tcPr>
            <w:tcW w:type="dxa" w:w="14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2011 г.</w:t>
            </w:r>
          </w:p>
        </w:tc>
        <w:tc>
          <w:tcPr>
            <w:tcW w:type="dxa" w:w="14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2012 г.</w:t>
            </w:r>
          </w:p>
        </w:tc>
        <w:tc>
          <w:tcPr>
            <w:tcW w:type="dxa" w:w="14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Отклонение</w:t>
            </w:r>
          </w:p>
        </w:tc>
        <w:tc>
          <w:tcPr>
            <w:tcW w:type="dxa" w:w="14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44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Внутренний долг, основная сумма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4695,9</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6634,0</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1938,1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141,3</w:t>
            </w:r>
          </w:p>
        </w:tc>
      </w:tr>
      <w:tr>
        <w:tc>
          <w:tcPr>
            <w:tcW w:type="dxa" w:w="44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Внешний долг, основная сумма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1973,3</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1907,7</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-65,6</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96,7</w:t>
            </w:r>
          </w:p>
        </w:tc>
      </w:tr>
      <w:tr>
        <w:tc>
          <w:tcPr>
            <w:tcW w:type="dxa" w:w="44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государственный долг</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6669,2</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8541,7</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1872,5</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128,1</w:t>
            </w:r>
          </w:p>
        </w:tc>
      </w:tr>
    </w:tbl>
    <w:p>
      <w:pPr>
        <w:spacing w:after="120"/>
        <w:jc w:val="both"/>
      </w:pPr>
      <w:r>
        <w:rPr>
          <w:rFonts w:ascii="Arial" w:cs="Arial" w:eastAsia="Arial" w:hAnsi="Arial"/>
          <w:sz w:val="24"/>
          <w:szCs w:val="24"/>
        </w:rPr>
        <w:t xml:space="preserve">Исполнение местных бюджетов</w:t>
      </w:r>
    </w:p>
    <w:p>
      <w:pPr>
        <w:spacing w:after="120"/>
        <w:jc w:val="both"/>
      </w:pPr>
      <w:r>
        <w:rPr>
          <w:rFonts w:ascii="Arial" w:cs="Arial" w:eastAsia="Arial" w:hAnsi="Arial"/>
          <w:sz w:val="24"/>
          <w:szCs w:val="24"/>
        </w:rPr>
        <w:t xml:space="preserve">Местный бюджет за 2012 год (с учетом специальных средств) исполнен в сумме 23695,7 млн. сомов при плане 24542,0 млн. сомов или на 96,6 процента. По сравнению с предыдущим годом расходы местного бюджета увеличились на 2275,2 млн. сомов или возросли на 10,6%.</w:t>
      </w:r>
    </w:p>
    <w:p>
      <w:pPr>
        <w:spacing w:after="120"/>
        <w:jc w:val="both"/>
      </w:pPr>
      <w:r>
        <w:rPr>
          <w:rFonts w:ascii="Arial" w:cs="Arial" w:eastAsia="Arial" w:hAnsi="Arial"/>
          <w:sz w:val="24"/>
          <w:szCs w:val="24"/>
        </w:rPr>
        <w:t xml:space="preserve">По отношению к объему ВВП расходы местного бюджета составили 7,8% (к объему ВВП в 2011 году - 7,8%).</w:t>
      </w:r>
    </w:p>
    <w:p>
      <w:pPr>
        <w:spacing w:after="120"/>
        <w:jc w:val="both"/>
      </w:pPr>
      <w:r>
        <w:rPr>
          <w:rFonts w:ascii="Arial" w:cs="Arial" w:eastAsia="Arial" w:hAnsi="Arial"/>
          <w:sz w:val="24"/>
          <w:szCs w:val="24"/>
        </w:rPr>
        <w:t xml:space="preserve">Местный бюджет Кыргызской Республики за 2012 год (без учета специальных средств) исполнен в сумме 23065,6 млн. сомов при уточненном плане 23852,2 млн. сом, или исполнен на 96,7 процента. К объему ВВП расходы местного бюджета (без учета специальных средств) составили 7,6 процентных пункта.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Исполнение местного бюджета Кыргызской Республики по статьям расходов за 2012 год (без учета специальных средств)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44"/>
        <w:gridCol w:w="1087"/>
        <w:gridCol w:w="1087"/>
        <w:gridCol w:w="1087"/>
        <w:gridCol w:w="1087"/>
        <w:gridCol w:w="1087"/>
      </w:tblGrid>
      <w:tr>
        <w:tc>
          <w:tcPr>
            <w:tcW w:type="dxa" w:w="474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статей</w:t>
            </w:r>
          </w:p>
        </w:tc>
        <w:tc>
          <w:tcPr>
            <w:tcW w:type="dxa" w:w="108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2012 г.</w:t>
            </w:r>
          </w:p>
        </w:tc>
        <w:tc>
          <w:tcPr>
            <w:tcW w:type="dxa" w:w="108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2012 г.</w:t>
            </w:r>
          </w:p>
        </w:tc>
        <w:tc>
          <w:tcPr>
            <w:tcW w:type="dxa" w:w="108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 выполнения (%)</w:t>
            </w:r>
          </w:p>
        </w:tc>
        <w:tc>
          <w:tcPr>
            <w:tcW w:type="dxa" w:w="108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Откл-ние (+,-)</w:t>
            </w:r>
          </w:p>
        </w:tc>
        <w:tc>
          <w:tcPr>
            <w:tcW w:type="dxa" w:w="108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 мес. потреб.</w:t>
            </w:r>
          </w:p>
        </w:tc>
      </w:tr>
      <w:tr>
        <w:tc>
          <w:tcPr>
            <w:tcW w:type="dxa" w:w="47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Заработная плата</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12675,5</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12523,7</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98,8</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-151,8</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1056,3</w:t>
            </w:r>
          </w:p>
        </w:tc>
      </w:tr>
      <w:tr>
        <w:tc>
          <w:tcPr>
            <w:tcW w:type="dxa" w:w="47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Взносы в Социальный фонд</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2132,8</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2082,7</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97,7</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-50,1</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177,7</w:t>
            </w:r>
          </w:p>
        </w:tc>
      </w:tr>
      <w:tr>
        <w:tc>
          <w:tcPr>
            <w:tcW w:type="dxa" w:w="47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на служебные поездки</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130,4</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123,7</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94,9</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w:t>
            </w:r>
          </w:p>
        </w:tc>
      </w:tr>
      <w:tr>
        <w:tc>
          <w:tcPr>
            <w:tcW w:type="dxa" w:w="47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Коммунальные услуги</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1135,6</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1080,5</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95,1</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-55,1</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94,6</w:t>
            </w:r>
          </w:p>
        </w:tc>
      </w:tr>
      <w:tr>
        <w:tc>
          <w:tcPr>
            <w:tcW w:type="dxa" w:w="47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Арендная плата</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91,7</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47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Транспортные услуги</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154,4</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148,6</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96,2</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w:t>
            </w:r>
          </w:p>
        </w:tc>
      </w:tr>
      <w:tr>
        <w:tc>
          <w:tcPr>
            <w:tcW w:type="dxa" w:w="47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Приобретения прочих услуг</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2945,1</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2923,8</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99,3</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-21,3</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245,4</w:t>
            </w:r>
          </w:p>
        </w:tc>
      </w:tr>
      <w:tr>
        <w:tc>
          <w:tcPr>
            <w:tcW w:type="dxa" w:w="47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представленные единой статьей в системе здравоохранения</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956,0</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917,6</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96,0</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-38,4</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79,7</w:t>
            </w:r>
          </w:p>
        </w:tc>
      </w:tr>
      <w:tr>
        <w:tc>
          <w:tcPr>
            <w:tcW w:type="dxa" w:w="47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медикаментов и изделий медицинского назначения</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r>
      <w:tr>
        <w:tc>
          <w:tcPr>
            <w:tcW w:type="dxa" w:w="47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продуктов питания</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958,5</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860,1</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89,7</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-98,4</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79,9</w:t>
            </w:r>
          </w:p>
        </w:tc>
      </w:tr>
      <w:tr>
        <w:tc>
          <w:tcPr>
            <w:tcW w:type="dxa" w:w="47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по кредитам и займам, полученным от иностранных государств и международных организаций</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75,5</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r>
      <w:tr>
        <w:tc>
          <w:tcPr>
            <w:tcW w:type="dxa" w:w="47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по государственным ценным бумагам</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98,9</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47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Субсидии предприятиям</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1248,9</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1104,6</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88,4</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-144,3</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r>
      <w:tr>
        <w:tc>
          <w:tcPr>
            <w:tcW w:type="dxa" w:w="47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Пособия</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360,8</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333,9</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92,5</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-26,9</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w:t>
            </w:r>
          </w:p>
        </w:tc>
      </w:tr>
      <w:tr>
        <w:tc>
          <w:tcPr>
            <w:tcW w:type="dxa" w:w="47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Различные прочие расходы</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51,1</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44,7</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87,5</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w:t>
            </w:r>
          </w:p>
        </w:tc>
      </w:tr>
      <w:tr>
        <w:tc>
          <w:tcPr>
            <w:tcW w:type="dxa" w:w="47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нефинансовых активов</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1040,7</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864,1</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83,0</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-176,6</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86,7</w:t>
            </w:r>
          </w:p>
        </w:tc>
      </w:tr>
      <w:tr>
        <w:tc>
          <w:tcPr>
            <w:tcW w:type="dxa" w:w="47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23852,2</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23065,6</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96,7</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-786,6</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1987,7</w:t>
            </w:r>
          </w:p>
        </w:tc>
      </w:tr>
    </w:tbl>
    <w:p>
      <w:pPr>
        <w:spacing w:after="120"/>
        <w:jc w:val="both"/>
      </w:pPr>
      <w:r>
        <w:rPr>
          <w:rFonts w:ascii="Arial" w:cs="Arial" w:eastAsia="Arial" w:hAnsi="Arial"/>
          <w:sz w:val="24"/>
          <w:szCs w:val="24"/>
        </w:rPr>
        <w:t xml:space="preserve">Уточненный план по категориальным грантам составил 11050,7 млн. сомов, по сравнению с утвержденной суммой увеличение составило 290,7 млн. сомов (утвержденный план 10760,0 млн. сомов), увеличение категориальных грантов произведено в соответствии с постановлениями Правительства Кыргызской Республики "О переводе общеобразовательных организаций КР на подушевой принцип финансирования" от </w:t>
      </w:r>
      <w:hyperlink w:history="1" r:id="rIdzw0tb9w8brjszvmzmfcv1">
        <w:r>
          <w:rPr>
            <w:rFonts w:ascii="Arial" w:cs="Arial" w:eastAsia="Arial" w:hAnsi="Arial"/>
            <w:color w:val="1D4ED8"/>
            <w:sz w:val="24"/>
            <w:szCs w:val="24"/>
            <w:u w:val="single"/>
          </w:rPr>
          <w:t xml:space="preserve">20 сентября 2011 года № 563</w:t>
        </w:r>
      </w:hyperlink>
      <w:r>
        <w:rPr>
          <w:rFonts w:ascii="Arial" w:cs="Arial" w:eastAsia="Arial" w:hAnsi="Arial"/>
          <w:sz w:val="24"/>
          <w:szCs w:val="24"/>
        </w:rPr>
        <w:t xml:space="preserve">, "О введении новых условий оплаты труда работников образовательных организаций" от </w:t>
      </w:r>
      <w:hyperlink w:history="1" r:id="rIdm5skon-w9rwkxwv0_yfej">
        <w:r>
          <w:rPr>
            <w:rFonts w:ascii="Arial" w:cs="Arial" w:eastAsia="Arial" w:hAnsi="Arial"/>
            <w:color w:val="1D4ED8"/>
            <w:sz w:val="24"/>
            <w:szCs w:val="24"/>
            <w:u w:val="single"/>
          </w:rPr>
          <w:t xml:space="preserve">19 января 2011 года № 18</w:t>
        </w:r>
      </w:hyperlink>
      <w:r>
        <w:rPr>
          <w:rFonts w:ascii="Arial" w:cs="Arial" w:eastAsia="Arial" w:hAnsi="Arial"/>
          <w:sz w:val="24"/>
          <w:szCs w:val="24"/>
        </w:rPr>
        <w:t xml:space="preserve">, "Об утверждении Инструкции о порядке исчисления заработной платы работников образовательных организаций" от </w:t>
      </w:r>
      <w:hyperlink w:history="1" r:id="rIdludsipyxrprwwoe5_anav">
        <w:r>
          <w:rPr>
            <w:rFonts w:ascii="Arial" w:cs="Arial" w:eastAsia="Arial" w:hAnsi="Arial"/>
            <w:color w:val="1D4ED8"/>
            <w:sz w:val="24"/>
            <w:szCs w:val="24"/>
            <w:u w:val="single"/>
          </w:rPr>
          <w:t xml:space="preserve">31 мая 2011 года № 270</w:t>
        </w:r>
      </w:hyperlink>
      <w:r>
        <w:rPr>
          <w:rFonts w:ascii="Arial" w:cs="Arial" w:eastAsia="Arial" w:hAnsi="Arial"/>
          <w:sz w:val="24"/>
          <w:szCs w:val="24"/>
        </w:rPr>
        <w:t xml:space="preserve"> и УП КР от </w:t>
      </w:r>
      <w:hyperlink w:history="1" r:id="rId5xzvq7raouq6va6pddzit">
        <w:r>
          <w:rPr>
            <w:rFonts w:ascii="Arial" w:cs="Arial" w:eastAsia="Arial" w:hAnsi="Arial"/>
            <w:color w:val="1D4ED8"/>
            <w:sz w:val="24"/>
            <w:szCs w:val="24"/>
            <w:u w:val="single"/>
          </w:rPr>
          <w:t xml:space="preserve">25 июня 2012 года № 122</w:t>
        </w:r>
      </w:hyperlink>
      <w:r>
        <w:rPr>
          <w:rFonts w:ascii="Arial" w:cs="Arial" w:eastAsia="Arial" w:hAnsi="Arial"/>
          <w:sz w:val="24"/>
          <w:szCs w:val="24"/>
        </w:rPr>
        <w:t xml:space="preserve">, а также обращения Управления делами Президента Кыргызской Республики от 5 сентября 2012 года за № 01-9-04/699.</w:t>
      </w:r>
    </w:p>
    <w:p>
      <w:pPr>
        <w:spacing w:after="120"/>
        <w:jc w:val="both"/>
      </w:pPr>
      <w:r>
        <w:rPr>
          <w:rFonts w:ascii="Arial" w:cs="Arial" w:eastAsia="Arial" w:hAnsi="Arial"/>
          <w:sz w:val="24"/>
          <w:szCs w:val="24"/>
        </w:rPr>
        <w:t xml:space="preserve">Уточненный план по выравнивающим грантам составил 954,9 млн. сомов по сравнению с утвержденной суммой план не изменился (утвержденный план 954,9 млн. сомов).</w:t>
      </w:r>
    </w:p>
    <w:p>
      <w:pPr>
        <w:spacing w:after="120"/>
        <w:jc w:val="both"/>
      </w:pPr>
      <w:r>
        <w:rPr>
          <w:rFonts w:ascii="Arial" w:cs="Arial" w:eastAsia="Arial" w:hAnsi="Arial"/>
          <w:sz w:val="24"/>
          <w:szCs w:val="24"/>
        </w:rPr>
        <w:t xml:space="preserve">В соответствии с </w:t>
      </w:r>
      <w:hyperlink w:history="1" r:id="rIda38q0zi2x-lbkf_pnhd3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республиканском бюджете Кыргызской Республики на 2012 год и прогнозе на 2013-2014 годы" и нормативно-правовыми актами Кыргызской Республики из республиканского бюджета местным бюджетам предусмотрены средства передаваемые в сумме 2388,8 млн. сомов, в том числе:</w:t>
      </w:r>
    </w:p>
    <w:p>
      <w:pPr>
        <w:spacing w:after="120"/>
        <w:jc w:val="both"/>
      </w:pPr>
      <w:r>
        <w:rPr>
          <w:rFonts w:ascii="Arial" w:cs="Arial" w:eastAsia="Arial" w:hAnsi="Arial"/>
          <w:sz w:val="24"/>
          <w:szCs w:val="24"/>
        </w:rPr>
        <w:t xml:space="preserve">- согласно Закона Кыргызской Республики "Об организации питания учащихся в общеобразовательных школах Кыргызской Республики" от 27 июня 2002 года № 111 на питание учащихся 1-4 классов в сумме 390,8 млн. сомов;</w:t>
      </w:r>
    </w:p>
    <w:p>
      <w:pPr>
        <w:spacing w:after="120"/>
        <w:jc w:val="both"/>
      </w:pPr>
      <w:r>
        <w:rPr>
          <w:rFonts w:ascii="Arial" w:cs="Arial" w:eastAsia="Arial" w:hAnsi="Arial"/>
          <w:sz w:val="24"/>
          <w:szCs w:val="24"/>
        </w:rPr>
        <w:t xml:space="preserve">- на покрытие выпадающих доходов местного бюджета города Бишкек дополнительно предусмотрено на заработную плату и отчисление в Социальный фонд Кыргызской Республики и коммунальные услуга в сумме 559,4 млн. сомов;</w:t>
      </w:r>
    </w:p>
    <w:p>
      <w:pPr>
        <w:spacing w:after="120"/>
        <w:jc w:val="both"/>
      </w:pPr>
      <w:r>
        <w:rPr>
          <w:rFonts w:ascii="Arial" w:cs="Arial" w:eastAsia="Arial" w:hAnsi="Arial"/>
          <w:sz w:val="24"/>
          <w:szCs w:val="24"/>
        </w:rPr>
        <w:t xml:space="preserve">- на покрытие выпадающих доходов местного бюджета города Ош в сумме 445,0 млн. сомов, в том числе 75,0 млн. сомов во исполнение </w:t>
      </w:r>
      <w:hyperlink w:history="1" r:id="rIduhr12ynondj9nsxlhd37l">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5 сентября 2011 года № 530;</w:t>
      </w:r>
    </w:p>
    <w:p>
      <w:pPr>
        <w:spacing w:after="120"/>
        <w:jc w:val="both"/>
      </w:pPr>
      <w:r>
        <w:rPr>
          <w:rFonts w:ascii="Arial" w:cs="Arial" w:eastAsia="Arial" w:hAnsi="Arial"/>
          <w:sz w:val="24"/>
          <w:szCs w:val="24"/>
        </w:rPr>
        <w:t xml:space="preserve">- на покрытие выпадающих доходов местного бюджета города Джалал-Абад в сумме 58,0 млн. сомов;</w:t>
      </w:r>
    </w:p>
    <w:p>
      <w:pPr>
        <w:spacing w:after="120"/>
        <w:jc w:val="both"/>
      </w:pPr>
      <w:r>
        <w:rPr>
          <w:rFonts w:ascii="Arial" w:cs="Arial" w:eastAsia="Arial" w:hAnsi="Arial"/>
          <w:sz w:val="24"/>
          <w:szCs w:val="24"/>
        </w:rPr>
        <w:t xml:space="preserve">- на текущий ремонт общеобразовательных школ в сумме 96,4 млн. сомов, согласно перечню распределения, составленного Министерством образования и науки Кыргызской Республики;</w:t>
      </w:r>
    </w:p>
    <w:p>
      <w:pPr>
        <w:spacing w:after="120"/>
        <w:jc w:val="both"/>
      </w:pPr>
      <w:r>
        <w:rPr>
          <w:rFonts w:ascii="Arial" w:cs="Arial" w:eastAsia="Arial" w:hAnsi="Arial"/>
          <w:sz w:val="24"/>
          <w:szCs w:val="24"/>
        </w:rPr>
        <w:t xml:space="preserve">- согласно решения Комитета по бюджету и финансам Жогорку Кенеша Кыргызской Республики "Об обеспечении финансирования отдельным министерствам и ведомствам Кыргызской Республики" от 6 декабря 2012 года № 6-269НЧ на приобретение бывшего здания детского сада Жаны-Ноокатскому айыльному округу предусмотрено 8,5 млн. сомов;</w:t>
      </w:r>
    </w:p>
    <w:p>
      <w:pPr>
        <w:spacing w:after="120"/>
        <w:jc w:val="both"/>
      </w:pPr>
      <w:r>
        <w:rPr>
          <w:rFonts w:ascii="Arial" w:cs="Arial" w:eastAsia="Arial" w:hAnsi="Arial"/>
          <w:sz w:val="24"/>
          <w:szCs w:val="24"/>
        </w:rPr>
        <w:t xml:space="preserve">- на расходы детского сада, переданного из республиканского бюджета в местный бюджет в сумме 0,4 млн. сомов;</w:t>
      </w:r>
    </w:p>
    <w:p>
      <w:pPr>
        <w:spacing w:after="120"/>
        <w:jc w:val="both"/>
      </w:pPr>
      <w:r>
        <w:rPr>
          <w:rFonts w:ascii="Arial" w:cs="Arial" w:eastAsia="Arial" w:hAnsi="Arial"/>
          <w:sz w:val="24"/>
          <w:szCs w:val="24"/>
        </w:rPr>
        <w:t xml:space="preserve">- на покрытие выпадающих доходов местных бюджетов МСУ связанных с чрезвычайными ситуациями, выплату единовременного пособия по потере кормильца, приобретение административного здания и на исполнение судебного решения в сумме 50,7 млн. сомов;</w:t>
      </w:r>
    </w:p>
    <w:p>
      <w:pPr>
        <w:spacing w:after="120"/>
        <w:jc w:val="both"/>
      </w:pPr>
      <w:r>
        <w:rPr>
          <w:rFonts w:ascii="Arial" w:cs="Arial" w:eastAsia="Arial" w:hAnsi="Arial"/>
          <w:sz w:val="24"/>
          <w:szCs w:val="24"/>
        </w:rPr>
        <w:t xml:space="preserve">- на компенсацию в размере 50 процентов при оплате за пользование электрической энергией, согласно </w:t>
      </w:r>
      <w:hyperlink w:history="1" r:id="rIdrayurbltv2djpzwaieapv">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дополнительных мерах государственной поддержки лиц, проживающих в тяжелых, неблагоприятных природно-климатических условиях высокогорья и отдаленных труднодоступных зонах" от 2 апреля 2010 года № 206 в сумме 113,9 млн. сомов;</w:t>
      </w:r>
    </w:p>
    <w:p>
      <w:pPr>
        <w:spacing w:after="120"/>
        <w:jc w:val="both"/>
      </w:pPr>
      <w:r>
        <w:rPr>
          <w:rFonts w:ascii="Arial" w:cs="Arial" w:eastAsia="Arial" w:hAnsi="Arial"/>
          <w:sz w:val="24"/>
          <w:szCs w:val="24"/>
        </w:rPr>
        <w:t xml:space="preserve">- на погашение кредиторской задолженности местных бюджетов по коммунальным услугам в сумме 665,7 млн. сомов, из них на электроэнергию 286,1 млн. сомов, теплоэнергию 178,6 млн. сомов и приобретение угля 201,0 млн. сомов.</w:t>
      </w:r>
    </w:p>
    <w:p>
      <w:pPr>
        <w:spacing w:after="120"/>
        <w:jc w:val="both"/>
      </w:pPr>
      <w:r>
        <w:rPr>
          <w:rFonts w:ascii="Arial" w:cs="Arial" w:eastAsia="Arial" w:hAnsi="Arial"/>
          <w:sz w:val="24"/>
          <w:szCs w:val="24"/>
        </w:rPr>
        <w:t xml:space="preserve">Таким образом, общий объем уточненных планов местных бюджетов на 2012 год составили 24542,0 млн. сомов, из них 14394,3 млн. сомов составили трансферты, финансируемые за счет средств республиканского бюджета или 58,6% от общего объема местных бюджетов.</w:t>
      </w:r>
    </w:p>
    <w:p>
      <w:pPr>
        <w:spacing w:after="120"/>
        <w:jc w:val="both"/>
      </w:pPr>
      <w:r>
        <w:rPr>
          <w:rFonts w:ascii="Arial" w:cs="Arial" w:eastAsia="Arial" w:hAnsi="Arial"/>
          <w:sz w:val="24"/>
          <w:szCs w:val="24"/>
        </w:rPr>
        <w:t xml:space="preserve">Дефицит бюджета</w:t>
      </w:r>
    </w:p>
    <w:p>
      <w:pPr>
        <w:spacing w:after="120"/>
        <w:jc w:val="both"/>
      </w:pPr>
      <w:r>
        <w:rPr>
          <w:rFonts w:ascii="Arial" w:cs="Arial" w:eastAsia="Arial" w:hAnsi="Arial"/>
          <w:sz w:val="24"/>
          <w:szCs w:val="24"/>
        </w:rPr>
        <w:t xml:space="preserve">Государственный бюджет в 2012 году исполнен с дефицитом в сумме 20232,3 млн. сомов при плановом показателе дефицита 21451,1 млн. сомов, в том числе:</w:t>
      </w:r>
    </w:p>
    <w:p>
      <w:pPr>
        <w:spacing w:after="120"/>
        <w:jc w:val="both"/>
      </w:pPr>
      <w:r>
        <w:rPr>
          <w:rFonts w:ascii="Arial" w:cs="Arial" w:eastAsia="Arial" w:hAnsi="Arial"/>
          <w:sz w:val="24"/>
          <w:szCs w:val="24"/>
        </w:rPr>
        <w:t xml:space="preserve">- республиканский бюджет - 20235,6 млн. сомов при плановом показателе дефицита 21179,1 млн. сомов;</w:t>
      </w:r>
    </w:p>
    <w:p>
      <w:pPr>
        <w:spacing w:after="120"/>
        <w:jc w:val="both"/>
      </w:pPr>
      <w:r>
        <w:rPr>
          <w:rFonts w:ascii="Arial" w:cs="Arial" w:eastAsia="Arial" w:hAnsi="Arial"/>
          <w:sz w:val="24"/>
          <w:szCs w:val="24"/>
        </w:rPr>
        <w:t xml:space="preserve">- местный бюджет - профицитом 3,3 млн. сомов при плановом показателе дефицита 272,0 млн. сомов.</w:t>
      </w:r>
    </w:p>
    <w:p>
      <w:pPr>
        <w:spacing w:after="120"/>
        <w:jc w:val="both"/>
      </w:pPr>
      <w:r>
        <w:rPr>
          <w:rFonts w:ascii="Arial" w:cs="Arial" w:eastAsia="Arial" w:hAnsi="Arial"/>
          <w:sz w:val="24"/>
          <w:szCs w:val="24"/>
        </w:rPr>
        <w:t xml:space="preserve">По главной книге Центрального казначейства (Общие ресурсы Министерства финансов) остаток бюджетных средств составил 512,6 млн. сомов (без специальных средств).</w:t>
      </w:r>
    </w:p>
    <w:p>
      <w:pPr>
        <w:spacing w:after="120"/>
        <w:jc w:val="both"/>
      </w:pPr>
      <w:r>
        <w:rPr>
          <w:rFonts w:ascii="Arial" w:cs="Arial" w:eastAsia="Arial" w:hAnsi="Arial"/>
          <w:sz w:val="24"/>
          <w:szCs w:val="24"/>
        </w:rPr>
        <w:t xml:space="preserve">Исполнение бюджета по секторам</w:t>
      </w:r>
    </w:p>
    <w:p>
      <w:pPr>
        <w:spacing w:after="120"/>
        <w:jc w:val="both"/>
      </w:pPr>
      <w:r>
        <w:rPr>
          <w:rFonts w:ascii="Arial" w:cs="Arial" w:eastAsia="Arial" w:hAnsi="Arial"/>
          <w:sz w:val="24"/>
          <w:szCs w:val="24"/>
        </w:rPr>
        <w:t xml:space="preserve">Государственный сектор</w:t>
      </w:r>
    </w:p>
    <w:p>
      <w:pPr>
        <w:spacing w:after="120"/>
        <w:jc w:val="both"/>
      </w:pPr>
      <w:r>
        <w:rPr>
          <w:rFonts w:ascii="Arial" w:cs="Arial" w:eastAsia="Arial" w:hAnsi="Arial"/>
          <w:sz w:val="24"/>
          <w:szCs w:val="24"/>
        </w:rPr>
        <w:t xml:space="preserve">Исполнение государственного бюджета по Государственным службам общего назначения за 2012 год составило - 11119,9 млн. сомов, при уточненном плане - 11751,3 млн. сомов или исполнение бюджета составило - 94,6%.</w:t>
      </w:r>
    </w:p>
    <w:p>
      <w:pPr>
        <w:spacing w:after="120"/>
        <w:jc w:val="both"/>
      </w:pPr>
      <w:r>
        <w:rPr>
          <w:rFonts w:ascii="Arial" w:cs="Arial" w:eastAsia="Arial" w:hAnsi="Arial"/>
          <w:sz w:val="24"/>
          <w:szCs w:val="24"/>
        </w:rPr>
        <w:t xml:space="preserve">Исполнение республиканского бюджета по государственным службам общего назначения (без учета специальных средств) составило - 22393,9 млн. сомов, при уточненном плане - 22746,0 млн. сомов или исполнение составило - 98,5%.</w:t>
      </w:r>
    </w:p>
    <w:p>
      <w:pPr>
        <w:spacing w:after="120"/>
        <w:jc w:val="both"/>
      </w:pPr>
      <w:r>
        <w:rPr>
          <w:rFonts w:ascii="Arial" w:cs="Arial" w:eastAsia="Arial" w:hAnsi="Arial"/>
          <w:sz w:val="24"/>
          <w:szCs w:val="24"/>
        </w:rPr>
        <w:t xml:space="preserve">1. По исполнительным и законодательным органам исполнение бюджета составило - 1383,7 млн. сомов, при уточненном плане - 1387,8 млн. сомов или исполнение составило - 99,7%.</w:t>
      </w:r>
    </w:p>
    <w:p>
      <w:pPr>
        <w:spacing w:after="120"/>
        <w:jc w:val="both"/>
      </w:pPr>
      <w:r>
        <w:rPr>
          <w:rFonts w:ascii="Arial" w:cs="Arial" w:eastAsia="Arial" w:hAnsi="Arial"/>
          <w:sz w:val="24"/>
          <w:szCs w:val="24"/>
        </w:rPr>
        <w:t xml:space="preserve">2. По вопросам бюджетно-финансовой деятельности исполнение бюджета составило - 919,3 млн. сомов, при уточненном плане - 932,3 млн. сомов или исполнение бюджета составило - 98,6%.</w:t>
      </w:r>
    </w:p>
    <w:p>
      <w:pPr>
        <w:spacing w:after="120"/>
        <w:jc w:val="both"/>
      </w:pPr>
      <w:r>
        <w:rPr>
          <w:rFonts w:ascii="Arial" w:cs="Arial" w:eastAsia="Arial" w:hAnsi="Arial"/>
          <w:sz w:val="24"/>
          <w:szCs w:val="24"/>
        </w:rPr>
        <w:t xml:space="preserve">3. По международным отношениям исполнение бюджета составило - 596,9 млн. сомов, при уточненном плане - 600,5 млн. сомов или исполнение бюджета составило - 99,4%.</w:t>
      </w:r>
    </w:p>
    <w:p>
      <w:pPr>
        <w:spacing w:after="120"/>
        <w:jc w:val="both"/>
      </w:pPr>
      <w:r>
        <w:rPr>
          <w:rFonts w:ascii="Arial" w:cs="Arial" w:eastAsia="Arial" w:hAnsi="Arial"/>
          <w:sz w:val="24"/>
          <w:szCs w:val="24"/>
        </w:rPr>
        <w:t xml:space="preserve">4. По общим вопросам кадрового обслуживания исполнение бюджета составило - 40,7 млн. сомов, при уточненном плане - 41,1 млн. сомов или исполнение бюджета составило - 99,0%.</w:t>
      </w:r>
    </w:p>
    <w:p>
      <w:pPr>
        <w:spacing w:after="120"/>
        <w:jc w:val="both"/>
      </w:pPr>
      <w:r>
        <w:rPr>
          <w:rFonts w:ascii="Arial" w:cs="Arial" w:eastAsia="Arial" w:hAnsi="Arial"/>
          <w:sz w:val="24"/>
          <w:szCs w:val="24"/>
        </w:rPr>
        <w:t xml:space="preserve">5. По службам планирования и статистическим службам общего назначения исполнение бюджета составило - 319,3 млн. сомов, при уточненном плане - 321,5 млн. сомов или исполнение бюджета составило - 99,3%.</w:t>
      </w:r>
    </w:p>
    <w:p>
      <w:pPr>
        <w:spacing w:after="120"/>
        <w:jc w:val="both"/>
      </w:pPr>
      <w:r>
        <w:rPr>
          <w:rFonts w:ascii="Arial" w:cs="Arial" w:eastAsia="Arial" w:hAnsi="Arial"/>
          <w:sz w:val="24"/>
          <w:szCs w:val="24"/>
        </w:rPr>
        <w:t xml:space="preserve">6. По прочим общим службам исполнение бюджета составило - 744,8 млн. сомов, при уточненном плане - 747,7 млн. сомов или исполнение бюджета составило - 99,6%.</w:t>
      </w:r>
    </w:p>
    <w:p>
      <w:pPr>
        <w:spacing w:after="120"/>
        <w:jc w:val="both"/>
      </w:pPr>
      <w:r>
        <w:rPr>
          <w:rFonts w:ascii="Arial" w:cs="Arial" w:eastAsia="Arial" w:hAnsi="Arial"/>
          <w:sz w:val="24"/>
          <w:szCs w:val="24"/>
        </w:rPr>
        <w:t xml:space="preserve">7. По научным исследованиям и опытно-конструкторским разработкам, связанным с государственными службами общего назначения, исполнение бюджета составило - 215,4 млн. сомов, при уточненном плане - 215,4 млн. сомов или исполнение бюджета составило - 100%.</w:t>
      </w:r>
    </w:p>
    <w:p>
      <w:pPr>
        <w:spacing w:after="120"/>
        <w:jc w:val="both"/>
      </w:pPr>
      <w:r>
        <w:rPr>
          <w:rFonts w:ascii="Arial" w:cs="Arial" w:eastAsia="Arial" w:hAnsi="Arial"/>
          <w:sz w:val="24"/>
          <w:szCs w:val="24"/>
        </w:rPr>
        <w:t xml:space="preserve">8. По выборам и проведению референдумов исполнение бюджета составило - 205,3 млн. сомов, при уточненном плане - 254,9 млн. сомов или исполнение бюджета составило - 80,5%.</w:t>
      </w:r>
    </w:p>
    <w:p>
      <w:pPr>
        <w:spacing w:after="120"/>
        <w:jc w:val="both"/>
      </w:pPr>
      <w:r>
        <w:rPr>
          <w:rFonts w:ascii="Arial" w:cs="Arial" w:eastAsia="Arial" w:hAnsi="Arial"/>
          <w:sz w:val="24"/>
          <w:szCs w:val="24"/>
        </w:rPr>
        <w:t xml:space="preserve">9. По драгоценным металлам исполнение бюджета составило - 8,0 млн. сомов, при уточненном плане - 8,0 млн. сомов или исполнение бюджета составило - 100%.</w:t>
      </w:r>
    </w:p>
    <w:p>
      <w:pPr>
        <w:spacing w:after="120"/>
        <w:jc w:val="both"/>
      </w:pPr>
      <w:r>
        <w:rPr>
          <w:rFonts w:ascii="Arial" w:cs="Arial" w:eastAsia="Arial" w:hAnsi="Arial"/>
          <w:sz w:val="24"/>
          <w:szCs w:val="24"/>
        </w:rPr>
        <w:t xml:space="preserve">10. По прочим учреждениям общего назначения исполнение бюджета составило - 155,1 млн. сомов, при уточненном плане - 160,4 млн. сомов или исполнение бюджета составило - 96,7%.</w:t>
      </w:r>
    </w:p>
    <w:p>
      <w:pPr>
        <w:spacing w:after="120"/>
        <w:jc w:val="both"/>
      </w:pPr>
      <w:r>
        <w:rPr>
          <w:rFonts w:ascii="Arial" w:cs="Arial" w:eastAsia="Arial" w:hAnsi="Arial"/>
          <w:sz w:val="24"/>
          <w:szCs w:val="24"/>
        </w:rPr>
        <w:t xml:space="preserve">11. По другим услугам государственной службы общего назначения, не отнесенные к другим категориям исполнение бюджета составило - 614,4 млн. сомов при уточненном плане - 631,4 млн. сомов или исполнение бюджета составило - 97,3%.</w:t>
      </w:r>
    </w:p>
    <w:p>
      <w:pPr>
        <w:spacing w:after="120"/>
        <w:jc w:val="both"/>
      </w:pPr>
      <w:r>
        <w:rPr>
          <w:rFonts w:ascii="Arial" w:cs="Arial" w:eastAsia="Arial" w:hAnsi="Arial"/>
          <w:sz w:val="24"/>
          <w:szCs w:val="24"/>
        </w:rPr>
        <w:t xml:space="preserve">12. По операциям, связанным с погашением государственного долга, исполнение бюджета составило - 2898,9 млн. сомов при уточненном плане - 3050,7 млн. сомов или исполнение бюджета составило - 95,0%.</w:t>
      </w:r>
    </w:p>
    <w:p>
      <w:pPr>
        <w:spacing w:after="120"/>
        <w:jc w:val="both"/>
      </w:pPr>
      <w:r>
        <w:rPr>
          <w:rFonts w:ascii="Arial" w:cs="Arial" w:eastAsia="Arial" w:hAnsi="Arial"/>
          <w:sz w:val="24"/>
          <w:szCs w:val="24"/>
        </w:rPr>
        <w:t xml:space="preserve">13. По трансфертам общего характера между органами государственного управления различного уровня исполнение бюджета составило - 14292,0 млн. сомов при уточненном плане - 14394,3 млн. сомов или исполнение бюджета составило - 99,3%.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Социальный сектор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Образование</w:t>
      </w:r>
    </w:p>
    <w:p>
      <w:pPr>
        <w:spacing w:after="120"/>
        <w:jc w:val="both"/>
      </w:pPr>
      <w:r>
        <w:rPr>
          <w:rFonts w:ascii="Arial" w:cs="Arial" w:eastAsia="Arial" w:hAnsi="Arial"/>
          <w:sz w:val="24"/>
          <w:szCs w:val="24"/>
        </w:rPr>
        <w:t xml:space="preserve">В 2012 году расходы республиканского бюджета по разделу "Образование" в целом составили 7024,5 млн. сомов, при уточненном плане 7293,0 млн. сомов или исполнение составило 96,3%, из них за счет бюджетных средств - 4917,8 млн. сомов при уточненном плане 4941,9 млн. сомов или 99,5%.</w:t>
      </w:r>
    </w:p>
    <w:p>
      <w:pPr>
        <w:spacing w:after="120"/>
        <w:jc w:val="both"/>
      </w:pPr>
      <w:r>
        <w:rPr>
          <w:rFonts w:ascii="Arial" w:cs="Arial" w:eastAsia="Arial" w:hAnsi="Arial"/>
          <w:sz w:val="24"/>
          <w:szCs w:val="24"/>
        </w:rPr>
        <w:t xml:space="preserve">За 2012 год по подведомственным учреждениям Министерства образования и науки Кыргызской Республики при уточненном плане 2129,7 млн. сомов исполнение составило 2112,1 млн. сомов или на 99,2%. Из них, по защищенным статьям по заработной плате и отчислениям в СФ при плане 1674,6 млн. сомов профинансировано 1667,1 млн. сомов или на 99,6%, по приобретению продуктов питания при плане 122,9 млн. сомов исполнено на 121,6 млн. сомов или на 98,9%, по стипендиям при плане 56,9 млн. сомов исполнено на 56,2 млн. сомов, или на 98,8%, на капитальный ремонт учреждений образования направлено средств в сумме 35,5 млн. сомов, или на 100%.</w:t>
      </w:r>
    </w:p>
    <w:p>
      <w:pPr>
        <w:spacing w:after="120"/>
        <w:jc w:val="both"/>
      </w:pPr>
      <w:r>
        <w:rPr>
          <w:rFonts w:ascii="Arial" w:cs="Arial" w:eastAsia="Arial" w:hAnsi="Arial"/>
          <w:sz w:val="24"/>
          <w:szCs w:val="24"/>
        </w:rPr>
        <w:t xml:space="preserve">В соответствии с </w:t>
      </w:r>
      <w:hyperlink w:history="1" r:id="rIdqxgvuwfbn0iiq5nid0dq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мерах по организации летнего отдыха детей и подростков в 2012 году" от 10 июля 2012 года № 480 на оздоровление детей из малообеспеченных семей профинансированы средства в сумме 5 млн. сомов, а также на проведение республиканской олимпиады школьников - 1,2 млн. сомов, на проведение республиканского конкурса "Учитель года" - 1,0 млн. сомов, на международную олимпиаду школьников - 1,5 млн. сомов, на проведение мероприятий по линии ШОС - 0,5 млн. сомов, на проведение августовского совещания учителей - 0,3 млн. сомов, на программу "Депозит молодого учителя" - 0,7 млн. сомов.</w:t>
      </w:r>
    </w:p>
    <w:p>
      <w:pPr>
        <w:spacing w:after="120"/>
        <w:jc w:val="both"/>
      </w:pPr>
      <w:r>
        <w:rPr>
          <w:rFonts w:ascii="Arial" w:cs="Arial" w:eastAsia="Arial" w:hAnsi="Arial"/>
          <w:sz w:val="24"/>
          <w:szCs w:val="24"/>
        </w:rPr>
        <w:t xml:space="preserve">Кроме того, на издание и тиражирование учебников предусмотрено 100 млн. сомов, в октябре в связи с недопоступлением доходов были секвестированы расходы на 62,3 млн. сомов, уточненный план составил 37,7 млн. сомов, которые по состоянию на 1 января 2013 года полностью профинансированы.</w:t>
      </w:r>
    </w:p>
    <w:p>
      <w:pPr>
        <w:spacing w:after="120"/>
        <w:jc w:val="both"/>
      </w:pPr>
      <w:r>
        <w:rPr>
          <w:rFonts w:ascii="Arial" w:cs="Arial" w:eastAsia="Arial" w:hAnsi="Arial"/>
          <w:sz w:val="24"/>
          <w:szCs w:val="24"/>
        </w:rPr>
        <w:t xml:space="preserve">В бюджете на 2012 год на текущий ремонт школ предусмотрено из республиканского бюджета 100 млн. сомов, которые полностью профинансированы. Расчеты были произведены по средней величине между суммами от объема здания школы и контингента учащихся на 2012 год.</w:t>
      </w:r>
    </w:p>
    <w:p>
      <w:pPr>
        <w:spacing w:after="120"/>
        <w:jc w:val="both"/>
      </w:pPr>
      <w:r>
        <w:rPr>
          <w:rFonts w:ascii="Arial" w:cs="Arial" w:eastAsia="Arial" w:hAnsi="Arial"/>
          <w:sz w:val="24"/>
          <w:szCs w:val="24"/>
        </w:rPr>
        <w:t xml:space="preserve">Бюджетная политика в 2012 году как и в предыдущие годы был направлен на обеспечение доступности образования.</w:t>
      </w:r>
    </w:p>
    <w:p>
      <w:pPr>
        <w:spacing w:after="120"/>
        <w:jc w:val="both"/>
      </w:pPr>
      <w:r>
        <w:rPr>
          <w:rFonts w:ascii="Arial" w:cs="Arial" w:eastAsia="Arial" w:hAnsi="Arial"/>
          <w:sz w:val="24"/>
          <w:szCs w:val="24"/>
        </w:rPr>
        <w:t xml:space="preserve">Социальная защита</w:t>
      </w:r>
    </w:p>
    <w:p>
      <w:pPr>
        <w:spacing w:after="120"/>
        <w:jc w:val="both"/>
      </w:pPr>
      <w:r>
        <w:rPr>
          <w:rFonts w:ascii="Arial" w:cs="Arial" w:eastAsia="Arial" w:hAnsi="Arial"/>
          <w:sz w:val="24"/>
          <w:szCs w:val="24"/>
        </w:rPr>
        <w:t xml:space="preserve">В 2012 году расходы республиканского бюджета по разделу "Социальная защита" в целом составили 16491,4 млн. сомов, при уточненном плане 17151,7 млн. сомов, или исполнение составило 96,2%. По сравнению с 2011 годом расходы возросли на 2865,4 млн. сомов.</w:t>
      </w:r>
    </w:p>
    <w:p>
      <w:pPr>
        <w:spacing w:after="120"/>
        <w:jc w:val="both"/>
      </w:pPr>
      <w:r>
        <w:rPr>
          <w:rFonts w:ascii="Arial" w:cs="Arial" w:eastAsia="Arial" w:hAnsi="Arial"/>
          <w:sz w:val="24"/>
          <w:szCs w:val="24"/>
        </w:rPr>
        <w:t xml:space="preserve">По пособиям по социальному обеспечению республиканским бюджетом расходы были предусмотрены в сумме 10961,5 млн. сомов, фактические расходы составили 10961,3 млн. сомов, или исполнение составило 100%.</w:t>
      </w:r>
    </w:p>
    <w:p>
      <w:pPr>
        <w:spacing w:after="120"/>
        <w:jc w:val="both"/>
      </w:pPr>
      <w:r>
        <w:rPr>
          <w:rFonts w:ascii="Arial" w:cs="Arial" w:eastAsia="Arial" w:hAnsi="Arial"/>
          <w:sz w:val="24"/>
          <w:szCs w:val="24"/>
        </w:rPr>
        <w:t xml:space="preserve">По пособиям по социальной помощи населению республиканским бюджетом расходы были предусмотрены в сумме 5333,3 млн. сомов, фактические расходы составили 5325,3 млн. сомов, или исполнение составило 99,9%.</w:t>
      </w:r>
    </w:p>
    <w:p>
      <w:pPr>
        <w:spacing w:after="120"/>
        <w:jc w:val="both"/>
      </w:pPr>
      <w:r>
        <w:rPr>
          <w:rFonts w:ascii="Arial" w:cs="Arial" w:eastAsia="Arial" w:hAnsi="Arial"/>
          <w:sz w:val="24"/>
          <w:szCs w:val="24"/>
        </w:rPr>
        <w:t xml:space="preserve">Трансферты в Социальный Фонд. Для выполнения обязательства государства по льготному пенсионному обеспечению отдельных категорий населения (многодетных матерей и матерей инвалидов с детства, военнослужащих и другие), по выплате надбавок к пенсии, компенсационных выплат и субвенций из республиканского бюджета выделены средства на сумму 10652,3 млн. сомов.</w:t>
      </w:r>
    </w:p>
    <w:p>
      <w:pPr>
        <w:spacing w:after="120"/>
        <w:jc w:val="both"/>
      </w:pPr>
      <w:r>
        <w:rPr>
          <w:rFonts w:ascii="Arial" w:cs="Arial" w:eastAsia="Arial" w:hAnsi="Arial"/>
          <w:sz w:val="24"/>
          <w:szCs w:val="24"/>
        </w:rPr>
        <w:t xml:space="preserve">Социальная защита. Расходы на содержание Центрального аппарата Министерства социального развития Кыргызской Республики за 2012 год составили в сумме 20,0 млн. сомов, что по сравнению с уточненным планом на 2012 год в сумме 21,2 млн. сомов выполнено на 94,3%.</w:t>
      </w:r>
    </w:p>
    <w:p>
      <w:pPr>
        <w:spacing w:after="120"/>
        <w:jc w:val="both"/>
      </w:pPr>
      <w:r>
        <w:rPr>
          <w:rFonts w:ascii="Arial" w:cs="Arial" w:eastAsia="Arial" w:hAnsi="Arial"/>
          <w:sz w:val="24"/>
          <w:szCs w:val="24"/>
        </w:rPr>
        <w:t xml:space="preserve">Дома-интернаты и районные управления социального развития системы соцобеспечения. За счет средств республиканского бюджета финансируются 14 домов интернатов, Центр медико-социальной экспертизы лиц с ограниченными возможностями здоровья и Центр реабилитации лиц с ограниченными возможностями здоровья.</w:t>
      </w:r>
    </w:p>
    <w:p>
      <w:pPr>
        <w:spacing w:after="120"/>
        <w:jc w:val="both"/>
      </w:pPr>
      <w:r>
        <w:rPr>
          <w:rFonts w:ascii="Arial" w:cs="Arial" w:eastAsia="Arial" w:hAnsi="Arial"/>
          <w:sz w:val="24"/>
          <w:szCs w:val="24"/>
        </w:rPr>
        <w:t xml:space="preserve">Из них 3 учреждения - психоневрологические дома-интернаты для детей, 5 домов-интернатов для престарелых граждан и инвалидов и 6 домов-интернатов для взрослых психоневрологических инвалидов. Расходы на их содержание в 2012 году составили в сумме 234,2 млн. сомов. На содержание районных управлений профинансировано в сумме 155,4 млн. сомов.</w:t>
      </w:r>
    </w:p>
    <w:p>
      <w:pPr>
        <w:spacing w:after="120"/>
        <w:jc w:val="both"/>
      </w:pPr>
      <w:r>
        <w:rPr>
          <w:rFonts w:ascii="Arial" w:cs="Arial" w:eastAsia="Arial" w:hAnsi="Arial"/>
          <w:sz w:val="24"/>
          <w:szCs w:val="24"/>
        </w:rPr>
        <w:t xml:space="preserve">Социальное страхование. В целях государственного обеспечения работающих граждан пособиями по беременности и родам и на погребение из средств республиканского бюджета профинансировано в сумме 203,4 млн. сомов, что выполнено на 100% по сравнению с уточненным планом на 2012 год.</w:t>
      </w:r>
    </w:p>
    <w:p>
      <w:pPr>
        <w:spacing w:after="120"/>
        <w:jc w:val="both"/>
      </w:pPr>
      <w:r>
        <w:rPr>
          <w:rFonts w:ascii="Arial" w:cs="Arial" w:eastAsia="Arial" w:hAnsi="Arial"/>
          <w:sz w:val="24"/>
          <w:szCs w:val="24"/>
        </w:rPr>
        <w:t xml:space="preserve">Государственные пособия. Государственные пособия в 2012 году были фактически профинансированы в объеме 3294,5 млн. сомов, из них:</w:t>
      </w:r>
    </w:p>
    <w:p>
      <w:pPr>
        <w:spacing w:after="120"/>
        <w:jc w:val="both"/>
      </w:pPr>
      <w:r>
        <w:rPr>
          <w:rFonts w:ascii="Arial" w:cs="Arial" w:eastAsia="Arial" w:hAnsi="Arial"/>
          <w:sz w:val="24"/>
          <w:szCs w:val="24"/>
        </w:rPr>
        <w:t xml:space="preserve">Ежемесячное пособие малообеспеченным семьям, имеющим детей, составляет 1485,3 млн. сомов, из них сумма выплаты детям до достижения им возраста 3-х лет - 442,6 млн. сомов, ЕЕП более 3-х лет составляет - 1007,8 млн. сомов и единовременное пособие при рождении ребенка - 34,9 млн. сомов.</w:t>
      </w:r>
    </w:p>
    <w:p>
      <w:pPr>
        <w:spacing w:after="120"/>
        <w:jc w:val="both"/>
      </w:pPr>
      <w:r>
        <w:rPr>
          <w:rFonts w:ascii="Arial" w:cs="Arial" w:eastAsia="Arial" w:hAnsi="Arial"/>
          <w:sz w:val="24"/>
          <w:szCs w:val="24"/>
        </w:rPr>
        <w:t xml:space="preserve">Всего численность получателей ежемесячных пособий малообеспеченным семьям, имеющим детей составляет 343530 человек, в том числе:</w:t>
      </w:r>
    </w:p>
    <w:p>
      <w:pPr>
        <w:spacing w:after="120"/>
        <w:jc w:val="both"/>
      </w:pPr>
      <w:r>
        <w:rPr>
          <w:rFonts w:ascii="Arial" w:cs="Arial" w:eastAsia="Arial" w:hAnsi="Arial"/>
          <w:sz w:val="24"/>
          <w:szCs w:val="24"/>
        </w:rPr>
        <w:t xml:space="preserve">Общее количество получателей в твердом размере составляет 80552 человек, из них 80477 - дети до 3 лет (в размере 100% гарантированного минимального дохода), 75 - тройни до 16 лет (в размере 150% гарантированного минимального дохода), средний размер пособий составляет 611,8 сома.</w:t>
      </w:r>
    </w:p>
    <w:p>
      <w:pPr>
        <w:spacing w:after="120"/>
        <w:jc w:val="both"/>
      </w:pPr>
      <w:r>
        <w:rPr>
          <w:rFonts w:ascii="Arial" w:cs="Arial" w:eastAsia="Arial" w:hAnsi="Arial"/>
          <w:sz w:val="24"/>
          <w:szCs w:val="24"/>
        </w:rPr>
        <w:t xml:space="preserve">Количество получателей пособий до абсолютной суммы (в размере разницы между гарантированным минимальным доходом и среднедушевым совокупным доходом семьи) - 262978 человек, в том числе 254023 - дети от 3 до 16 лет, 8955 - учащиеся и студенты начальных, средних и высших профессиональных учебных заведений, средний размер составляет 418,3 сома. Средний размер ежемесячного пособия малообеспеченным семьям в месяц составляет 463,0 сомов с учетом районных коэффициентов.</w:t>
      </w:r>
    </w:p>
    <w:p>
      <w:pPr>
        <w:spacing w:after="120"/>
        <w:jc w:val="both"/>
      </w:pPr>
      <w:r>
        <w:rPr>
          <w:rFonts w:ascii="Arial" w:cs="Arial" w:eastAsia="Arial" w:hAnsi="Arial"/>
          <w:sz w:val="24"/>
          <w:szCs w:val="24"/>
        </w:rPr>
        <w:t xml:space="preserve">Единовременное пособие при рождении ребенка (в размере 300% гарантированного минимального дохода) - 34,9 млн. сомов, численность получателей пособий при рождении ребенка составляет - 30626 человек.</w:t>
      </w:r>
    </w:p>
    <w:p>
      <w:pPr>
        <w:spacing w:after="120"/>
        <w:jc w:val="both"/>
      </w:pPr>
      <w:r>
        <w:rPr>
          <w:rFonts w:ascii="Arial" w:cs="Arial" w:eastAsia="Arial" w:hAnsi="Arial"/>
          <w:sz w:val="24"/>
          <w:szCs w:val="24"/>
        </w:rPr>
        <w:t xml:space="preserve">Ежемесячное социальное пособие составляет - 1771,6 млн. сомов. Всего численность получателей ЕСП - 71266 человек, из них:</w:t>
      </w:r>
    </w:p>
    <w:p>
      <w:pPr>
        <w:spacing w:after="120"/>
        <w:jc w:val="both"/>
      </w:pPr>
      <w:r>
        <w:rPr>
          <w:rFonts w:ascii="Arial" w:cs="Arial" w:eastAsia="Arial" w:hAnsi="Arial"/>
          <w:sz w:val="24"/>
          <w:szCs w:val="24"/>
        </w:rPr>
        <w:t xml:space="preserve">- категория получателей ежемесячного социального пособия по 1000 сомов в месяц: ЛОВЗ от общего заболевания III группы, дети в случае потери кормильца (одного из родителей) и лица пенсионного возраста. Их численность составляет 16644 человек;</w:t>
      </w:r>
    </w:p>
    <w:p>
      <w:pPr>
        <w:spacing w:after="120"/>
        <w:jc w:val="both"/>
      </w:pPr>
      <w:r>
        <w:rPr>
          <w:rFonts w:ascii="Arial" w:cs="Arial" w:eastAsia="Arial" w:hAnsi="Arial"/>
          <w:sz w:val="24"/>
          <w:szCs w:val="24"/>
        </w:rPr>
        <w:t xml:space="preserve">- категория получателей ежемесячного социального пособия по 1500 сомов в месяц: ЛОВЗ от общего заболевания II группы, количество - 3321 человек;</w:t>
      </w:r>
    </w:p>
    <w:p>
      <w:pPr>
        <w:spacing w:after="120"/>
        <w:jc w:val="both"/>
      </w:pPr>
      <w:r>
        <w:rPr>
          <w:rFonts w:ascii="Arial" w:cs="Arial" w:eastAsia="Arial" w:hAnsi="Arial"/>
          <w:sz w:val="24"/>
          <w:szCs w:val="24"/>
        </w:rPr>
        <w:t xml:space="preserve">- категория получателей ежемесячного социального пособия по 2000 сомов; ЛОВЗ с детства III группы, ЛОВЗ от общего заболевания I группы, круглые сироты и матери героини, количество - 7045 человек;</w:t>
      </w:r>
    </w:p>
    <w:p>
      <w:pPr>
        <w:spacing w:after="120"/>
        <w:jc w:val="both"/>
      </w:pPr>
      <w:r>
        <w:rPr>
          <w:rFonts w:ascii="Arial" w:cs="Arial" w:eastAsia="Arial" w:hAnsi="Arial"/>
          <w:sz w:val="24"/>
          <w:szCs w:val="24"/>
        </w:rPr>
        <w:t xml:space="preserve">- категория получателей ежемесячного социального пособия по 2500 сомов: ЛОВЗ с детства II группы, количество - 14752 человек;</w:t>
      </w:r>
    </w:p>
    <w:p>
      <w:pPr>
        <w:spacing w:after="120"/>
        <w:jc w:val="both"/>
      </w:pPr>
      <w:r>
        <w:rPr>
          <w:rFonts w:ascii="Arial" w:cs="Arial" w:eastAsia="Arial" w:hAnsi="Arial"/>
          <w:sz w:val="24"/>
          <w:szCs w:val="24"/>
        </w:rPr>
        <w:t xml:space="preserve">- категория получателей ежемесячного социального пособия по 3000 сомов: ЛОВЗ с детства I группы, дети с ОВЗ, дети с ДЦП до 18 лет, дети рожденные от матерей с ВИЧ/СПИДом до достижения 18 лет, дети с ВИЧ до достижения 18 месяцев, количество составляет 29504 человек.</w:t>
      </w:r>
    </w:p>
    <w:p>
      <w:pPr>
        <w:spacing w:after="120"/>
        <w:jc w:val="both"/>
      </w:pPr>
      <w:r>
        <w:rPr>
          <w:rFonts w:ascii="Arial" w:cs="Arial" w:eastAsia="Arial" w:hAnsi="Arial"/>
          <w:sz w:val="24"/>
          <w:szCs w:val="24"/>
        </w:rPr>
        <w:t xml:space="preserve">Дополнительное ежемесячное социальное пособие - 37,6 млн. сомов.</w:t>
      </w:r>
    </w:p>
    <w:p>
      <w:pPr>
        <w:spacing w:after="120"/>
        <w:jc w:val="both"/>
      </w:pPr>
      <w:r>
        <w:rPr>
          <w:rFonts w:ascii="Arial" w:cs="Arial" w:eastAsia="Arial" w:hAnsi="Arial"/>
          <w:sz w:val="24"/>
          <w:szCs w:val="24"/>
        </w:rPr>
        <w:t xml:space="preserve">Компенсационные выплаты, пожизненные стипендии, социальное страхование. Всего профинансировано в объеме 1635,2 млн. сомов, из них:</w:t>
      </w:r>
    </w:p>
    <w:p>
      <w:pPr>
        <w:spacing w:after="120"/>
        <w:jc w:val="both"/>
      </w:pPr>
      <w:r>
        <w:rPr>
          <w:rFonts w:ascii="Arial" w:cs="Arial" w:eastAsia="Arial" w:hAnsi="Arial"/>
          <w:sz w:val="24"/>
          <w:szCs w:val="24"/>
        </w:rPr>
        <w:t xml:space="preserve">- компенсации взамен льгот - 1378,7 млн. сомов, численность получателей - 56148 человек;</w:t>
      </w:r>
    </w:p>
    <w:p>
      <w:pPr>
        <w:spacing w:after="120"/>
        <w:jc w:val="both"/>
      </w:pPr>
      <w:r>
        <w:rPr>
          <w:rFonts w:ascii="Arial" w:cs="Arial" w:eastAsia="Arial" w:hAnsi="Arial"/>
          <w:sz w:val="24"/>
          <w:szCs w:val="24"/>
        </w:rPr>
        <w:t xml:space="preserve">- расходы на выплату пожизненной стипендии - 79,1 млн. сомов, количество получателей - 2016 человек;</w:t>
      </w:r>
    </w:p>
    <w:p>
      <w:pPr>
        <w:spacing w:after="120"/>
        <w:jc w:val="both"/>
      </w:pPr>
      <w:r>
        <w:rPr>
          <w:rFonts w:ascii="Arial" w:cs="Arial" w:eastAsia="Arial" w:hAnsi="Arial"/>
          <w:sz w:val="24"/>
          <w:szCs w:val="24"/>
        </w:rPr>
        <w:t xml:space="preserve">- на приобретение путевок для лиц с ограниченными возможностями здоровья - 13,8 млн. сомов;</w:t>
      </w:r>
    </w:p>
    <w:p>
      <w:pPr>
        <w:spacing w:after="120"/>
        <w:jc w:val="both"/>
      </w:pPr>
      <w:r>
        <w:rPr>
          <w:rFonts w:ascii="Arial" w:cs="Arial" w:eastAsia="Arial" w:hAnsi="Arial"/>
          <w:sz w:val="24"/>
          <w:szCs w:val="24"/>
        </w:rPr>
        <w:t xml:space="preserve">- на изготовление протезных изделий - 45,4 млн. сомов;</w:t>
      </w:r>
    </w:p>
    <w:p>
      <w:pPr>
        <w:spacing w:after="120"/>
        <w:jc w:val="both"/>
      </w:pPr>
      <w:r>
        <w:rPr>
          <w:rFonts w:ascii="Arial" w:cs="Arial" w:eastAsia="Arial" w:hAnsi="Arial"/>
          <w:sz w:val="24"/>
          <w:szCs w:val="24"/>
        </w:rPr>
        <w:t xml:space="preserve">- на приобретение инвалидных колясок - 11,8 млн. сомов;</w:t>
      </w:r>
    </w:p>
    <w:p>
      <w:pPr>
        <w:spacing w:after="120"/>
        <w:jc w:val="both"/>
      </w:pPr>
      <w:r>
        <w:rPr>
          <w:rFonts w:ascii="Arial" w:cs="Arial" w:eastAsia="Arial" w:hAnsi="Arial"/>
          <w:sz w:val="24"/>
          <w:szCs w:val="24"/>
        </w:rPr>
        <w:t xml:space="preserve">- на единовременные выплаты ветеранам Великой Отечественной войны к 9 мая - 64,5 млн. сомов;</w:t>
      </w:r>
    </w:p>
    <w:p>
      <w:pPr>
        <w:spacing w:after="120"/>
        <w:jc w:val="both"/>
      </w:pPr>
      <w:r>
        <w:rPr>
          <w:rFonts w:ascii="Arial" w:cs="Arial" w:eastAsia="Arial" w:hAnsi="Arial"/>
          <w:sz w:val="24"/>
          <w:szCs w:val="24"/>
        </w:rPr>
        <w:t xml:space="preserve">- единовременные выплаты в связи с событиями 2010 года - 26,0 млн. сомов;</w:t>
      </w:r>
    </w:p>
    <w:p>
      <w:pPr>
        <w:spacing w:after="120"/>
        <w:jc w:val="both"/>
      </w:pPr>
      <w:r>
        <w:rPr>
          <w:rFonts w:ascii="Arial" w:cs="Arial" w:eastAsia="Arial" w:hAnsi="Arial"/>
          <w:sz w:val="24"/>
          <w:szCs w:val="24"/>
        </w:rPr>
        <w:t xml:space="preserve">- на выплату ритуальных услуг (погребение) - 8,5 млн. сомов.</w:t>
      </w:r>
    </w:p>
    <w:p>
      <w:pPr>
        <w:spacing w:after="120"/>
        <w:jc w:val="both"/>
      </w:pPr>
      <w:r>
        <w:rPr>
          <w:rFonts w:ascii="Arial" w:cs="Arial" w:eastAsia="Arial" w:hAnsi="Arial"/>
          <w:sz w:val="24"/>
          <w:szCs w:val="24"/>
        </w:rPr>
        <w:t xml:space="preserve">Здравоохранение</w:t>
      </w:r>
    </w:p>
    <w:p>
      <w:pPr>
        <w:spacing w:after="120"/>
        <w:jc w:val="both"/>
      </w:pPr>
      <w:r>
        <w:rPr>
          <w:rFonts w:ascii="Arial" w:cs="Arial" w:eastAsia="Arial" w:hAnsi="Arial"/>
          <w:sz w:val="24"/>
          <w:szCs w:val="24"/>
        </w:rPr>
        <w:t xml:space="preserve">Исполнение республиканского бюджета по разделу "Здравоохранение" за 2012 год составило 9997,3 млн. сомов при плане 10190,4 млн. сомов, или исполнение составило 98,1 процента, из них за счет бюджетных средств - 9518,6 млн. сомов при уточненном плане 9559,2 млн. сомов или 99,6 процентов.</w:t>
      </w:r>
    </w:p>
    <w:p>
      <w:pPr>
        <w:spacing w:after="120"/>
        <w:jc w:val="both"/>
      </w:pPr>
      <w:r>
        <w:rPr>
          <w:rFonts w:ascii="Arial" w:cs="Arial" w:eastAsia="Arial" w:hAnsi="Arial"/>
          <w:sz w:val="24"/>
          <w:szCs w:val="24"/>
        </w:rPr>
        <w:t xml:space="preserve">На исполнение Программы Государственных гарантий по обеспечению граждан республики медико-санитарной помощью (ФОМС - Единый плательщик) направлены средства в сумме 6738,7 млн. сомов при плане 6741,0 млн. сомов, или 100%.</w:t>
      </w:r>
    </w:p>
    <w:p>
      <w:pPr>
        <w:spacing w:after="120"/>
        <w:jc w:val="both"/>
      </w:pPr>
      <w:r>
        <w:rPr>
          <w:rFonts w:ascii="Arial" w:cs="Arial" w:eastAsia="Arial" w:hAnsi="Arial"/>
          <w:sz w:val="24"/>
          <w:szCs w:val="24"/>
        </w:rPr>
        <w:t xml:space="preserve">Из них 3 учреждения - психоневрологические дома-интернаты для детей, 5 домов-интернатов для престарелых граждан и инвалидов и 6 домов-интернатов для взрослых психоневрологических инвалидов. Расходы на их содержание в 2012 году составили в сумме 234,2 млн. сомов. На содержание районных управлений профинансировано в сумме 155,4 млн. сомов.</w:t>
      </w:r>
    </w:p>
    <w:p>
      <w:pPr>
        <w:spacing w:after="120"/>
        <w:jc w:val="both"/>
      </w:pPr>
      <w:r>
        <w:rPr>
          <w:rFonts w:ascii="Arial" w:cs="Arial" w:eastAsia="Arial" w:hAnsi="Arial"/>
          <w:sz w:val="24"/>
          <w:szCs w:val="24"/>
        </w:rPr>
        <w:t xml:space="preserve">Социальное страхование. В целях государственного обеспечения работающих граждан пособиями по беременности и родам и на погребение из средств республиканского бюджета профинансировано в сумме 203,4 млн. сомов, что выполнено на 100% по сравнению с уточненным планом на 2012 год.</w:t>
      </w:r>
    </w:p>
    <w:p>
      <w:pPr>
        <w:spacing w:after="120"/>
        <w:jc w:val="both"/>
      </w:pPr>
      <w:r>
        <w:rPr>
          <w:rFonts w:ascii="Arial" w:cs="Arial" w:eastAsia="Arial" w:hAnsi="Arial"/>
          <w:sz w:val="24"/>
          <w:szCs w:val="24"/>
        </w:rPr>
        <w:t xml:space="preserve">Государственные пособия. Государственные пособия в 2012 году были фактически профинансированы в объеме 3294,5 млн. сомов, из них:</w:t>
      </w:r>
    </w:p>
    <w:p>
      <w:pPr>
        <w:spacing w:after="120"/>
        <w:jc w:val="both"/>
      </w:pPr>
      <w:r>
        <w:rPr>
          <w:rFonts w:ascii="Arial" w:cs="Arial" w:eastAsia="Arial" w:hAnsi="Arial"/>
          <w:sz w:val="24"/>
          <w:szCs w:val="24"/>
        </w:rPr>
        <w:t xml:space="preserve">Ежемесячное пособие малообеспеченным семьям, имеющим детей, составляет 1485,3 млн. сомов, из них сумма выплаты детям до достижения им возраста 3-х лет - 442,6 млн. сомов, ЕЕП более 3-х лет составляет - 1007,8 млн. сомов и единовременное пособие при рождении ребенка - 34,9 млн. сомов.</w:t>
      </w:r>
    </w:p>
    <w:p>
      <w:pPr>
        <w:spacing w:after="120"/>
        <w:jc w:val="both"/>
      </w:pPr>
      <w:r>
        <w:rPr>
          <w:rFonts w:ascii="Arial" w:cs="Arial" w:eastAsia="Arial" w:hAnsi="Arial"/>
          <w:sz w:val="24"/>
          <w:szCs w:val="24"/>
        </w:rPr>
        <w:t xml:space="preserve">Всего численность получателей ежемесячных пособий малообеспеченным семьям, имеющим детей составляет 343530 человек, в том числе:</w:t>
      </w:r>
    </w:p>
    <w:p>
      <w:pPr>
        <w:spacing w:after="120"/>
        <w:jc w:val="both"/>
      </w:pPr>
      <w:r>
        <w:rPr>
          <w:rFonts w:ascii="Arial" w:cs="Arial" w:eastAsia="Arial" w:hAnsi="Arial"/>
          <w:sz w:val="24"/>
          <w:szCs w:val="24"/>
        </w:rPr>
        <w:t xml:space="preserve">Общее количество получателей в твердом размере составляет 80552 человек, из них 80477 - дети до 3 лет (в размере 100% гарантированного минимального дохода), 75 - тройни до 16 лет (в размере 150% гарантированного минимального дохода), средний размер пособий составляет 611,8 сома.</w:t>
      </w:r>
    </w:p>
    <w:p>
      <w:pPr>
        <w:spacing w:after="120"/>
        <w:jc w:val="both"/>
      </w:pPr>
      <w:r>
        <w:rPr>
          <w:rFonts w:ascii="Arial" w:cs="Arial" w:eastAsia="Arial" w:hAnsi="Arial"/>
          <w:sz w:val="24"/>
          <w:szCs w:val="24"/>
        </w:rPr>
        <w:t xml:space="preserve">Количество получателей пособий до абсолютной суммы (в размере разницы между гарантированным минимальным доходом и среднедушевым совокупным доходом семьи) - 262978 человек, в том числе 254023 - дети от 3 до 16 лет, 8955 - учащиеся и студенты начальных, средних и высших профессиональных учебных заведений, средний размер составляет 418,3 сома. Средний размер ежемесячного пособия малообеспеченным семьям в месяц составляет 463,0 сомов с учетом районных коэффициентов.</w:t>
      </w:r>
    </w:p>
    <w:p>
      <w:pPr>
        <w:spacing w:after="120"/>
        <w:jc w:val="both"/>
      </w:pPr>
      <w:r>
        <w:rPr>
          <w:rFonts w:ascii="Arial" w:cs="Arial" w:eastAsia="Arial" w:hAnsi="Arial"/>
          <w:sz w:val="24"/>
          <w:szCs w:val="24"/>
        </w:rPr>
        <w:t xml:space="preserve">Единовременное пособие при рождении ребенка (в размере 300% гарантированного минимального дохода) - 34,9 млн. сомов, численность получателей пособий при рождении ребенка составляет - 30626 человек.</w:t>
      </w:r>
    </w:p>
    <w:p>
      <w:pPr>
        <w:spacing w:after="120"/>
        <w:jc w:val="both"/>
      </w:pPr>
      <w:r>
        <w:rPr>
          <w:rFonts w:ascii="Arial" w:cs="Arial" w:eastAsia="Arial" w:hAnsi="Arial"/>
          <w:sz w:val="24"/>
          <w:szCs w:val="24"/>
        </w:rPr>
        <w:t xml:space="preserve">Ежемесячное социальное пособие составляет - 1771,6 млн. сомов. Всего численность получателей ЕСП - 71266 человек, из них:</w:t>
      </w:r>
    </w:p>
    <w:p>
      <w:pPr>
        <w:spacing w:after="120"/>
        <w:jc w:val="both"/>
      </w:pPr>
      <w:r>
        <w:rPr>
          <w:rFonts w:ascii="Arial" w:cs="Arial" w:eastAsia="Arial" w:hAnsi="Arial"/>
          <w:sz w:val="24"/>
          <w:szCs w:val="24"/>
        </w:rPr>
        <w:t xml:space="preserve">- категория получателей ежемесячного социального пособия по 1000 сомов в месяц: ЛОВЗ от общего заболевания III группы, дети в случае потери кормильца (одного из родителей) и лица пенсионного возраста. Их численность составляет 16644 человек;</w:t>
      </w:r>
    </w:p>
    <w:p>
      <w:pPr>
        <w:spacing w:after="120"/>
        <w:jc w:val="both"/>
      </w:pPr>
      <w:r>
        <w:rPr>
          <w:rFonts w:ascii="Arial" w:cs="Arial" w:eastAsia="Arial" w:hAnsi="Arial"/>
          <w:sz w:val="24"/>
          <w:szCs w:val="24"/>
        </w:rPr>
        <w:t xml:space="preserve">- категория получателей ежемесячного социального пособия по 1500 сомов в месяц: ЛОВЗ от общего заболевания II группы, количество - 3321 человек;</w:t>
      </w:r>
    </w:p>
    <w:p>
      <w:pPr>
        <w:spacing w:after="120"/>
        <w:jc w:val="both"/>
      </w:pPr>
      <w:r>
        <w:rPr>
          <w:rFonts w:ascii="Arial" w:cs="Arial" w:eastAsia="Arial" w:hAnsi="Arial"/>
          <w:sz w:val="24"/>
          <w:szCs w:val="24"/>
        </w:rPr>
        <w:t xml:space="preserve">- категория получателей ежемесячного социального пособия по 2000 сомов: ЛОВЗ с детства III группы, ЛОВЗ от общего заболевания I группы, круглые сироты и матери героини, количество - 7045 человек;</w:t>
      </w:r>
    </w:p>
    <w:p>
      <w:pPr>
        <w:spacing w:after="120"/>
        <w:jc w:val="both"/>
      </w:pPr>
      <w:r>
        <w:rPr>
          <w:rFonts w:ascii="Arial" w:cs="Arial" w:eastAsia="Arial" w:hAnsi="Arial"/>
          <w:sz w:val="24"/>
          <w:szCs w:val="24"/>
        </w:rPr>
        <w:t xml:space="preserve">- категория получателей ежемесячного социального пособия по 2500 сомов: ЛОВЗ с детства II группы, количество - 14752 человек;</w:t>
      </w:r>
    </w:p>
    <w:p>
      <w:pPr>
        <w:spacing w:after="120"/>
        <w:jc w:val="both"/>
      </w:pPr>
      <w:r>
        <w:rPr>
          <w:rFonts w:ascii="Arial" w:cs="Arial" w:eastAsia="Arial" w:hAnsi="Arial"/>
          <w:sz w:val="24"/>
          <w:szCs w:val="24"/>
        </w:rPr>
        <w:t xml:space="preserve">- категория получателей ежемесячного социального пособия по 3000 сомов: ЛОВЗ с детства I группы, дети с ОВЗ, дети с ДЦП до 18 лет, дети рожденные от матерей с ВИЧ/СПИДом до достижения 18 лет, дети с ВИЧ до достижения 18 месяцев, количество составляет 29504 человек.</w:t>
      </w:r>
    </w:p>
    <w:p>
      <w:pPr>
        <w:spacing w:after="120"/>
        <w:jc w:val="both"/>
      </w:pPr>
      <w:r>
        <w:rPr>
          <w:rFonts w:ascii="Arial" w:cs="Arial" w:eastAsia="Arial" w:hAnsi="Arial"/>
          <w:sz w:val="24"/>
          <w:szCs w:val="24"/>
        </w:rPr>
        <w:t xml:space="preserve">Дополнительное ежемесячное социальное пособие - 37,6 млн. сомов.</w:t>
      </w:r>
    </w:p>
    <w:p>
      <w:pPr>
        <w:spacing w:after="120"/>
        <w:jc w:val="both"/>
      </w:pPr>
      <w:r>
        <w:rPr>
          <w:rFonts w:ascii="Arial" w:cs="Arial" w:eastAsia="Arial" w:hAnsi="Arial"/>
          <w:sz w:val="24"/>
          <w:szCs w:val="24"/>
        </w:rPr>
        <w:t xml:space="preserve">Компенсационные выплаты, пожизненные стипендии, социальное страхование. Всего профинансировано в объеме 1635,2 млн. сомов, из них:</w:t>
      </w:r>
    </w:p>
    <w:p>
      <w:pPr>
        <w:spacing w:after="120"/>
        <w:jc w:val="both"/>
      </w:pPr>
      <w:r>
        <w:rPr>
          <w:rFonts w:ascii="Arial" w:cs="Arial" w:eastAsia="Arial" w:hAnsi="Arial"/>
          <w:sz w:val="24"/>
          <w:szCs w:val="24"/>
        </w:rPr>
        <w:t xml:space="preserve">- компенсации взамен льгот - 1378,7 млн. сомов, численность получателей - 56148 человек;</w:t>
      </w:r>
    </w:p>
    <w:p>
      <w:pPr>
        <w:spacing w:after="120"/>
        <w:jc w:val="both"/>
      </w:pPr>
      <w:r>
        <w:rPr>
          <w:rFonts w:ascii="Arial" w:cs="Arial" w:eastAsia="Arial" w:hAnsi="Arial"/>
          <w:sz w:val="24"/>
          <w:szCs w:val="24"/>
        </w:rPr>
        <w:t xml:space="preserve">- расходы на выплату пожизненной стипендии - 79,1 млн. сомов, количество получателей - 2016 человек;</w:t>
      </w:r>
    </w:p>
    <w:p>
      <w:pPr>
        <w:spacing w:after="120"/>
        <w:jc w:val="both"/>
      </w:pPr>
      <w:r>
        <w:rPr>
          <w:rFonts w:ascii="Arial" w:cs="Arial" w:eastAsia="Arial" w:hAnsi="Arial"/>
          <w:sz w:val="24"/>
          <w:szCs w:val="24"/>
        </w:rPr>
        <w:t xml:space="preserve">- на приобретение путевок для лиц с ограниченными возможностями здоровья - 13,8 млн. сомов;</w:t>
      </w:r>
    </w:p>
    <w:p>
      <w:pPr>
        <w:spacing w:after="120"/>
        <w:jc w:val="both"/>
      </w:pPr>
      <w:r>
        <w:rPr>
          <w:rFonts w:ascii="Arial" w:cs="Arial" w:eastAsia="Arial" w:hAnsi="Arial"/>
          <w:sz w:val="24"/>
          <w:szCs w:val="24"/>
        </w:rPr>
        <w:t xml:space="preserve">- на изготовление протезных изделий - 45,4 млн. сомов;</w:t>
      </w:r>
    </w:p>
    <w:p>
      <w:pPr>
        <w:spacing w:after="120"/>
        <w:jc w:val="both"/>
      </w:pPr>
      <w:r>
        <w:rPr>
          <w:rFonts w:ascii="Arial" w:cs="Arial" w:eastAsia="Arial" w:hAnsi="Arial"/>
          <w:sz w:val="24"/>
          <w:szCs w:val="24"/>
        </w:rPr>
        <w:t xml:space="preserve">- на приобретение инвалидных колясок - 11,8 млн. сомов;</w:t>
      </w:r>
    </w:p>
    <w:p>
      <w:pPr>
        <w:spacing w:after="120"/>
        <w:jc w:val="both"/>
      </w:pPr>
      <w:r>
        <w:rPr>
          <w:rFonts w:ascii="Arial" w:cs="Arial" w:eastAsia="Arial" w:hAnsi="Arial"/>
          <w:sz w:val="24"/>
          <w:szCs w:val="24"/>
        </w:rPr>
        <w:t xml:space="preserve">- на единовременные выплаты ветеранам Великой Отечественной войны к 9 мая - 64,5 млн. сомов;</w:t>
      </w:r>
    </w:p>
    <w:p>
      <w:pPr>
        <w:spacing w:after="120"/>
        <w:jc w:val="both"/>
      </w:pPr>
      <w:r>
        <w:rPr>
          <w:rFonts w:ascii="Arial" w:cs="Arial" w:eastAsia="Arial" w:hAnsi="Arial"/>
          <w:sz w:val="24"/>
          <w:szCs w:val="24"/>
        </w:rPr>
        <w:t xml:space="preserve">- единовременные выплаты в связи с событиями 2010 года - 26,0 млн. сомов;</w:t>
      </w:r>
    </w:p>
    <w:p>
      <w:pPr>
        <w:spacing w:after="120"/>
        <w:jc w:val="both"/>
      </w:pPr>
      <w:r>
        <w:rPr>
          <w:rFonts w:ascii="Arial" w:cs="Arial" w:eastAsia="Arial" w:hAnsi="Arial"/>
          <w:sz w:val="24"/>
          <w:szCs w:val="24"/>
        </w:rPr>
        <w:t xml:space="preserve">- на выплату ритуальных услуг (погребение) - 8,5 млн. сомов.</w:t>
      </w:r>
    </w:p>
    <w:p>
      <w:pPr>
        <w:spacing w:after="120"/>
        <w:jc w:val="both"/>
      </w:pPr>
      <w:r>
        <w:rPr>
          <w:rFonts w:ascii="Arial" w:cs="Arial" w:eastAsia="Arial" w:hAnsi="Arial"/>
          <w:sz w:val="24"/>
          <w:szCs w:val="24"/>
        </w:rPr>
        <w:t xml:space="preserve">Здравоохранение</w:t>
      </w:r>
    </w:p>
    <w:p>
      <w:pPr>
        <w:spacing w:after="120"/>
        <w:jc w:val="both"/>
      </w:pPr>
      <w:r>
        <w:rPr>
          <w:rFonts w:ascii="Arial" w:cs="Arial" w:eastAsia="Arial" w:hAnsi="Arial"/>
          <w:sz w:val="24"/>
          <w:szCs w:val="24"/>
        </w:rPr>
        <w:t xml:space="preserve">Исполнение республиканского бюджета по разделу "Здравоохранение" за 2012 год составило 9997,3 млн. сомов при плане 10190,4 млн. сомов, или исполнение составило 98,1 процента, из них за счет бюджетных средств - 9518,6 млн. сомов при уточненном плане 9559,2 млн. сомов или 99,6 процентов.</w:t>
      </w:r>
    </w:p>
    <w:p>
      <w:pPr>
        <w:spacing w:after="120"/>
        <w:jc w:val="both"/>
      </w:pPr>
      <w:r>
        <w:rPr>
          <w:rFonts w:ascii="Arial" w:cs="Arial" w:eastAsia="Arial" w:hAnsi="Arial"/>
          <w:sz w:val="24"/>
          <w:szCs w:val="24"/>
        </w:rPr>
        <w:t xml:space="preserve">На исполнение Программы Государственных гарантий по обеспечению граждан республики медико-санитарной помощью (ФОМС - Единый плательщик) направлены средства в сумме 6738,7 млн. сомов при плане 6741,0 млн. сомов, или 100%.</w:t>
      </w:r>
    </w:p>
    <w:p>
      <w:pPr>
        <w:spacing w:after="120"/>
        <w:jc w:val="both"/>
      </w:pPr>
      <w:r>
        <w:rPr>
          <w:rFonts w:ascii="Arial" w:cs="Arial" w:eastAsia="Arial" w:hAnsi="Arial"/>
          <w:sz w:val="24"/>
          <w:szCs w:val="24"/>
        </w:rPr>
        <w:t xml:space="preserve">По сравнению с прошлым годом финансирование увеличено на 1663,2 млн. сомов, что связано с повышением оплаты труда медицинских работников и переводом туберкулезных больниц в систему Единый плательщик (в сумме 244,3 млн. сомов), согласно постановлению Правительства Кыргызской Республики "О переводе организаций, оказывающих специализированную помощь, на финансирование в системе Единого плательщика".</w:t>
      </w:r>
    </w:p>
    <w:p>
      <w:pPr>
        <w:spacing w:after="120"/>
        <w:jc w:val="both"/>
      </w:pPr>
      <w:r>
        <w:rPr>
          <w:rFonts w:ascii="Arial" w:cs="Arial" w:eastAsia="Arial" w:hAnsi="Arial"/>
          <w:sz w:val="24"/>
          <w:szCs w:val="24"/>
        </w:rPr>
        <w:t xml:space="preserve">По средствам обязательного медицинского страхования, выплачиваемым из республиканского бюджета на медицинское страхование детей, лиц, получающих пособие, и пенсионеров за 2012 год, предусмотрены ассигнования в объеме 259,4 млн. сомов, которые полностью профинансированы.</w:t>
      </w:r>
    </w:p>
    <w:p>
      <w:pPr>
        <w:spacing w:after="120"/>
        <w:jc w:val="both"/>
      </w:pPr>
      <w:r>
        <w:rPr>
          <w:rFonts w:ascii="Arial" w:cs="Arial" w:eastAsia="Arial" w:hAnsi="Arial"/>
          <w:sz w:val="24"/>
          <w:szCs w:val="24"/>
        </w:rPr>
        <w:t xml:space="preserve">По Министерству здравоохранения Кыргызской Республики (подведомственным учреждениям) исполнение составило 2184,1 млн. сомов при уточненном плане в сумме 2221,3 млн. сомов, или 98,3%, в том числе: по статье "Приобретение продуктов питания" - 106,1 млн. сомов; по статье "Приобретение медикаментов" - 357,8 млн. сомов.</w:t>
      </w:r>
    </w:p>
    <w:p>
      <w:pPr>
        <w:spacing w:after="120"/>
        <w:jc w:val="both"/>
      </w:pPr>
      <w:r>
        <w:rPr>
          <w:rFonts w:ascii="Arial" w:cs="Arial" w:eastAsia="Arial" w:hAnsi="Arial"/>
          <w:sz w:val="24"/>
          <w:szCs w:val="24"/>
        </w:rPr>
        <w:t xml:space="preserve">Лечебно-оздоровительному объединению УД ПКР фактическое исполнение составило 142,3 млн. сомов при плане 142,3 млн. сомов или 100%, по сравнению с прошлым годом профинансировано на 30,8 млн. сомов больше, что связано с повышение оплаты труда работников Лечебно-оздоровительного объединения УД ПКР.</w:t>
      </w:r>
    </w:p>
    <w:p>
      <w:pPr>
        <w:spacing w:after="120"/>
        <w:jc w:val="both"/>
      </w:pPr>
      <w:r>
        <w:rPr>
          <w:rFonts w:ascii="Arial" w:cs="Arial" w:eastAsia="Arial" w:hAnsi="Arial"/>
          <w:sz w:val="24"/>
          <w:szCs w:val="24"/>
        </w:rPr>
        <w:t xml:space="preserve">Отдых и культура</w:t>
      </w:r>
    </w:p>
    <w:p>
      <w:pPr>
        <w:spacing w:after="120"/>
        <w:jc w:val="both"/>
      </w:pPr>
      <w:r>
        <w:rPr>
          <w:rFonts w:ascii="Arial" w:cs="Arial" w:eastAsia="Arial" w:hAnsi="Arial"/>
          <w:sz w:val="24"/>
          <w:szCs w:val="24"/>
        </w:rPr>
        <w:t xml:space="preserve">Исполнение республиканского бюджета по разделу "Отдых, культура и религия" за 2012 год составило 1937,9 млн. сомов при уточненном плане 1975,5 млн. сомов или исполнение составило 98,1 процентов, из них за счет бюджетных средств - 1804,1 млн. сомов при уточненном плане 1821,0 млн. сомов или 99,1 процентов.</w:t>
      </w:r>
    </w:p>
    <w:p>
      <w:pPr>
        <w:spacing w:after="120"/>
        <w:jc w:val="both"/>
      </w:pPr>
      <w:r>
        <w:rPr>
          <w:rFonts w:ascii="Arial" w:cs="Arial" w:eastAsia="Arial" w:hAnsi="Arial"/>
          <w:sz w:val="24"/>
          <w:szCs w:val="24"/>
        </w:rPr>
        <w:t xml:space="preserve">Государственному агентству физической культуры и спорта было профинансировано 71,1 млн. сомов для:</w:t>
      </w:r>
    </w:p>
    <w:p>
      <w:pPr>
        <w:spacing w:after="120"/>
        <w:jc w:val="both"/>
      </w:pPr>
      <w:r>
        <w:rPr>
          <w:rFonts w:ascii="Arial" w:cs="Arial" w:eastAsia="Arial" w:hAnsi="Arial"/>
          <w:sz w:val="24"/>
          <w:szCs w:val="24"/>
        </w:rPr>
        <w:t xml:space="preserve">- подготовки и участия сборных команд республики в Чемпионате Азии по пулевой стрельбе в г.Доха, Катар, Международном турнире "Гран-при" по греко-римской борьбе в г.Москва, по вольной и женской борьбе в г.Красноярск, Чемпионате Казахстана по легкой атлетике г.Караганда, Кубке Мира по дзюдо, г.Тбилиси, Чемпионате Мира по бильярду, г.Бишкек;</w:t>
      </w:r>
    </w:p>
    <w:p>
      <w:pPr>
        <w:spacing w:after="120"/>
        <w:jc w:val="both"/>
      </w:pPr>
      <w:r>
        <w:rPr>
          <w:rFonts w:ascii="Arial" w:cs="Arial" w:eastAsia="Arial" w:hAnsi="Arial"/>
          <w:sz w:val="24"/>
          <w:szCs w:val="24"/>
        </w:rPr>
        <w:t xml:space="preserve">- проведения национальных видов спорта, посвященного празднованию Нооруза, Первенства Азии по видам борьбы среди кадетов;</w:t>
      </w:r>
    </w:p>
    <w:p>
      <w:pPr>
        <w:spacing w:after="120"/>
        <w:jc w:val="both"/>
      </w:pPr>
      <w:r>
        <w:rPr>
          <w:rFonts w:ascii="Arial" w:cs="Arial" w:eastAsia="Arial" w:hAnsi="Arial"/>
          <w:sz w:val="24"/>
          <w:szCs w:val="24"/>
        </w:rPr>
        <w:t xml:space="preserve">- участия сборных команд республики в Международных спортивных играх "Дети Азии", Чемпионате мира по вольной, греко-римской борьбе в Тайланде, Болгарии, Чемпионате мира по женской борьбе в Баку, в Первенстве мира в Джанкое, в Первенстве Азии по дзюдо в Тайпее, Чемпионате Мира по самбо и бильярду в Минске, Международном турнире по рукопашному бою в России, в Первенстве Азии по пулевой стрельбе в Китае, Чемпионате мира по плаванию в Стамбуле, Чемпионате мира по боксу в Ереване.</w:t>
      </w:r>
    </w:p>
    <w:p>
      <w:pPr>
        <w:spacing w:after="120"/>
        <w:jc w:val="both"/>
      </w:pPr>
      <w:r>
        <w:rPr>
          <w:rFonts w:ascii="Arial" w:cs="Arial" w:eastAsia="Arial" w:hAnsi="Arial"/>
          <w:sz w:val="24"/>
          <w:szCs w:val="24"/>
        </w:rPr>
        <w:t xml:space="preserve">Министерству культуры и туризма Кыргызской Республики было профинансировано 23,4 млн. сомов на:</w:t>
      </w:r>
    </w:p>
    <w:p>
      <w:pPr>
        <w:spacing w:after="120"/>
        <w:jc w:val="both"/>
      </w:pPr>
      <w:r>
        <w:rPr>
          <w:rFonts w:ascii="Arial" w:cs="Arial" w:eastAsia="Arial" w:hAnsi="Arial"/>
          <w:sz w:val="24"/>
          <w:szCs w:val="24"/>
        </w:rPr>
        <w:t xml:space="preserve">- организацию и проведение мероприятий по празднованию Нооруза, Дня библиотек, Дня музеев, Дня книги, Международной выставки художников Турции и Кыргызстана, юбилейных мероприятиий Карамолдо Орозова, Г.Айтиева, Т.Сыдыкбекова, 3-го Международного театрального фестиваля Центральной Азии в Бишкеке под названием "Уличные театры", IV заседания Совета по культуре при Интеграционном комитете ЕврАзЭС по культурному сотрудничеству, Совета Министров культуры тюркоязычных государств в Чолпон-Ате, Дней культуры Казахстана в Кыргызской Республике, Международного фестиваля "Ыссык-Куль 2012" в Чолпон Ате, 100-летия народного художника Г.Айтиева, 70-летия Театра оперы и балета им.А.Малдыбаева;</w:t>
      </w:r>
    </w:p>
    <w:p>
      <w:pPr>
        <w:spacing w:after="120"/>
        <w:jc w:val="both"/>
      </w:pPr>
      <w:r>
        <w:rPr>
          <w:rFonts w:ascii="Arial" w:cs="Arial" w:eastAsia="Arial" w:hAnsi="Arial"/>
          <w:sz w:val="24"/>
          <w:szCs w:val="24"/>
        </w:rPr>
        <w:t xml:space="preserve">- участие в конкурсе актеров "Актерлор ырдашат", постановка региональными театрами новых спектаклей "Бугу эне", "Журолучу журок оорутпай", театральных коллективов в Международном театральном фестивале в Ашгабате, Алматы, в Днях культуры Кыргызстана в Российской Федерации, в семинаре по культуре по регионам республики, в 5-м заседании Совета по культуре и в 4-м Международном фестивале по культуре в Алма-Ате.</w:t>
      </w:r>
    </w:p>
    <w:p>
      <w:pPr>
        <w:spacing w:after="120"/>
        <w:jc w:val="both"/>
      </w:pPr>
      <w:r>
        <w:rPr>
          <w:rFonts w:ascii="Arial" w:cs="Arial" w:eastAsia="Arial" w:hAnsi="Arial"/>
          <w:sz w:val="24"/>
          <w:szCs w:val="24"/>
        </w:rPr>
        <w:t xml:space="preserve">Также, в целях поддержки учреждений культуры и выполнения возложенных задач профинансированы расходы на следующие мероприятия:</w:t>
      </w:r>
    </w:p>
    <w:p>
      <w:pPr>
        <w:spacing w:after="120"/>
        <w:jc w:val="both"/>
      </w:pPr>
      <w:r>
        <w:rPr>
          <w:rFonts w:ascii="Arial" w:cs="Arial" w:eastAsia="Arial" w:hAnsi="Arial"/>
          <w:sz w:val="24"/>
          <w:szCs w:val="24"/>
        </w:rPr>
        <w:t xml:space="preserve">- обновление экспозиций музея Кыргызского национального комплекса "Манас Ордо" - 2,7 млн. сомов;</w:t>
      </w:r>
    </w:p>
    <w:p>
      <w:pPr>
        <w:spacing w:after="120"/>
        <w:jc w:val="both"/>
      </w:pPr>
      <w:r>
        <w:rPr>
          <w:rFonts w:ascii="Arial" w:cs="Arial" w:eastAsia="Arial" w:hAnsi="Arial"/>
          <w:sz w:val="24"/>
          <w:szCs w:val="24"/>
        </w:rPr>
        <w:t xml:space="preserve">- на производство документальных фильмов, включая фильм, посвященный увековечению наследия Ч.Айтматова "Улуу ойчул" и съемки художественного фильма "Умай", дублирование на кыргызский язык художественных фильмов, мультфильмов, Департамента кинематографии - 17,5 млн. сомов;</w:t>
      </w:r>
    </w:p>
    <w:p>
      <w:pPr>
        <w:spacing w:after="120"/>
        <w:jc w:val="both"/>
      </w:pPr>
      <w:r>
        <w:rPr>
          <w:rFonts w:ascii="Arial" w:cs="Arial" w:eastAsia="Arial" w:hAnsi="Arial"/>
          <w:sz w:val="24"/>
          <w:szCs w:val="24"/>
        </w:rPr>
        <w:t xml:space="preserve">- на подготовку, проведение и участие республиканских и региональных спортивно-массовых мероприятий и по национальным видам спорта, а также на приобретение медалей и значков, спортивной экипировки и прочего обмундирования, электронного табло и борцовских ковров - 141,8 млн. сом;</w:t>
      </w:r>
    </w:p>
    <w:p>
      <w:pPr>
        <w:spacing w:after="120"/>
        <w:jc w:val="both"/>
      </w:pPr>
      <w:r>
        <w:rPr>
          <w:rFonts w:ascii="Arial" w:cs="Arial" w:eastAsia="Arial" w:hAnsi="Arial"/>
          <w:sz w:val="24"/>
          <w:szCs w:val="24"/>
        </w:rPr>
        <w:t xml:space="preserve">- обеспечение телерадиовещанием населения республики (ОТРК, МТРК "Мир" и ТРК "Общественное телевидение - ЭлТР") - 341,5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Реальный сектор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чрезвычайных ситуаций Кыргызской Республики</w:t>
      </w:r>
    </w:p>
    <w:p>
      <w:pPr>
        <w:spacing w:after="120"/>
        <w:jc w:val="both"/>
      </w:pPr>
      <w:r>
        <w:rPr>
          <w:rFonts w:ascii="Arial" w:cs="Arial" w:eastAsia="Arial" w:hAnsi="Arial"/>
          <w:sz w:val="24"/>
          <w:szCs w:val="24"/>
        </w:rPr>
        <w:t xml:space="preserve">Для осуществления деятельности Министерства чрезвычайных ситуаций Кыргызской Республики и его подведомственных организаций в части защиты населения, предупреждения и ликвидации чрезвычайных ситуаций утвержденным республиканским бюджетом на 2012 год было предусмотрено всего средств - 1243,3 млн. сомов, в том числе бюджетных средств - 1237,3 млн. сомов, специальных средств - 6,0 млн. сомов.</w:t>
      </w:r>
    </w:p>
    <w:p>
      <w:pPr>
        <w:spacing w:after="120"/>
        <w:jc w:val="both"/>
      </w:pPr>
      <w:r>
        <w:rPr>
          <w:rFonts w:ascii="Arial" w:cs="Arial" w:eastAsia="Arial" w:hAnsi="Arial"/>
          <w:sz w:val="24"/>
          <w:szCs w:val="24"/>
        </w:rPr>
        <w:t xml:space="preserve">Бюджетные средства распределялися на содержание: центрального аппарата Министерства чрезвычайных ситуаций Кыргызской Республики - 41,2 млн. сомов, содержание подведомственных структур и мероприятия по предупреждению и ликвидации чрезвычайных ситуаций - 550,8 млн. сомов, Агентства по гидрометеорологии - 55,9 млн. сомов, Управление "Сельводзащита" - 144,8 млн. сомов, Агентства по пожарной безопасности - 430,7 млн. сомов, ЦАИИЗ - 13,9 млн. сомов.</w:t>
      </w:r>
    </w:p>
    <w:p>
      <w:pPr>
        <w:spacing w:after="120"/>
        <w:jc w:val="both"/>
      </w:pPr>
      <w:r>
        <w:rPr>
          <w:rFonts w:ascii="Arial" w:cs="Arial" w:eastAsia="Arial" w:hAnsi="Arial"/>
          <w:sz w:val="24"/>
          <w:szCs w:val="24"/>
        </w:rPr>
        <w:t xml:space="preserve">Расходы по бюджетным средствам за 2012 год по Министерству чрезвычайных ситуаций Кыргызской Республики и его подведомственных организаций составили 1236,6 млн. сомов или 99,9%, в том числе:</w:t>
      </w:r>
    </w:p>
    <w:p>
      <w:pPr>
        <w:spacing w:after="120"/>
        <w:jc w:val="both"/>
      </w:pPr>
      <w:r>
        <w:rPr>
          <w:rFonts w:ascii="Arial" w:cs="Arial" w:eastAsia="Arial" w:hAnsi="Arial"/>
          <w:sz w:val="24"/>
          <w:szCs w:val="24"/>
        </w:rPr>
        <w:t xml:space="preserve">- центральный аппарат Министерства чрезвычайных ситуаций Кыргызской Республики - 41,2 млн. сомов или 100%;</w:t>
      </w:r>
    </w:p>
    <w:p>
      <w:pPr>
        <w:spacing w:after="120"/>
        <w:jc w:val="both"/>
      </w:pPr>
      <w:r>
        <w:rPr>
          <w:rFonts w:ascii="Arial" w:cs="Arial" w:eastAsia="Arial" w:hAnsi="Arial"/>
          <w:sz w:val="24"/>
          <w:szCs w:val="24"/>
        </w:rPr>
        <w:t xml:space="preserve">- подведомственные организации Министерства чрезвычайных ситуаций Кыргызской Республики - 550,1 млн. сомов или 99,8%. Из общего числа профинансированных средств на мероприятия по предупреждению и ликвидации чрезвычайных ситуаций направлено 346,1,0 млн. сомов;</w:t>
      </w:r>
    </w:p>
    <w:p>
      <w:pPr>
        <w:spacing w:after="120"/>
        <w:jc w:val="both"/>
      </w:pPr>
      <w:r>
        <w:rPr>
          <w:rFonts w:ascii="Arial" w:cs="Arial" w:eastAsia="Arial" w:hAnsi="Arial"/>
          <w:sz w:val="24"/>
          <w:szCs w:val="24"/>
        </w:rPr>
        <w:t xml:space="preserve">- Агентство по гидрометеорологии - 55,9 млн. сомов или 100%;</w:t>
      </w:r>
    </w:p>
    <w:p>
      <w:pPr>
        <w:spacing w:after="120"/>
        <w:jc w:val="both"/>
      </w:pPr>
      <w:r>
        <w:rPr>
          <w:rFonts w:ascii="Arial" w:cs="Arial" w:eastAsia="Arial" w:hAnsi="Arial"/>
          <w:sz w:val="24"/>
          <w:szCs w:val="24"/>
        </w:rPr>
        <w:t xml:space="preserve">- Управление "Сельводзащита" - 144,8 млн. сомов или 100%. Из общего объема профинансированных средств направлено на противопаводковые и противоселевые мероприятия - 127,7 млн. сомов;</w:t>
      </w:r>
    </w:p>
    <w:p>
      <w:pPr>
        <w:spacing w:after="120"/>
        <w:jc w:val="both"/>
      </w:pPr>
      <w:r>
        <w:rPr>
          <w:rFonts w:ascii="Arial" w:cs="Arial" w:eastAsia="Arial" w:hAnsi="Arial"/>
          <w:sz w:val="24"/>
          <w:szCs w:val="24"/>
        </w:rPr>
        <w:t xml:space="preserve">- Агентство по пожарной безопасности - 430,7 млн. сомов или 100%;</w:t>
      </w:r>
    </w:p>
    <w:p>
      <w:pPr>
        <w:spacing w:after="120"/>
        <w:jc w:val="both"/>
      </w:pPr>
      <w:r>
        <w:rPr>
          <w:rFonts w:ascii="Arial" w:cs="Arial" w:eastAsia="Arial" w:hAnsi="Arial"/>
          <w:sz w:val="24"/>
          <w:szCs w:val="24"/>
        </w:rPr>
        <w:t xml:space="preserve">- ЦАИИЗ - 13,9 млн. сомов или 100%.</w:t>
      </w:r>
    </w:p>
    <w:p>
      <w:pPr>
        <w:spacing w:after="120"/>
        <w:jc w:val="both"/>
      </w:pPr>
      <w:r>
        <w:rPr>
          <w:rFonts w:ascii="Arial" w:cs="Arial" w:eastAsia="Arial" w:hAnsi="Arial"/>
          <w:sz w:val="24"/>
          <w:szCs w:val="24"/>
        </w:rPr>
        <w:t xml:space="preserve">Согласно представленным в Правительство Кыргызской Республики План-прогнозам структурных подразделений Министерства чрезвычайных ситуаций Кыргызской Республики (ДПЛПЧС МЧС КР, ЮРД по ПЛПЧС МЧС КР и Управление "Сельводзащита" МЧС КР) на 2012 год было включено 86 объектов, и потребность в капитальных вложениях для строительства защитных сооружений, берегоукрепительных и других работ составил 596,3 млн. сомов. Кроме этого, дополнительно приказами Министерства чрезвычайных ситуаций Кыргызской Республики в программу аварийно-восстановительных работ по линии ЮРД по ПЛПЧС было включено строительство 40 объектов.</w:t>
      </w:r>
    </w:p>
    <w:p>
      <w:pPr>
        <w:spacing w:after="120"/>
        <w:jc w:val="both"/>
      </w:pPr>
      <w:r>
        <w:rPr>
          <w:rFonts w:ascii="Arial" w:cs="Arial" w:eastAsia="Arial" w:hAnsi="Arial"/>
          <w:sz w:val="24"/>
          <w:szCs w:val="24"/>
        </w:rPr>
        <w:t xml:space="preserve">В соответствии с утвержденными сметами расходов по бюджетным средствам подведомственных организаций Министерства чрезвычайных ситуаций Кыргызской Республики (ДПЛПЧС МЧС КР, РД по ПЛПЧС МЧС КР и Управление "Сельводзащита" МЧС КР, А по ОХ и Департамент мониторинга) на 2012 год, для строительства защитных сооружений, берегоукрепительных и других работ сформирован План-прогноз, где было предусмотрено капитальных вложений в объеме 291,2 млн. сомов, на предусмотренные средства включено 40 объектов. Кроме того, дополнительно в программу аварийно-восстановительных работ было включено строительство 86 объектов.</w:t>
      </w:r>
    </w:p>
    <w:p>
      <w:pPr>
        <w:spacing w:after="120"/>
        <w:jc w:val="both"/>
      </w:pPr>
      <w:r>
        <w:rPr>
          <w:rFonts w:ascii="Arial" w:cs="Arial" w:eastAsia="Arial" w:hAnsi="Arial"/>
          <w:sz w:val="24"/>
          <w:szCs w:val="24"/>
        </w:rPr>
        <w:t xml:space="preserve">Всего по состоянию на 1 января 2013 года количество включенных объектов - 126.</w:t>
      </w:r>
    </w:p>
    <w:p>
      <w:pPr>
        <w:spacing w:after="120"/>
        <w:jc w:val="both"/>
      </w:pPr>
      <w:r>
        <w:rPr>
          <w:rFonts w:ascii="Arial" w:cs="Arial" w:eastAsia="Arial" w:hAnsi="Arial"/>
          <w:sz w:val="24"/>
          <w:szCs w:val="24"/>
        </w:rPr>
        <w:t xml:space="preserve">За 12 месяцев 2012 года работы велись на 123-х объектах, при этом объем выполненных работ составил 304,6 млн. сом, в том числе: по Ошской области работы велись на 36-ти объектах, объем выполненных работ составил 97,1 млн. сомов; по Баткенской области работы велись на 19-ти объектах, объем выполненных работ составил 50,4 млн. сом; по Джалал-Абадской области работы велись на 35-ти объектах, объем выполненных работ составил 73,6 млн. сомов; по Ыссык-Кульской области работы велись на 5-ти объектах, объем выполненных работ составил 32,6 млн. сомов; по Таласской области работы велись на 7-ми объектах, при этом объем выполненных работ составил 15,7 млн. сомов; по Нарынской области работы велись на 8-ми объектах, при этом объем выполненных работ составил 14,3 млн. сомов; по Чуйской области работы велись на 6-ти объектах, объем выполненных работ составил 23,3 млн. сом; ПИР - 6,5 млн. сомов; ГАСН - 0,5 млн. сомов; Аварийный запас материалов - 4,0 млн. сомов.</w:t>
      </w:r>
    </w:p>
    <w:p>
      <w:pPr>
        <w:spacing w:after="120"/>
        <w:jc w:val="both"/>
      </w:pPr>
      <w:r>
        <w:rPr>
          <w:rFonts w:ascii="Arial" w:cs="Arial" w:eastAsia="Arial" w:hAnsi="Arial"/>
          <w:sz w:val="24"/>
          <w:szCs w:val="24"/>
        </w:rPr>
        <w:t xml:space="preserve">На 1 января 2013 года завершены работы и введены в эксплуатацию 96 объектов в сумме 343,6 млн. сомов, в том числе: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57"/>
        <w:gridCol w:w="3107"/>
        <w:gridCol w:w="3107"/>
        <w:gridCol w:w="3107"/>
      </w:tblGrid>
      <w:tr>
        <w:tc>
          <w:tcPr>
            <w:tcW w:type="dxa" w:w="85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31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обл.</w:t>
            </w:r>
          </w:p>
        </w:tc>
        <w:tc>
          <w:tcPr>
            <w:tcW w:type="dxa" w:w="31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завершенных объектов</w:t>
            </w:r>
          </w:p>
        </w:tc>
        <w:tc>
          <w:tcPr>
            <w:tcW w:type="dxa" w:w="31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фонды</w:t>
            </w:r>
          </w:p>
        </w:tc>
      </w:tr>
      <w:tr>
        <w:tc>
          <w:tcPr>
            <w:tcW w:type="dxa" w:w="8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Ош</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r>
      <w:tr>
        <w:tc>
          <w:tcPr>
            <w:tcW w:type="dxa" w:w="8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Баткен</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57,9</w:t>
            </w:r>
          </w:p>
        </w:tc>
      </w:tr>
      <w:tr>
        <w:tc>
          <w:tcPr>
            <w:tcW w:type="dxa" w:w="8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Джалал-Абад</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r>
      <w:tr>
        <w:tc>
          <w:tcPr>
            <w:tcW w:type="dxa" w:w="8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Ыссык-Куль</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r>
      <w:tr>
        <w:tc>
          <w:tcPr>
            <w:tcW w:type="dxa" w:w="8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Нарын</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w:t>
            </w:r>
          </w:p>
        </w:tc>
      </w:tr>
      <w:tr>
        <w:tc>
          <w:tcPr>
            <w:tcW w:type="dxa" w:w="8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Талас</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w:t>
            </w:r>
          </w:p>
        </w:tc>
      </w:tr>
      <w:tr>
        <w:tc>
          <w:tcPr>
            <w:tcW w:type="dxa" w:w="8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Чуй</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w:t>
            </w:r>
          </w:p>
        </w:tc>
      </w:tr>
      <w:tr>
        <w:tc>
          <w:tcPr>
            <w:tcW w:type="dxa" w:w="8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343,6</w:t>
            </w:r>
          </w:p>
        </w:tc>
      </w:tr>
    </w:tbl>
    <w:p>
      <w:pPr>
        <w:spacing w:after="120"/>
        <w:jc w:val="both"/>
      </w:pPr>
      <w:r>
        <w:rPr>
          <w:rFonts w:ascii="Arial" w:cs="Arial" w:eastAsia="Arial" w:hAnsi="Arial"/>
          <w:sz w:val="24"/>
          <w:szCs w:val="24"/>
        </w:rPr>
        <w:t xml:space="preserve">Перечень завершенных объектов следующий:</w:t>
      </w:r>
    </w:p>
    <w:p>
      <w:pPr>
        <w:spacing w:after="120"/>
        <w:jc w:val="both"/>
      </w:pPr>
      <w:r>
        <w:rPr>
          <w:rFonts w:ascii="Arial" w:cs="Arial" w:eastAsia="Arial" w:hAnsi="Arial"/>
          <w:sz w:val="24"/>
          <w:szCs w:val="24"/>
        </w:rPr>
        <w:t xml:space="preserve">по Ошской области завершены работы на 32-х объектах на сумму 108,3 млн. сомов, в том числе по объектам:</w:t>
      </w:r>
    </w:p>
    <w:p>
      <w:pPr>
        <w:spacing w:after="120"/>
        <w:jc w:val="both"/>
      </w:pPr>
      <w:r>
        <w:rPr>
          <w:rFonts w:ascii="Arial" w:cs="Arial" w:eastAsia="Arial" w:hAnsi="Arial"/>
          <w:sz w:val="24"/>
          <w:szCs w:val="24"/>
        </w:rPr>
        <w:t xml:space="preserve">1. "Строительство селеотводного канала на уч. Кызыл а/о Жаны-Ноокат Ноокатского района" - 4,5 млн. сомов (мощность 0,580 км с/отводной канал), при этом защищено 50 дворов, 30 га с/угодий;</w:t>
      </w:r>
    </w:p>
    <w:p>
      <w:pPr>
        <w:spacing w:after="120"/>
        <w:jc w:val="both"/>
      </w:pPr>
      <w:r>
        <w:rPr>
          <w:rFonts w:ascii="Arial" w:cs="Arial" w:eastAsia="Arial" w:hAnsi="Arial"/>
          <w:sz w:val="24"/>
          <w:szCs w:val="24"/>
        </w:rPr>
        <w:t xml:space="preserve">2. "Защитная шпора уч. Нура в с.Кара-Кульджа а/о Кара-Кочкор Кара-Кульджинского района" - 4,7 млн. сомов (мощность 1 шпора, 100 м), при этом защищено 800 дворов;</w:t>
      </w:r>
    </w:p>
    <w:p>
      <w:pPr>
        <w:spacing w:after="120"/>
        <w:jc w:val="both"/>
      </w:pPr>
      <w:r>
        <w:rPr>
          <w:rFonts w:ascii="Arial" w:cs="Arial" w:eastAsia="Arial" w:hAnsi="Arial"/>
          <w:sz w:val="24"/>
          <w:szCs w:val="24"/>
        </w:rPr>
        <w:t xml:space="preserve">3. "Шпоры по правому берегу на р.Жазы на уч. Рабочего городка Узгенского района" - 2,9 млн. сомов (мощность 1 шпора, 80 м), при этом защищено 100 дворов, 20 га с/угодий;</w:t>
      </w:r>
    </w:p>
    <w:p>
      <w:pPr>
        <w:spacing w:after="120"/>
        <w:jc w:val="both"/>
      </w:pPr>
      <w:r>
        <w:rPr>
          <w:rFonts w:ascii="Arial" w:cs="Arial" w:eastAsia="Arial" w:hAnsi="Arial"/>
          <w:sz w:val="24"/>
          <w:szCs w:val="24"/>
        </w:rPr>
        <w:t xml:space="preserve">4. "Селепропускное соор-е в уч. Ортолук а/о Кенеш Кара-Кульджинского района" - 1,6 млн. сомов (мощность 375 м селеотводной канал) при этом защищено 80 дворов, 5 га с/угодий;</w:t>
      </w:r>
    </w:p>
    <w:p>
      <w:pPr>
        <w:spacing w:after="120"/>
        <w:jc w:val="both"/>
      </w:pPr>
      <w:r>
        <w:rPr>
          <w:rFonts w:ascii="Arial" w:cs="Arial" w:eastAsia="Arial" w:hAnsi="Arial"/>
          <w:sz w:val="24"/>
          <w:szCs w:val="24"/>
        </w:rPr>
        <w:t xml:space="preserve">5. "БУР и строительство моста в с.Талдык а/о Катта-Талдык Кара-Суйского района" - 4,4 млн. сомов (мощность 1 мост, 20 пм дамбы), при этом обеспечено транспортным сообщением более 1092 жителей и защищено 15 га с/угодий;</w:t>
      </w:r>
    </w:p>
    <w:p>
      <w:pPr>
        <w:spacing w:after="120"/>
        <w:jc w:val="both"/>
      </w:pPr>
      <w:r>
        <w:rPr>
          <w:rFonts w:ascii="Arial" w:cs="Arial" w:eastAsia="Arial" w:hAnsi="Arial"/>
          <w:sz w:val="24"/>
          <w:szCs w:val="24"/>
        </w:rPr>
        <w:t xml:space="preserve">6. "Защитная дамба на реке Каракулжа с.Кара-Кулжа Шпора № 7 Кара-Кульджинского района" - 1,1 млн. сомов (мощность 670 пм РВР дамбы), защищено 1646 дворов, 370 га с/угодий;</w:t>
      </w:r>
    </w:p>
    <w:p>
      <w:pPr>
        <w:spacing w:after="120"/>
        <w:jc w:val="both"/>
      </w:pPr>
      <w:r>
        <w:rPr>
          <w:rFonts w:ascii="Arial" w:cs="Arial" w:eastAsia="Arial" w:hAnsi="Arial"/>
          <w:sz w:val="24"/>
          <w:szCs w:val="24"/>
        </w:rPr>
        <w:t xml:space="preserve">7. "Селезащитная дамба на р.Аравансай уч. Какыр-Пилтон с ПК 209+00 по ПК 221+60 а/о Нурабат уч. № 1, Араванского района" - 6,7 млн. сомов (мощность 174 пм РВР дамбы) при этом защищено 469 дворов, 349 га с/угодий;</w:t>
      </w:r>
    </w:p>
    <w:p>
      <w:pPr>
        <w:spacing w:after="120"/>
        <w:jc w:val="both"/>
      </w:pPr>
      <w:r>
        <w:rPr>
          <w:rFonts w:ascii="Arial" w:cs="Arial" w:eastAsia="Arial" w:hAnsi="Arial"/>
          <w:sz w:val="24"/>
          <w:szCs w:val="24"/>
        </w:rPr>
        <w:t xml:space="preserve">8. "Механизированная очистка Селехранилища Кунгой-Кожоке, Ноокатского района" - 2,9 млн. сомов (мощность 98 м РВР дамба) при этом защищено 280 дворов, 85 га с/угодий.</w:t>
      </w:r>
    </w:p>
    <w:p>
      <w:pPr>
        <w:spacing w:after="120"/>
        <w:jc w:val="both"/>
      </w:pPr>
      <w:r>
        <w:rPr>
          <w:rFonts w:ascii="Arial" w:cs="Arial" w:eastAsia="Arial" w:hAnsi="Arial"/>
          <w:sz w:val="24"/>
          <w:szCs w:val="24"/>
        </w:rPr>
        <w:t xml:space="preserve">9. "Берегозащитная дамба на р.Араван-Сай уч. Бирлик а/о Юсупова, Араванского района" - 2,4 млн. сомов (мощность 110 м РВР дамба) при этом защищено 198 дворов, 16 га с/угодий;</w:t>
      </w:r>
    </w:p>
    <w:p>
      <w:pPr>
        <w:spacing w:after="120"/>
        <w:jc w:val="both"/>
      </w:pPr>
      <w:r>
        <w:rPr>
          <w:rFonts w:ascii="Arial" w:cs="Arial" w:eastAsia="Arial" w:hAnsi="Arial"/>
          <w:sz w:val="24"/>
          <w:szCs w:val="24"/>
        </w:rPr>
        <w:t xml:space="preserve">10. "АВР по защите ж/д на р.Жазы в с.Кыймыл а/о Торт-Кол Узгенского района" - 7,3 млн. сомов (мощность 2 шпора, 289 м), при этом защищено 250 дворов;</w:t>
      </w:r>
    </w:p>
    <w:p>
      <w:pPr>
        <w:spacing w:after="120"/>
        <w:jc w:val="both"/>
      </w:pPr>
      <w:r>
        <w:rPr>
          <w:rFonts w:ascii="Arial" w:cs="Arial" w:eastAsia="Arial" w:hAnsi="Arial"/>
          <w:sz w:val="24"/>
          <w:szCs w:val="24"/>
        </w:rPr>
        <w:t xml:space="preserve">11. "АВР по защите правого берега р.Жазы уч. Рабочего городка в г.Узген Узгенского района" - 0,9 млн. сомов (мощность 1 шпора, 80 м), при этом защищено 100 дворов, 20 га с/угодий;</w:t>
      </w:r>
    </w:p>
    <w:p>
      <w:pPr>
        <w:spacing w:after="120"/>
        <w:jc w:val="both"/>
      </w:pPr>
      <w:r>
        <w:rPr>
          <w:rFonts w:ascii="Arial" w:cs="Arial" w:eastAsia="Arial" w:hAnsi="Arial"/>
          <w:sz w:val="24"/>
          <w:szCs w:val="24"/>
        </w:rPr>
        <w:t xml:space="preserve">12. "АВР по защите жилых домов по правому берегу на р.Кара-Дарья г.Узген" - 0,9 млн. сомов (мощность 130 м дамба) при этом защищено 12 дворов, 10 га с/угодий;</w:t>
      </w:r>
    </w:p>
    <w:p>
      <w:pPr>
        <w:spacing w:after="120"/>
        <w:jc w:val="both"/>
      </w:pPr>
      <w:r>
        <w:rPr>
          <w:rFonts w:ascii="Arial" w:cs="Arial" w:eastAsia="Arial" w:hAnsi="Arial"/>
          <w:sz w:val="24"/>
          <w:szCs w:val="24"/>
        </w:rPr>
        <w:t xml:space="preserve">13. "АВР по защите кладбища по ПУГВ в с.Тепе-Курган Араванского района" - 1,9 млн. сомов (мощность 264 м закр., 380 м откр. дрен.), при этом защищено 50 дворов, 1 кладбища;</w:t>
      </w:r>
    </w:p>
    <w:p>
      <w:pPr>
        <w:spacing w:after="120"/>
        <w:jc w:val="both"/>
      </w:pPr>
      <w:r>
        <w:rPr>
          <w:rFonts w:ascii="Arial" w:cs="Arial" w:eastAsia="Arial" w:hAnsi="Arial"/>
          <w:sz w:val="24"/>
          <w:szCs w:val="24"/>
        </w:rPr>
        <w:t xml:space="preserve">14. "АВР по защите кладбище на уч. Булбул в с.1 Мая а/о Кара-Кульджиского района" - 4,9 млн. сомов (мощность 205 м защитная дамба), при этом защищено 15 дворов, 1 кладбища;</w:t>
      </w:r>
    </w:p>
    <w:p>
      <w:pPr>
        <w:spacing w:after="120"/>
        <w:jc w:val="both"/>
      </w:pPr>
      <w:r>
        <w:rPr>
          <w:rFonts w:ascii="Arial" w:cs="Arial" w:eastAsia="Arial" w:hAnsi="Arial"/>
          <w:sz w:val="24"/>
          <w:szCs w:val="24"/>
        </w:rPr>
        <w:t xml:space="preserve">15. "АВР по защите участка ЦРБ в с.Кара-Кулжа а/о Кара-Кулжа на р.Кара-Кулжа Кара-Кульджинского района" - 1,6 млн. сомов (мощность 81 м шпора), защищено 40 дворов, 1 ЦРБ;</w:t>
      </w:r>
    </w:p>
    <w:p>
      <w:pPr>
        <w:spacing w:after="120"/>
        <w:jc w:val="both"/>
      </w:pPr>
      <w:r>
        <w:rPr>
          <w:rFonts w:ascii="Arial" w:cs="Arial" w:eastAsia="Arial" w:hAnsi="Arial"/>
          <w:sz w:val="24"/>
          <w:szCs w:val="24"/>
        </w:rPr>
        <w:t xml:space="preserve">16. "АВР по защите с.Большевик на р.Жазы а/о Ак-Жар Узгенского района" - 2,5 млн. сомов (мощность 100 м защитная дамба), при этом защищено 220 дворов, 20 га с/угодий;</w:t>
      </w:r>
    </w:p>
    <w:p>
      <w:pPr>
        <w:spacing w:after="120"/>
        <w:jc w:val="both"/>
      </w:pPr>
      <w:r>
        <w:rPr>
          <w:rFonts w:ascii="Arial" w:cs="Arial" w:eastAsia="Arial" w:hAnsi="Arial"/>
          <w:sz w:val="24"/>
          <w:szCs w:val="24"/>
        </w:rPr>
        <w:t xml:space="preserve">17. "АВР по защите ж/д на р.Кыркоолсай в с.Жатан Ноокатского района" - 0,9 млн. сомов (мощность 170 м дамба) при этом защищено 25 дворов;</w:t>
      </w:r>
    </w:p>
    <w:p>
      <w:pPr>
        <w:spacing w:after="120"/>
        <w:jc w:val="both"/>
      </w:pPr>
      <w:r>
        <w:rPr>
          <w:rFonts w:ascii="Arial" w:cs="Arial" w:eastAsia="Arial" w:hAnsi="Arial"/>
          <w:sz w:val="24"/>
          <w:szCs w:val="24"/>
        </w:rPr>
        <w:t xml:space="preserve">18. "АВР пешеходного моста ч/з р.Корул а/о Корул Алайского района" - 1,3 млн. сомов (мощность 42 м пешеходный мост при этом сообщением обеспечено 1650 чел.;</w:t>
      </w:r>
    </w:p>
    <w:p>
      <w:pPr>
        <w:spacing w:after="120"/>
        <w:jc w:val="both"/>
      </w:pPr>
      <w:r>
        <w:rPr>
          <w:rFonts w:ascii="Arial" w:cs="Arial" w:eastAsia="Arial" w:hAnsi="Arial"/>
          <w:sz w:val="24"/>
          <w:szCs w:val="24"/>
        </w:rPr>
        <w:t xml:space="preserve">19. "АВР защитной дамбы на р.Зергер в с.Красный-Маяк Узгенского района" - 3,4 млн. сомов (мощность 300 м дамба) при этом защищено 573 дворов;</w:t>
      </w:r>
    </w:p>
    <w:p>
      <w:pPr>
        <w:spacing w:after="120"/>
        <w:jc w:val="both"/>
      </w:pPr>
      <w:r>
        <w:rPr>
          <w:rFonts w:ascii="Arial" w:cs="Arial" w:eastAsia="Arial" w:hAnsi="Arial"/>
          <w:sz w:val="24"/>
          <w:szCs w:val="24"/>
        </w:rPr>
        <w:t xml:space="preserve">20. "АВР по защ. ж/д и с/у на уч. Ак-Баш Мангытского а/о Араванского района" - 4,1 млн. сомов (мощность 430 м дамба) при этом защищено 85 дворов, 30 га с/угодий;</w:t>
      </w:r>
    </w:p>
    <w:p>
      <w:pPr>
        <w:spacing w:after="120"/>
        <w:jc w:val="both"/>
      </w:pPr>
      <w:r>
        <w:rPr>
          <w:rFonts w:ascii="Arial" w:cs="Arial" w:eastAsia="Arial" w:hAnsi="Arial"/>
          <w:sz w:val="24"/>
          <w:szCs w:val="24"/>
        </w:rPr>
        <w:t xml:space="preserve">21. "АВР по защ. ж/д и школы на р.Кыргыз-Ата уч. Киров а/о Мирмахмудова Ноокатского района" - 2595,02 тыс. сом (мощность 257 м дамба) при этом защищено 15 дворов, 1 школа;</w:t>
      </w:r>
    </w:p>
    <w:p>
      <w:pPr>
        <w:spacing w:after="120"/>
        <w:jc w:val="both"/>
      </w:pPr>
      <w:r>
        <w:rPr>
          <w:rFonts w:ascii="Arial" w:cs="Arial" w:eastAsia="Arial" w:hAnsi="Arial"/>
          <w:sz w:val="24"/>
          <w:szCs w:val="24"/>
        </w:rPr>
        <w:t xml:space="preserve">22. "АВР по защите ж/д и с/у на р.Кызыл-Суу Чон-Алайского района" - 3,6 млн. сомов (мощность 432 м дамба) при этом защищено 1082 дворов;</w:t>
      </w:r>
    </w:p>
    <w:p>
      <w:pPr>
        <w:spacing w:after="120"/>
        <w:jc w:val="both"/>
      </w:pPr>
      <w:r>
        <w:rPr>
          <w:rFonts w:ascii="Arial" w:cs="Arial" w:eastAsia="Arial" w:hAnsi="Arial"/>
          <w:sz w:val="24"/>
          <w:szCs w:val="24"/>
        </w:rPr>
        <w:t xml:space="preserve">23. "АВР по защ. ж/д и школы в с.Кара-Согот Кара-Суйского района" - 2,7 млн. сомов (мощность 150 м дамба) при этом защищено 14 дворов, 1 школа;</w:t>
      </w:r>
    </w:p>
    <w:p>
      <w:pPr>
        <w:spacing w:after="120"/>
        <w:jc w:val="both"/>
      </w:pPr>
      <w:r>
        <w:rPr>
          <w:rFonts w:ascii="Arial" w:cs="Arial" w:eastAsia="Arial" w:hAnsi="Arial"/>
          <w:sz w:val="24"/>
          <w:szCs w:val="24"/>
        </w:rPr>
        <w:t xml:space="preserve">24. "АВР по восст-ю поливного каналов с.Кыргызстан, а/о Ийри-Суу Узгенского района" - 0,5 млн. сомов (мощность), при этом обеспечено поливной водой 385 дворов, 355 га с/угодий;</w:t>
      </w:r>
    </w:p>
    <w:p>
      <w:pPr>
        <w:spacing w:after="120"/>
        <w:jc w:val="both"/>
      </w:pPr>
      <w:r>
        <w:rPr>
          <w:rFonts w:ascii="Arial" w:cs="Arial" w:eastAsia="Arial" w:hAnsi="Arial"/>
          <w:sz w:val="24"/>
          <w:szCs w:val="24"/>
        </w:rPr>
        <w:t xml:space="preserve">25. "АВР по защите ж/д и кладбища по левому берегу р.Кара-Дарья с/у Кароол Узгенского района" - 6,5 млн. сомов (мощность 345 пм дамба), при этом защищено 150 дворов, 100 га с/угодий;</w:t>
      </w:r>
    </w:p>
    <w:p>
      <w:pPr>
        <w:spacing w:after="120"/>
        <w:jc w:val="both"/>
      </w:pPr>
      <w:r>
        <w:rPr>
          <w:rFonts w:ascii="Arial" w:cs="Arial" w:eastAsia="Arial" w:hAnsi="Arial"/>
          <w:sz w:val="24"/>
          <w:szCs w:val="24"/>
        </w:rPr>
        <w:t xml:space="preserve">26. "АВР селсая в с.Миязды а/о Жошолу, Алайского района" - 0,9 млн. сомов при этом обеспечен транспортное сообщение более 4200 человек;</w:t>
      </w:r>
    </w:p>
    <w:p>
      <w:pPr>
        <w:spacing w:after="120"/>
        <w:jc w:val="both"/>
      </w:pPr>
      <w:r>
        <w:rPr>
          <w:rFonts w:ascii="Arial" w:cs="Arial" w:eastAsia="Arial" w:hAnsi="Arial"/>
          <w:sz w:val="24"/>
          <w:szCs w:val="24"/>
        </w:rPr>
        <w:t xml:space="preserve">27. "АВР по защите и восстановлению внутрихозяйственного моста на уч. Кен-Жылга а/о Жошолу, Алайского района" - 7,8 млн. сомов (мощность, мост), при этом защищено 15 дворов, 20 га с/угодий, обеспечено транспортным сообщением 1200 чел;</w:t>
      </w:r>
    </w:p>
    <w:p>
      <w:pPr>
        <w:spacing w:after="120"/>
        <w:jc w:val="both"/>
      </w:pPr>
      <w:r>
        <w:rPr>
          <w:rFonts w:ascii="Arial" w:cs="Arial" w:eastAsia="Arial" w:hAnsi="Arial"/>
          <w:sz w:val="24"/>
          <w:szCs w:val="24"/>
        </w:rPr>
        <w:t xml:space="preserve">28. "АВР по защите участка Нура на р.Кара-Кульджа а/о Кара-Кочкор Кара-Кульджинского района" - 5,4 млн. сомов (мощность 150 пм дамба), при этом защищено 400 дворов, 1 соц. объект;</w:t>
      </w:r>
    </w:p>
    <w:p>
      <w:pPr>
        <w:spacing w:after="120"/>
        <w:jc w:val="both"/>
      </w:pPr>
      <w:r>
        <w:rPr>
          <w:rFonts w:ascii="Arial" w:cs="Arial" w:eastAsia="Arial" w:hAnsi="Arial"/>
          <w:sz w:val="24"/>
          <w:szCs w:val="24"/>
        </w:rPr>
        <w:t xml:space="preserve">29. "АВР по строительству селеотводного канала в а/о Кара-Кочкор Кара-Кульджинского района" - 7,9 млн. сомов (мощность 714 пм селеотводной канал), при этом защищено 100 дворов, 14 га с/угодий, 1 соц. объект;</w:t>
      </w:r>
    </w:p>
    <w:p>
      <w:pPr>
        <w:spacing w:after="120"/>
        <w:jc w:val="both"/>
      </w:pPr>
      <w:r>
        <w:rPr>
          <w:rFonts w:ascii="Arial" w:cs="Arial" w:eastAsia="Arial" w:hAnsi="Arial"/>
          <w:sz w:val="24"/>
          <w:szCs w:val="24"/>
        </w:rPr>
        <w:t xml:space="preserve">30. "АВР по восстановлению поливного канала в с.Шанкол а/о Кенеш Ноокатского района" - 6,7 млн. сомов (мощность 1,412 км водопроводной сети) при этом обеспечен водой жителей 3-х сел, более 1500 жителей);</w:t>
      </w:r>
    </w:p>
    <w:p>
      <w:pPr>
        <w:spacing w:after="120"/>
        <w:jc w:val="both"/>
      </w:pPr>
      <w:r>
        <w:rPr>
          <w:rFonts w:ascii="Arial" w:cs="Arial" w:eastAsia="Arial" w:hAnsi="Arial"/>
          <w:sz w:val="24"/>
          <w:szCs w:val="24"/>
        </w:rPr>
        <w:t xml:space="preserve">31. "Наращивание защитной дамбы на р.Кара-Кулжа с.Кара-Кулжа (Шпора № 7)" - 1,6 млн. сомов (мощность 1091 пм РВР дамба), при этом защищено 246 дворов, 55 га с/угодий;</w:t>
      </w:r>
    </w:p>
    <w:p>
      <w:pPr>
        <w:spacing w:after="120"/>
        <w:jc w:val="both"/>
      </w:pPr>
      <w:r>
        <w:rPr>
          <w:rFonts w:ascii="Arial" w:cs="Arial" w:eastAsia="Arial" w:hAnsi="Arial"/>
          <w:sz w:val="24"/>
          <w:szCs w:val="24"/>
        </w:rPr>
        <w:t xml:space="preserve">32. "Укрепление порога № 13 на р.Араван-Сай уч. Райцентр а/о А.Анарова Араванского района" - 0,7 млн. сомов (мощность 9 пм РВР дамба), при этом защищено 2250 дворов.</w:t>
      </w:r>
    </w:p>
    <w:p>
      <w:pPr>
        <w:spacing w:after="120"/>
        <w:jc w:val="both"/>
      </w:pPr>
      <w:r>
        <w:rPr>
          <w:rFonts w:ascii="Arial" w:cs="Arial" w:eastAsia="Arial" w:hAnsi="Arial"/>
          <w:sz w:val="24"/>
          <w:szCs w:val="24"/>
        </w:rPr>
        <w:t xml:space="preserve">По Баткенской области завершены работы на 18-ти объектах на сумму 57,9 млн. сомов, в том числе по объектам:</w:t>
      </w:r>
    </w:p>
    <w:p>
      <w:pPr>
        <w:spacing w:after="120"/>
        <w:jc w:val="both"/>
      </w:pPr>
      <w:r>
        <w:rPr>
          <w:rFonts w:ascii="Arial" w:cs="Arial" w:eastAsia="Arial" w:hAnsi="Arial"/>
          <w:sz w:val="24"/>
          <w:szCs w:val="24"/>
        </w:rPr>
        <w:t xml:space="preserve">1. "Защита с.Пульгон на р.Аксуу по ул.Пионерская Кадамжайского района" - 3,8 млн. сомов (мощность 188 м дамба), при этом защищено 350 дворов, 1 соц. объект;</w:t>
      </w:r>
    </w:p>
    <w:p>
      <w:pPr>
        <w:spacing w:after="120"/>
        <w:jc w:val="both"/>
      </w:pPr>
      <w:r>
        <w:rPr>
          <w:rFonts w:ascii="Arial" w:cs="Arial" w:eastAsia="Arial" w:hAnsi="Arial"/>
          <w:sz w:val="24"/>
          <w:szCs w:val="24"/>
        </w:rPr>
        <w:t xml:space="preserve">2. "АВР по защите ж/д на селевой сае Курук-Сай на уч. Восток г.Кызыл-Кыя" - 2,6 млн. сомов (мощность 160 м дамба), при этом защищено 80 дворов;</w:t>
      </w:r>
    </w:p>
    <w:p>
      <w:pPr>
        <w:spacing w:after="120"/>
        <w:jc w:val="both"/>
      </w:pPr>
      <w:r>
        <w:rPr>
          <w:rFonts w:ascii="Arial" w:cs="Arial" w:eastAsia="Arial" w:hAnsi="Arial"/>
          <w:sz w:val="24"/>
          <w:szCs w:val="24"/>
        </w:rPr>
        <w:t xml:space="preserve">3. "АВР по восст. моста ниже ж\ц в районе шахты № 6 по ул.Макаевская г.Сулюкта" - 2,7 млн. сомов (мощность 1 ж/б мост), при этом обеспечено транспортным сообщением более 1400 чел.;</w:t>
      </w:r>
    </w:p>
    <w:p>
      <w:pPr>
        <w:spacing w:after="120"/>
        <w:jc w:val="both"/>
      </w:pPr>
      <w:r>
        <w:rPr>
          <w:rFonts w:ascii="Arial" w:cs="Arial" w:eastAsia="Arial" w:hAnsi="Arial"/>
          <w:sz w:val="24"/>
          <w:szCs w:val="24"/>
        </w:rPr>
        <w:t xml:space="preserve">4. "АВР пешеходного моста ч/з с/сая Исфана на уч. Моголтажикент г.Исфана" - 2,1 млн. сомов (мощность 1 ж/б мост), при этом обеспечено транспортным сообщением более 940 чел.;</w:t>
      </w:r>
    </w:p>
    <w:p>
      <w:pPr>
        <w:spacing w:after="120"/>
        <w:jc w:val="both"/>
      </w:pPr>
      <w:r>
        <w:rPr>
          <w:rFonts w:ascii="Arial" w:cs="Arial" w:eastAsia="Arial" w:hAnsi="Arial"/>
          <w:sz w:val="24"/>
          <w:szCs w:val="24"/>
        </w:rPr>
        <w:t xml:space="preserve">5. "АВР по защите ж/д на уч.Кара-Кечу а/о Орозбекова Кадамжайского района" - 4,9 млн. сомов (мощность 355 м дамба), при этом защищено 120 дворов, 1 школа;</w:t>
      </w:r>
    </w:p>
    <w:p>
      <w:pPr>
        <w:spacing w:after="120"/>
        <w:jc w:val="both"/>
      </w:pPr>
      <w:r>
        <w:rPr>
          <w:rFonts w:ascii="Arial" w:cs="Arial" w:eastAsia="Arial" w:hAnsi="Arial"/>
          <w:sz w:val="24"/>
          <w:szCs w:val="24"/>
        </w:rPr>
        <w:t xml:space="preserve">6. "АВР селепропускного сооружения по ул.Студенческаяв пос.Кош-Булак г.Сулюкта" - 8,5 млн. сомов (мощность 920 пм с/сооружение), при этом защищено 850 дворов;</w:t>
      </w:r>
    </w:p>
    <w:p>
      <w:pPr>
        <w:spacing w:after="120"/>
        <w:jc w:val="both"/>
      </w:pPr>
      <w:r>
        <w:rPr>
          <w:rFonts w:ascii="Arial" w:cs="Arial" w:eastAsia="Arial" w:hAnsi="Arial"/>
          <w:sz w:val="24"/>
          <w:szCs w:val="24"/>
        </w:rPr>
        <w:t xml:space="preserve">7. "АВР по строительству подпорной стенки на уч. Тайлан г.Исфана" - 3,8 млн. сомов (мощность 141 пм подпорная стенка), при этом защищено 14 дворов;</w:t>
      </w:r>
    </w:p>
    <w:p>
      <w:pPr>
        <w:spacing w:after="120"/>
        <w:jc w:val="both"/>
      </w:pPr>
      <w:r>
        <w:rPr>
          <w:rFonts w:ascii="Arial" w:cs="Arial" w:eastAsia="Arial" w:hAnsi="Arial"/>
          <w:sz w:val="24"/>
          <w:szCs w:val="24"/>
        </w:rPr>
        <w:t xml:space="preserve">8. "АВР по строительству защитных сооружений в пос.Кадамжай, Кадамжайского района" - 2,2 млн. сом (мощность 180 пм защитные сооружения и принудительная разгрузка камней 3150 куб.м);</w:t>
      </w:r>
    </w:p>
    <w:p>
      <w:pPr>
        <w:spacing w:after="120"/>
        <w:jc w:val="both"/>
      </w:pPr>
      <w:r>
        <w:rPr>
          <w:rFonts w:ascii="Arial" w:cs="Arial" w:eastAsia="Arial" w:hAnsi="Arial"/>
          <w:sz w:val="24"/>
          <w:szCs w:val="24"/>
        </w:rPr>
        <w:t xml:space="preserve">9. "АВР по защите жилых домов и внутрихозяйственных дорог на уч. Арчамазар пос.Чаувай Кадамжайского района" - 1,5 млн. сомов (мощность 130 пм з/дамба), защищено 60 дворов и в/х дорог;</w:t>
      </w:r>
    </w:p>
    <w:p>
      <w:pPr>
        <w:spacing w:after="120"/>
        <w:jc w:val="both"/>
      </w:pPr>
      <w:r>
        <w:rPr>
          <w:rFonts w:ascii="Arial" w:cs="Arial" w:eastAsia="Arial" w:hAnsi="Arial"/>
          <w:sz w:val="24"/>
          <w:szCs w:val="24"/>
        </w:rPr>
        <w:t xml:space="preserve">10. "Реконструкция защитной дамбы № 1 с. Актурпак на реке Сох пр. берег с ПК-07+50 по ПК-12+20 уч. № 1, Кадамжайского района" - 9,3 млн. сомов (мощность 200 пм РВР дамба), при этом защищено 78 дворов, 15 га с/угодий;</w:t>
      </w:r>
    </w:p>
    <w:p>
      <w:pPr>
        <w:spacing w:after="120"/>
        <w:jc w:val="both"/>
      </w:pPr>
      <w:r>
        <w:rPr>
          <w:rFonts w:ascii="Arial" w:cs="Arial" w:eastAsia="Arial" w:hAnsi="Arial"/>
          <w:sz w:val="24"/>
          <w:szCs w:val="24"/>
        </w:rPr>
        <w:t xml:space="preserve">11. "Защитная дамба с.Бужум, Баткенского района" - 0,5 млн. сомов (мощность 1000 пм РВР дамба), при этом защищено 1348 дворов, 1354 га с/угодий;</w:t>
      </w:r>
    </w:p>
    <w:p>
      <w:pPr>
        <w:spacing w:after="120"/>
        <w:jc w:val="both"/>
      </w:pPr>
      <w:r>
        <w:rPr>
          <w:rFonts w:ascii="Arial" w:cs="Arial" w:eastAsia="Arial" w:hAnsi="Arial"/>
          <w:sz w:val="24"/>
          <w:szCs w:val="24"/>
        </w:rPr>
        <w:t xml:space="preserve">12. "Защитная дамба с.Жаркыштак на реке Аксуу пр. берег а/о Ак-суу, Лейлекского района" - 3,8 млн. сомов (мощность 190 пм РВР дамба), при этом защищено 285 дворов, 72 га с/угодий;</w:t>
      </w:r>
    </w:p>
    <w:p>
      <w:pPr>
        <w:spacing w:after="120"/>
        <w:jc w:val="both"/>
      </w:pPr>
      <w:r>
        <w:rPr>
          <w:rFonts w:ascii="Arial" w:cs="Arial" w:eastAsia="Arial" w:hAnsi="Arial"/>
          <w:sz w:val="24"/>
          <w:szCs w:val="24"/>
        </w:rPr>
        <w:t xml:space="preserve">13. "Защитная дамба с.Актурпак на р.Сох Баткенского района" - 0,08 млн. сомов (мощность 150 пм РВР дамба), при этом защищено 516 дворов, 263 га с/угодий;</w:t>
      </w:r>
    </w:p>
    <w:p>
      <w:pPr>
        <w:spacing w:after="120"/>
        <w:jc w:val="both"/>
      </w:pPr>
      <w:r>
        <w:rPr>
          <w:rFonts w:ascii="Arial" w:cs="Arial" w:eastAsia="Arial" w:hAnsi="Arial"/>
          <w:sz w:val="24"/>
          <w:szCs w:val="24"/>
        </w:rPr>
        <w:t xml:space="preserve">14. "Защитная дамба № 15 с.Актурпак на р.Сох пр. берег, Кадамжайского района" - 0,3 млн. сомов (мощность 80 пм РВР дамба), при этом защищено 44 дворов, 9 га с/угодий;</w:t>
      </w:r>
    </w:p>
    <w:p>
      <w:pPr>
        <w:spacing w:after="120"/>
        <w:jc w:val="both"/>
      </w:pPr>
      <w:r>
        <w:rPr>
          <w:rFonts w:ascii="Arial" w:cs="Arial" w:eastAsia="Arial" w:hAnsi="Arial"/>
          <w:sz w:val="24"/>
          <w:szCs w:val="24"/>
        </w:rPr>
        <w:t xml:space="preserve">15. "Защитная дамба № 15 на реке Сох с.Актурпак а/о Актурпак, Кадамжайского района" - 4,8 млн. сомов (мощность 160 пм РВР дамба), при этом защищено 44 дворов, 9 га с/угодий;</w:t>
      </w:r>
    </w:p>
    <w:p>
      <w:pPr>
        <w:spacing w:after="120"/>
        <w:jc w:val="both"/>
      </w:pPr>
      <w:r>
        <w:rPr>
          <w:rFonts w:ascii="Arial" w:cs="Arial" w:eastAsia="Arial" w:hAnsi="Arial"/>
          <w:sz w:val="24"/>
          <w:szCs w:val="24"/>
        </w:rPr>
        <w:t xml:space="preserve">16. "Защитная дамба с.Жаркыштак на р.Ак-Суу пр. берег а/о Ак-Суу, Лейлекского района" - 4,6 млн. сомов (мощность 240 пм РВР дамба), при этом защищено 285 дворов, 72 га с/угодий;</w:t>
      </w:r>
    </w:p>
    <w:p>
      <w:pPr>
        <w:spacing w:after="120"/>
        <w:jc w:val="both"/>
      </w:pPr>
      <w:r>
        <w:rPr>
          <w:rFonts w:ascii="Arial" w:cs="Arial" w:eastAsia="Arial" w:hAnsi="Arial"/>
          <w:sz w:val="24"/>
          <w:szCs w:val="24"/>
        </w:rPr>
        <w:t xml:space="preserve">17. "Защитная дамба с.Ак-Суу на р.Ак-Суу пр. берег а/о Ак-Суу, Лейлекского района" - 0,3 млн. сомов (мощность 50 пм РВР дамба), при этом защищено 540 дворов, 87 га с/угодий;</w:t>
      </w:r>
    </w:p>
    <w:p>
      <w:pPr>
        <w:spacing w:after="120"/>
        <w:jc w:val="both"/>
      </w:pPr>
      <w:r>
        <w:rPr>
          <w:rFonts w:ascii="Arial" w:cs="Arial" w:eastAsia="Arial" w:hAnsi="Arial"/>
          <w:sz w:val="24"/>
          <w:szCs w:val="24"/>
        </w:rPr>
        <w:t xml:space="preserve">18. "Защитная дамба с.Жаркыштак на р.Ак-Суу пр. берег а/о Ак-Суу, Лейлекского района" - 1,9 млн. сомов (мощность 940 пм РВР дамба), защищено 285 дворов, 72 га с/угодий.</w:t>
      </w:r>
    </w:p>
    <w:p>
      <w:pPr>
        <w:spacing w:after="120"/>
        <w:jc w:val="both"/>
      </w:pPr>
      <w:r>
        <w:rPr>
          <w:rFonts w:ascii="Arial" w:cs="Arial" w:eastAsia="Arial" w:hAnsi="Arial"/>
          <w:sz w:val="24"/>
          <w:szCs w:val="24"/>
        </w:rPr>
        <w:t xml:space="preserve">По Жалалабатской области завершены работы на 27-ми объектах на сумму 102,6 млн. сомов, в том числе по объектам:</w:t>
      </w:r>
    </w:p>
    <w:p>
      <w:pPr>
        <w:spacing w:after="120"/>
        <w:jc w:val="both"/>
      </w:pPr>
      <w:r>
        <w:rPr>
          <w:rFonts w:ascii="Arial" w:cs="Arial" w:eastAsia="Arial" w:hAnsi="Arial"/>
          <w:sz w:val="24"/>
          <w:szCs w:val="24"/>
        </w:rPr>
        <w:t xml:space="preserve">1. "АВР по защите моста на р.КУС в с.Беш-Бадам а/о Базар-Коргон, Базар-Коргонского района" - 1,7 млн. сомов (мощность 50 м дамба), при этом защищено 140 дворов, 1 мост;</w:t>
      </w:r>
    </w:p>
    <w:p>
      <w:pPr>
        <w:spacing w:after="120"/>
        <w:jc w:val="both"/>
      </w:pPr>
      <w:r>
        <w:rPr>
          <w:rFonts w:ascii="Arial" w:cs="Arial" w:eastAsia="Arial" w:hAnsi="Arial"/>
          <w:sz w:val="24"/>
          <w:szCs w:val="24"/>
        </w:rPr>
        <w:t xml:space="preserve">2. "АВР по восстановлению дамбы в пос.Кызыл-Жар г.Таш-Кумыр" - 2,3 млн. сомов (мощность 160 м дамба), при этом защищено 45 дворов;</w:t>
      </w:r>
    </w:p>
    <w:p>
      <w:pPr>
        <w:spacing w:after="120"/>
        <w:jc w:val="both"/>
      </w:pPr>
      <w:r>
        <w:rPr>
          <w:rFonts w:ascii="Arial" w:cs="Arial" w:eastAsia="Arial" w:hAnsi="Arial"/>
          <w:sz w:val="24"/>
          <w:szCs w:val="24"/>
        </w:rPr>
        <w:t xml:space="preserve">3. "АВР по расчистке селевого и поливного канала а/о Кенеш, Базар-Коргонского района" - 1,2 млн. сомов (мощность 2,8 км очистка с/о канала), при этом защищено 850 дворов;</w:t>
      </w:r>
    </w:p>
    <w:p>
      <w:pPr>
        <w:spacing w:after="120"/>
        <w:jc w:val="both"/>
      </w:pPr>
      <w:r>
        <w:rPr>
          <w:rFonts w:ascii="Arial" w:cs="Arial" w:eastAsia="Arial" w:hAnsi="Arial"/>
          <w:sz w:val="24"/>
          <w:szCs w:val="24"/>
        </w:rPr>
        <w:t xml:space="preserve">4. "АВР по восстановлению моста на сел/сае в с.Сейтказы а/о Кенеш, Базар-Коргонского района" - 2,6 млн. сом (мощность в/х мост), обеспечено транспортным сообщением более 450 дворов;</w:t>
      </w:r>
    </w:p>
    <w:p>
      <w:pPr>
        <w:spacing w:after="120"/>
        <w:jc w:val="both"/>
      </w:pPr>
      <w:r>
        <w:rPr>
          <w:rFonts w:ascii="Arial" w:cs="Arial" w:eastAsia="Arial" w:hAnsi="Arial"/>
          <w:sz w:val="24"/>
          <w:szCs w:val="24"/>
        </w:rPr>
        <w:t xml:space="preserve">5. "АВР по защите д/ж в пгт. Кызыл-Жар г.Таш-Кумыр" - 1,5 млн. сомов (мощность 250 м дамба), при этом защищено 85 дворов;</w:t>
      </w:r>
    </w:p>
    <w:p>
      <w:pPr>
        <w:spacing w:after="120"/>
        <w:jc w:val="both"/>
      </w:pPr>
      <w:r>
        <w:rPr>
          <w:rFonts w:ascii="Arial" w:cs="Arial" w:eastAsia="Arial" w:hAnsi="Arial"/>
          <w:sz w:val="24"/>
          <w:szCs w:val="24"/>
        </w:rPr>
        <w:t xml:space="preserve">6. "АВР по восстановлению в/проводной сети в с.Кугарт а/о Багыш, Сузакского района" - 0,7 млн. сомов, при этом поливной водой обеспечено более 15 тыс. чел.;</w:t>
      </w:r>
    </w:p>
    <w:p>
      <w:pPr>
        <w:spacing w:after="120"/>
        <w:jc w:val="both"/>
      </w:pPr>
      <w:r>
        <w:rPr>
          <w:rFonts w:ascii="Arial" w:cs="Arial" w:eastAsia="Arial" w:hAnsi="Arial"/>
          <w:sz w:val="24"/>
          <w:szCs w:val="24"/>
        </w:rPr>
        <w:t xml:space="preserve">7. "АВР по восстановлению внутрихозяйственного моста в с.Орто-Азия а/о Кызыл-Туу, Сузакского района" - 1,6 млн. сомов (мощность 1 в/х мост), при этом обеспечено транспортным сообщением 1500 дворов;</w:t>
      </w:r>
    </w:p>
    <w:p>
      <w:pPr>
        <w:spacing w:after="120"/>
        <w:jc w:val="both"/>
      </w:pPr>
      <w:r>
        <w:rPr>
          <w:rFonts w:ascii="Arial" w:cs="Arial" w:eastAsia="Arial" w:hAnsi="Arial"/>
          <w:sz w:val="24"/>
          <w:szCs w:val="24"/>
        </w:rPr>
        <w:t xml:space="preserve">8. "АВР селехранилищ по ул.Тайгараева и Совхозная г.Майлуу-Суу" - 2,4 млн. сомов (мощность 1 селехранилища), при этом защищено более 400 дворов;</w:t>
      </w:r>
    </w:p>
    <w:p>
      <w:pPr>
        <w:spacing w:after="120"/>
        <w:jc w:val="both"/>
      </w:pPr>
      <w:r>
        <w:rPr>
          <w:rFonts w:ascii="Arial" w:cs="Arial" w:eastAsia="Arial" w:hAnsi="Arial"/>
          <w:sz w:val="24"/>
          <w:szCs w:val="24"/>
        </w:rPr>
        <w:t xml:space="preserve">9. "АВР по восстановлению внутрихозяйственного моста в г.Майлуу-Суу" - 5,3 млн. сомов (мощность 1 мост) при этом обеспечено транспортным сообщением более 8500 чел.;</w:t>
      </w:r>
    </w:p>
    <w:p>
      <w:pPr>
        <w:spacing w:after="120"/>
        <w:jc w:val="both"/>
      </w:pPr>
      <w:r>
        <w:rPr>
          <w:rFonts w:ascii="Arial" w:cs="Arial" w:eastAsia="Arial" w:hAnsi="Arial"/>
          <w:sz w:val="24"/>
          <w:szCs w:val="24"/>
        </w:rPr>
        <w:t xml:space="preserve">10. "Защитная дамба № 19 на р.Кара-Дарыя а/о Атабекова Сузакского района" - 29,4 млн. сомов (мощность 50 пм РВР дамба), при этом защищено 365 дворов, 175 га с/угодий;</w:t>
      </w:r>
    </w:p>
    <w:p>
      <w:pPr>
        <w:spacing w:after="120"/>
        <w:jc w:val="both"/>
      </w:pPr>
      <w:r>
        <w:rPr>
          <w:rFonts w:ascii="Arial" w:cs="Arial" w:eastAsia="Arial" w:hAnsi="Arial"/>
          <w:sz w:val="24"/>
          <w:szCs w:val="24"/>
        </w:rPr>
        <w:t xml:space="preserve">11. "Защитная дамба № 7 на р.Кугарт с.Сымкат уч. Орто-Сай Сузакского района" - 2,2 млн. сомов, (мощность 100 пм РВР дамба), при этом защищено 300 дворов;</w:t>
      </w:r>
    </w:p>
    <w:p>
      <w:pPr>
        <w:spacing w:after="120"/>
        <w:jc w:val="both"/>
      </w:pPr>
      <w:r>
        <w:rPr>
          <w:rFonts w:ascii="Arial" w:cs="Arial" w:eastAsia="Arial" w:hAnsi="Arial"/>
          <w:sz w:val="24"/>
          <w:szCs w:val="24"/>
        </w:rPr>
        <w:t xml:space="preserve">12. "Расчистка русла на р.Кугарт выше автодорожного моста Арал-Жийде Сузакского района" - 2,2 млн. сомов (мощность 1500 м расчистка русла), при этом защищено 200 дворов;</w:t>
      </w:r>
    </w:p>
    <w:p>
      <w:pPr>
        <w:spacing w:after="120"/>
        <w:jc w:val="both"/>
      </w:pPr>
      <w:r>
        <w:rPr>
          <w:rFonts w:ascii="Arial" w:cs="Arial" w:eastAsia="Arial" w:hAnsi="Arial"/>
          <w:sz w:val="24"/>
          <w:szCs w:val="24"/>
        </w:rPr>
        <w:t xml:space="preserve">13. "Защитная дамба № 20 на р.Кара-Дарыя уч. Чангыр-Таш-1 а/о Кара-Дарыя" - 21,8 млн. сомов (мощность 106 пм РВР дамба), при этом защищено 350 дворов, 600 га с/угодий;</w:t>
      </w:r>
    </w:p>
    <w:p>
      <w:pPr>
        <w:spacing w:after="120"/>
        <w:jc w:val="both"/>
      </w:pPr>
      <w:r>
        <w:rPr>
          <w:rFonts w:ascii="Arial" w:cs="Arial" w:eastAsia="Arial" w:hAnsi="Arial"/>
          <w:sz w:val="24"/>
          <w:szCs w:val="24"/>
        </w:rPr>
        <w:t xml:space="preserve">14. "Защитная дамба № 7 на р.Кугарт уч. Сымкат (Коенкана) Сузакского района" - 2,7 млн. сомов (мощность 40 м. расчистка русла), при этом защищено 300 дворов;</w:t>
      </w:r>
    </w:p>
    <w:p>
      <w:pPr>
        <w:spacing w:after="120"/>
        <w:jc w:val="both"/>
      </w:pPr>
      <w:r>
        <w:rPr>
          <w:rFonts w:ascii="Arial" w:cs="Arial" w:eastAsia="Arial" w:hAnsi="Arial"/>
          <w:sz w:val="24"/>
          <w:szCs w:val="24"/>
        </w:rPr>
        <w:t xml:space="preserve">15. "Защитная дамба № 10 на Кара-Ункур-Сай уч. Базар-Коргон Базар-Коргонского района" - 0,2 млн. сомов (мощность 50 пм РВР дамба), при этом защищено 100 дворов;</w:t>
      </w:r>
    </w:p>
    <w:p>
      <w:pPr>
        <w:spacing w:after="120"/>
        <w:jc w:val="both"/>
      </w:pPr>
      <w:r>
        <w:rPr>
          <w:rFonts w:ascii="Arial" w:cs="Arial" w:eastAsia="Arial" w:hAnsi="Arial"/>
          <w:sz w:val="24"/>
          <w:szCs w:val="24"/>
        </w:rPr>
        <w:t xml:space="preserve">16. "Защитная дамба № 9 на р.Кугарт уч. Слияния селевого канала Кок-Жангак-Сай а/о Тайгараева, Сузакского района" - 2,4 млн. сомов (мощность 130 пм РВР дамба), при этом защищено 120 дворов;</w:t>
      </w:r>
    </w:p>
    <w:p>
      <w:pPr>
        <w:spacing w:after="120"/>
        <w:jc w:val="both"/>
      </w:pPr>
      <w:r>
        <w:rPr>
          <w:rFonts w:ascii="Arial" w:cs="Arial" w:eastAsia="Arial" w:hAnsi="Arial"/>
          <w:sz w:val="24"/>
          <w:szCs w:val="24"/>
        </w:rPr>
        <w:t xml:space="preserve">17. "Защитная дамба № 4 на р.Кугарт уч. Благовещенка а/о Сузак, Сузакского района" - 0,4 млн. сомов (мощность 500 пм РВР дамба), при этом защищено 250 дворов, 445 га с/угодий;</w:t>
      </w:r>
    </w:p>
    <w:p>
      <w:pPr>
        <w:spacing w:after="120"/>
        <w:jc w:val="both"/>
      </w:pPr>
      <w:r>
        <w:rPr>
          <w:rFonts w:ascii="Arial" w:cs="Arial" w:eastAsia="Arial" w:hAnsi="Arial"/>
          <w:sz w:val="24"/>
          <w:szCs w:val="24"/>
        </w:rPr>
        <w:t xml:space="preserve">18. "Защитная дамба № 11 на Кара-Ункур-Сай уч. Базар-Коргон, Базар-Коргонского района" - 0,4 млн. сомов (мощность 135 пм РВР дамба), при этом защищено 100 дворов, 50 га с/угодий;</w:t>
      </w:r>
    </w:p>
    <w:p>
      <w:pPr>
        <w:spacing w:after="120"/>
        <w:jc w:val="both"/>
      </w:pPr>
      <w:r>
        <w:rPr>
          <w:rFonts w:ascii="Arial" w:cs="Arial" w:eastAsia="Arial" w:hAnsi="Arial"/>
          <w:sz w:val="24"/>
          <w:szCs w:val="24"/>
        </w:rPr>
        <w:t xml:space="preserve">19. "Защитная дамба № 15 на реке Кара-Ункур-Сай уч. Хаджирабат, Базар-Коргонского района" - 3,8 млн. сомов (мощность 300 пм РВР дамба), защищено 200 дворов, 50 га с/угодий;</w:t>
      </w:r>
    </w:p>
    <w:p>
      <w:pPr>
        <w:spacing w:after="120"/>
        <w:jc w:val="both"/>
      </w:pPr>
      <w:r>
        <w:rPr>
          <w:rFonts w:ascii="Arial" w:cs="Arial" w:eastAsia="Arial" w:hAnsi="Arial"/>
          <w:sz w:val="24"/>
          <w:szCs w:val="24"/>
        </w:rPr>
        <w:t xml:space="preserve">20. "Защитная дамба № 3 на р.Кара-Ункур-Сай уч. Кокчо-Коз а/о Кенеш, Базар-Коргонского района" - 1,5 млн. сомов (мощность 94 пм РВР дамба), при этом защищено 50 дворов, 10 га с/угодий;</w:t>
      </w:r>
    </w:p>
    <w:p>
      <w:pPr>
        <w:spacing w:after="120"/>
        <w:jc w:val="both"/>
      </w:pPr>
      <w:r>
        <w:rPr>
          <w:rFonts w:ascii="Arial" w:cs="Arial" w:eastAsia="Arial" w:hAnsi="Arial"/>
          <w:sz w:val="24"/>
          <w:szCs w:val="24"/>
        </w:rPr>
        <w:t xml:space="preserve">21. "Защитная дамба № 6 на р.Кара-Ункур-Сай уч. Кыргызстан, а/о Сакалды, Ноокенского района" - 0,9 млн. сомов (мощность 290 пм РВР дамба), защищено 90 дворов, 2000 га с/угодий;</w:t>
      </w:r>
    </w:p>
    <w:p>
      <w:pPr>
        <w:spacing w:after="120"/>
        <w:jc w:val="both"/>
      </w:pPr>
      <w:r>
        <w:rPr>
          <w:rFonts w:ascii="Arial" w:cs="Arial" w:eastAsia="Arial" w:hAnsi="Arial"/>
          <w:sz w:val="24"/>
          <w:szCs w:val="24"/>
        </w:rPr>
        <w:t xml:space="preserve">22. "Реконструкция защитной дамбы № 20 на р.Кара-Дарыя уч. Чангыр-Таш-2, Сузакского района" - 3,5 млн. сомов (мощность 100 пм РВР дамба), защищено 350 дворов, 600 га с/угодий;</w:t>
      </w:r>
    </w:p>
    <w:p>
      <w:pPr>
        <w:spacing w:after="120"/>
        <w:jc w:val="both"/>
      </w:pPr>
      <w:r>
        <w:rPr>
          <w:rFonts w:ascii="Arial" w:cs="Arial" w:eastAsia="Arial" w:hAnsi="Arial"/>
          <w:sz w:val="24"/>
          <w:szCs w:val="24"/>
        </w:rPr>
        <w:t xml:space="preserve">23. "Защитная дамба № 2 на р.Караункурсай уч. Арал, Ноокенского района" - 4,5 млн. сомов (мощность 150 пм РВР дамба), при этом защищено 34 дворов, 2138 га с/угодий;</w:t>
      </w:r>
    </w:p>
    <w:p>
      <w:pPr>
        <w:spacing w:after="120"/>
        <w:jc w:val="both"/>
      </w:pPr>
      <w:r>
        <w:rPr>
          <w:rFonts w:ascii="Arial" w:cs="Arial" w:eastAsia="Arial" w:hAnsi="Arial"/>
          <w:sz w:val="24"/>
          <w:szCs w:val="24"/>
        </w:rPr>
        <w:t xml:space="preserve">24. "Защитная дамба № 6 на р.Кугарт уч. Серный рудник а/о Сузак, Сузакского района" - 0,3 млн. сомов (мощность 90 пм РВР дамба), при этом защищено 110 дворов;</w:t>
      </w:r>
    </w:p>
    <w:p>
      <w:pPr>
        <w:spacing w:after="120"/>
        <w:jc w:val="both"/>
      </w:pPr>
      <w:r>
        <w:rPr>
          <w:rFonts w:ascii="Arial" w:cs="Arial" w:eastAsia="Arial" w:hAnsi="Arial"/>
          <w:sz w:val="24"/>
          <w:szCs w:val="24"/>
        </w:rPr>
        <w:t xml:space="preserve">25. "Защитная дамба № 19 на р.Кара-Дарыя уч. Ширин а/о Атабекова, Сузакского района" - 4,2 млн. сомов (мощность 153 пм РВР дамба), при этом защищено 365 дворов, 175 га с/угодий;</w:t>
      </w:r>
    </w:p>
    <w:p>
      <w:pPr>
        <w:spacing w:after="120"/>
        <w:jc w:val="both"/>
      </w:pPr>
      <w:r>
        <w:rPr>
          <w:rFonts w:ascii="Arial" w:cs="Arial" w:eastAsia="Arial" w:hAnsi="Arial"/>
          <w:sz w:val="24"/>
          <w:szCs w:val="24"/>
        </w:rPr>
        <w:t xml:space="preserve">26. "Защитная дамба № 3 на р.Итагар уч. Атантай а/о Авлетим Аксыйского района" - 0,9 млн. сомов (мощность 100 пм РВР дамба), при этом защищено 16 дворов;</w:t>
      </w:r>
    </w:p>
    <w:p>
      <w:pPr>
        <w:spacing w:after="120"/>
        <w:jc w:val="both"/>
      </w:pPr>
      <w:r>
        <w:rPr>
          <w:rFonts w:ascii="Arial" w:cs="Arial" w:eastAsia="Arial" w:hAnsi="Arial"/>
          <w:sz w:val="24"/>
          <w:szCs w:val="24"/>
        </w:rPr>
        <w:t xml:space="preserve">27. "Защитная дамба на р.Кугарт уч. Тайгараева (шпора № 8) Сузакского района" - 1,8 млн. сомов (мощность 300 пм РВР дамба), при этом защищено 80 дворов, 150 га с/угодий.</w:t>
      </w:r>
    </w:p>
    <w:p>
      <w:pPr>
        <w:spacing w:after="120"/>
        <w:jc w:val="both"/>
      </w:pPr>
      <w:r>
        <w:rPr>
          <w:rFonts w:ascii="Arial" w:cs="Arial" w:eastAsia="Arial" w:hAnsi="Arial"/>
          <w:sz w:val="24"/>
          <w:szCs w:val="24"/>
        </w:rPr>
        <w:t xml:space="preserve">По Нарынской области завершены работы на 4-х объектах на сумму 9,6 млн. сомов, в том числе по объектам:</w:t>
      </w:r>
    </w:p>
    <w:p>
      <w:pPr>
        <w:spacing w:after="120"/>
        <w:jc w:val="both"/>
      </w:pPr>
      <w:r>
        <w:rPr>
          <w:rFonts w:ascii="Arial" w:cs="Arial" w:eastAsia="Arial" w:hAnsi="Arial"/>
          <w:sz w:val="24"/>
          <w:szCs w:val="24"/>
        </w:rPr>
        <w:t xml:space="preserve">1. "Защитная дамба Ак-Жар на с.р. Ат-Башы, Ат-Башинского района" - 1,5 млн. сомов (мощность 117 пм РВР дамба), при этом защищено 832 дворов, 110 га с/угодий;</w:t>
      </w:r>
    </w:p>
    <w:p>
      <w:pPr>
        <w:spacing w:after="120"/>
        <w:jc w:val="both"/>
      </w:pPr>
      <w:r>
        <w:rPr>
          <w:rFonts w:ascii="Arial" w:cs="Arial" w:eastAsia="Arial" w:hAnsi="Arial"/>
          <w:sz w:val="24"/>
          <w:szCs w:val="24"/>
        </w:rPr>
        <w:t xml:space="preserve">2. "Защитная дамба Сары-Ой с.р. Нарын, Нарынского района" - 0,1 млн. сомов (мощность 247 пм РВР дамба), при этом защищено 50 дворов, 460 га с/угодий;</w:t>
      </w:r>
    </w:p>
    <w:p>
      <w:pPr>
        <w:spacing w:after="120"/>
        <w:jc w:val="both"/>
      </w:pPr>
      <w:r>
        <w:rPr>
          <w:rFonts w:ascii="Arial" w:cs="Arial" w:eastAsia="Arial" w:hAnsi="Arial"/>
          <w:sz w:val="24"/>
          <w:szCs w:val="24"/>
        </w:rPr>
        <w:t xml:space="preserve">3. "АВР по защите жилых домов в с.Ак-Муз Ат-Башинского района" - 4,6 млн. сомов (мощность 2585 м селеотводной канал), при этом защищено 100 дворов, 50 га с/угодий;</w:t>
      </w:r>
    </w:p>
    <w:p>
      <w:pPr>
        <w:spacing w:after="120"/>
        <w:jc w:val="both"/>
      </w:pPr>
      <w:r>
        <w:rPr>
          <w:rFonts w:ascii="Arial" w:cs="Arial" w:eastAsia="Arial" w:hAnsi="Arial"/>
          <w:sz w:val="24"/>
          <w:szCs w:val="24"/>
        </w:rPr>
        <w:t xml:space="preserve">4. "Защитная дамба "Ача-Кайынды" система реки Ача-Кайынды, Ат-Башинского района" - 3,3 млн. сомов (мощность 162 м РВР дамба), при этом защищено 882 дворов.</w:t>
      </w:r>
    </w:p>
    <w:p>
      <w:pPr>
        <w:spacing w:after="120"/>
        <w:jc w:val="both"/>
      </w:pPr>
      <w:r>
        <w:rPr>
          <w:rFonts w:ascii="Arial" w:cs="Arial" w:eastAsia="Arial" w:hAnsi="Arial"/>
          <w:sz w:val="24"/>
          <w:szCs w:val="24"/>
        </w:rPr>
        <w:t xml:space="preserve">По Таласской области завершены работы на 7-ми объектах на сумму 24,3 млн. сомов, в том числе по объектам:</w:t>
      </w:r>
    </w:p>
    <w:p>
      <w:pPr>
        <w:spacing w:after="120"/>
        <w:jc w:val="both"/>
      </w:pPr>
      <w:r>
        <w:rPr>
          <w:rFonts w:ascii="Arial" w:cs="Arial" w:eastAsia="Arial" w:hAnsi="Arial"/>
          <w:sz w:val="24"/>
          <w:szCs w:val="24"/>
        </w:rPr>
        <w:t xml:space="preserve">1. "Селезащитная дамба на р.Каракол с/у Айдаралиева, Таласского района" - 6,9 млн. сомов (мощность 500 пм РВР дамба), при этом защищено 130 га с/угодий;</w:t>
      </w:r>
    </w:p>
    <w:p>
      <w:pPr>
        <w:spacing w:after="120"/>
        <w:jc w:val="both"/>
      </w:pPr>
      <w:r>
        <w:rPr>
          <w:rFonts w:ascii="Arial" w:cs="Arial" w:eastAsia="Arial" w:hAnsi="Arial"/>
          <w:sz w:val="24"/>
          <w:szCs w:val="24"/>
        </w:rPr>
        <w:t xml:space="preserve">2.3. "Селезащитная дамба Жики с ПК80+00 по ПК 73+30 а/о Ботерек, Бакай-Атинского района" - 1,1 млн. сомов (мощность 1078 пм РВР дамба), при этом защищено 410 га с/угодий;</w:t>
      </w:r>
    </w:p>
    <w:p>
      <w:pPr>
        <w:spacing w:after="120"/>
        <w:jc w:val="both"/>
      </w:pPr>
      <w:r>
        <w:rPr>
          <w:rFonts w:ascii="Arial" w:cs="Arial" w:eastAsia="Arial" w:hAnsi="Arial"/>
          <w:sz w:val="24"/>
          <w:szCs w:val="24"/>
        </w:rPr>
        <w:t xml:space="preserve">4. "АВР по защите с.Орто-Арык, Таласского района" - 5,7 млн. сомов (мощность 150 м дамба), при этом защищено 16 дворов;</w:t>
      </w:r>
    </w:p>
    <w:p>
      <w:pPr>
        <w:spacing w:after="120"/>
        <w:jc w:val="both"/>
      </w:pPr>
      <w:r>
        <w:rPr>
          <w:rFonts w:ascii="Arial" w:cs="Arial" w:eastAsia="Arial" w:hAnsi="Arial"/>
          <w:sz w:val="24"/>
          <w:szCs w:val="24"/>
        </w:rPr>
        <w:t xml:space="preserve">5. "Защитная дамба Таш-Арык с ПК0+00 по ПК 01+71 а/о Долоно, Таласского района" - 0,4 млн. сомов (мощность171 м РВР дамба), при этом защищено 42 дворов;</w:t>
      </w:r>
    </w:p>
    <w:p>
      <w:pPr>
        <w:spacing w:after="120"/>
        <w:jc w:val="both"/>
      </w:pPr>
      <w:r>
        <w:rPr>
          <w:rFonts w:ascii="Arial" w:cs="Arial" w:eastAsia="Arial" w:hAnsi="Arial"/>
          <w:sz w:val="24"/>
          <w:szCs w:val="24"/>
        </w:rPr>
        <w:t xml:space="preserve">6. "АВР по БУР в с.Озгорущ, Бакай-Атинского района" - 2,0 млн. сомов (мощность 94 м дамба), при этом защищено 15 дворов, 2 га с/угодий;</w:t>
      </w:r>
    </w:p>
    <w:p>
      <w:pPr>
        <w:spacing w:after="120"/>
        <w:jc w:val="both"/>
      </w:pPr>
      <w:r>
        <w:rPr>
          <w:rFonts w:ascii="Arial" w:cs="Arial" w:eastAsia="Arial" w:hAnsi="Arial"/>
          <w:sz w:val="24"/>
          <w:szCs w:val="24"/>
        </w:rPr>
        <w:t xml:space="preserve">7. "АВР по ПУГВ в с.Аманбаево Кара-Буринского района" - 8,1 млн. сомов (мощность 0,63 км открытый, 1,023 км закрытый дрен), при этом защищено 130 дворов, 2 га с/угодий и 1 школа.</w:t>
      </w:r>
    </w:p>
    <w:p>
      <w:pPr>
        <w:spacing w:after="120"/>
        <w:jc w:val="both"/>
      </w:pPr>
      <w:r>
        <w:rPr>
          <w:rFonts w:ascii="Arial" w:cs="Arial" w:eastAsia="Arial" w:hAnsi="Arial"/>
          <w:sz w:val="24"/>
          <w:szCs w:val="24"/>
        </w:rPr>
        <w:t xml:space="preserve">По Чуйской области завершены работы на 5-ти объектах на сумму 23,2 млн. сомов, в том числе по объектам:</w:t>
      </w:r>
    </w:p>
    <w:p>
      <w:pPr>
        <w:spacing w:after="120"/>
        <w:jc w:val="both"/>
      </w:pPr>
      <w:r>
        <w:rPr>
          <w:rFonts w:ascii="Arial" w:cs="Arial" w:eastAsia="Arial" w:hAnsi="Arial"/>
          <w:sz w:val="24"/>
          <w:szCs w:val="24"/>
        </w:rPr>
        <w:t xml:space="preserve">1. "Временная защита населенных пунктов и г.Токмок, Чуйского района" - 8,5 млн. сом (мощность 854 пм РВР дамба), при этом защищено 182 дворов, 100 га с/угодий;</w:t>
      </w:r>
    </w:p>
    <w:p>
      <w:pPr>
        <w:spacing w:after="120"/>
        <w:jc w:val="both"/>
      </w:pPr>
      <w:r>
        <w:rPr>
          <w:rFonts w:ascii="Arial" w:cs="Arial" w:eastAsia="Arial" w:hAnsi="Arial"/>
          <w:sz w:val="24"/>
          <w:szCs w:val="24"/>
        </w:rPr>
        <w:t xml:space="preserve">2. "Защитная дамба на реке Бурана с.Кара-Ой-2, Чуйского района" - 3,7 млн. сомов (мощность 418 пм РВР дамба), при этом защищено 12 дворов, 50 га с/угодий;</w:t>
      </w:r>
    </w:p>
    <w:p>
      <w:pPr>
        <w:spacing w:after="120"/>
        <w:jc w:val="both"/>
      </w:pPr>
      <w:r>
        <w:rPr>
          <w:rFonts w:ascii="Arial" w:cs="Arial" w:eastAsia="Arial" w:hAnsi="Arial"/>
          <w:sz w:val="24"/>
          <w:szCs w:val="24"/>
        </w:rPr>
        <w:t xml:space="preserve">3. "Защита с.Кичи-Кемин от паводковых вод р.Кичи-Кемин, Кеминского района" - 2,9 млн. сомов (мощность 515 м дамба), при этом защищено 30 дворов;</w:t>
      </w:r>
    </w:p>
    <w:p>
      <w:pPr>
        <w:spacing w:after="120"/>
        <w:jc w:val="both"/>
      </w:pPr>
      <w:r>
        <w:rPr>
          <w:rFonts w:ascii="Arial" w:cs="Arial" w:eastAsia="Arial" w:hAnsi="Arial"/>
          <w:sz w:val="24"/>
          <w:szCs w:val="24"/>
        </w:rPr>
        <w:t xml:space="preserve">4. "Берегозащитная дамба на реке Сары-Жыгач с.Нижняя-Серофимовка, Чуйского района" - 1,1 млн. сомов (мощность 500 пм РВР дамба), при этом защищено 35 дворов;</w:t>
      </w:r>
    </w:p>
    <w:p>
      <w:pPr>
        <w:spacing w:after="120"/>
        <w:jc w:val="both"/>
      </w:pPr>
      <w:r>
        <w:rPr>
          <w:rFonts w:ascii="Arial" w:cs="Arial" w:eastAsia="Arial" w:hAnsi="Arial"/>
          <w:sz w:val="24"/>
          <w:szCs w:val="24"/>
        </w:rPr>
        <w:t xml:space="preserve">5. "АВР по защите скотомогильника (очаг сибирской язвы от паводковых вод р.Чу в с.Камышановка Сокулукского района") - 5,2 млн. сомов (мощность 42 пм шпора), при этом защищен скотомогильник.</w:t>
      </w:r>
    </w:p>
    <w:p>
      <w:pPr>
        <w:spacing w:after="120"/>
        <w:jc w:val="both"/>
      </w:pPr>
      <w:r>
        <w:rPr>
          <w:rFonts w:ascii="Arial" w:cs="Arial" w:eastAsia="Arial" w:hAnsi="Arial"/>
          <w:sz w:val="24"/>
          <w:szCs w:val="24"/>
        </w:rPr>
        <w:t xml:space="preserve">По Ыссык-Кульской области завершены работы на 3-х объектах на сумму 17,5 млн. сомов, в том числе по объектам:</w:t>
      </w:r>
    </w:p>
    <w:p>
      <w:pPr>
        <w:spacing w:after="120"/>
        <w:jc w:val="both"/>
      </w:pPr>
      <w:r>
        <w:rPr>
          <w:rFonts w:ascii="Arial" w:cs="Arial" w:eastAsia="Arial" w:hAnsi="Arial"/>
          <w:sz w:val="24"/>
          <w:szCs w:val="24"/>
        </w:rPr>
        <w:t xml:space="preserve">1. "Реконструкция защитной дамбы, г.Балыкчы" - 7,8 млн. сомов (мощность 400 пм дамба), при этом защищено 250 дворов, 1 мкр.;</w:t>
      </w:r>
    </w:p>
    <w:p>
      <w:pPr>
        <w:spacing w:after="120"/>
        <w:jc w:val="both"/>
      </w:pPr>
      <w:r>
        <w:rPr>
          <w:rFonts w:ascii="Arial" w:cs="Arial" w:eastAsia="Arial" w:hAnsi="Arial"/>
          <w:sz w:val="24"/>
          <w:szCs w:val="24"/>
        </w:rPr>
        <w:t xml:space="preserve">2. "Защитная дамба в с.Тору-Айгыр, Ыссык-Кульского района" - 4,1 млн. сомов (мощность 174 пм РВР дамба), при этом защищено 502 дворов, 879 га с/угодий";</w:t>
      </w:r>
    </w:p>
    <w:p>
      <w:pPr>
        <w:spacing w:after="120"/>
        <w:jc w:val="both"/>
      </w:pPr>
      <w:r>
        <w:rPr>
          <w:rFonts w:ascii="Arial" w:cs="Arial" w:eastAsia="Arial" w:hAnsi="Arial"/>
          <w:sz w:val="24"/>
          <w:szCs w:val="24"/>
        </w:rPr>
        <w:t xml:space="preserve">3. "АВР по защите г.Каракол по ул.Токтогула (левый берег), г.Каракол" - 5,5 млн. сомов (мощность 212 пм дамба), при этом защищено - 10 ж/д, опора ЛЭП-35.</w:t>
      </w:r>
    </w:p>
    <w:p>
      <w:pPr>
        <w:spacing w:after="120"/>
        <w:jc w:val="both"/>
      </w:pPr>
      <w:r>
        <w:rPr>
          <w:rFonts w:ascii="Arial" w:cs="Arial" w:eastAsia="Arial" w:hAnsi="Arial"/>
          <w:sz w:val="24"/>
          <w:szCs w:val="24"/>
        </w:rPr>
        <w:t xml:space="preserve">Также, по линии Управлению "Сельводзащита" МЧС КР в целях подготовки к паводковому периоду в 2012 года выполнено заготовка аварийного запаса следующих материалов (на 45-ти участках) на сумму 3,9 млн. сомов, в том числе: мешки - 30200 шт. на сумму 0.2 млн. сомов; песок - 75 куб.м; рваный камень - 1982 куб.м на сумму 3,8 млн. сомов (Баткенской - 500 куб.м на сумму 0,8 млн. сомов, Жалал-Абадской - 800 куб.м на сумму 1,6 млн. сомов, Ошской - 450 куб.м на сумму 0,7 млн. сомов, Чуйской - 200 куб.м на сумму 240,0 тыс. сомов, Таласской - 32 куб.м на сумму 0,05 млн. сомов и песок - 75 куб.м на сумму 0,05 млн. сомов).</w:t>
      </w:r>
    </w:p>
    <w:p>
      <w:pPr>
        <w:spacing w:after="120"/>
        <w:jc w:val="both"/>
      </w:pPr>
      <w:r>
        <w:rPr>
          <w:rFonts w:ascii="Arial" w:cs="Arial" w:eastAsia="Arial" w:hAnsi="Arial"/>
          <w:sz w:val="24"/>
          <w:szCs w:val="24"/>
        </w:rPr>
        <w:t xml:space="preserve">Государственное агентство охраны окружающей среды и лесного хозяйства при Правительстве Кыргызской Республики (подведомственные учреждения)</w:t>
      </w:r>
    </w:p>
    <w:p>
      <w:pPr>
        <w:spacing w:after="120"/>
        <w:jc w:val="both"/>
      </w:pPr>
      <w:r>
        <w:rPr>
          <w:rFonts w:ascii="Arial" w:cs="Arial" w:eastAsia="Arial" w:hAnsi="Arial"/>
          <w:sz w:val="24"/>
          <w:szCs w:val="24"/>
        </w:rPr>
        <w:t xml:space="preserve">Республиканским бюджетом на 2012 год подведомственным организациям Государственного агентства охраны окружающей среды и лесного хозяйства Кыргызской Республики было предусмотрено 467,8 млн. сомов, из них бюджетных средств - 197,1 млн. сомов и по специальным средствам - 270,8 млн. сомов.</w:t>
      </w:r>
    </w:p>
    <w:p>
      <w:pPr>
        <w:spacing w:after="120"/>
        <w:jc w:val="both"/>
      </w:pPr>
      <w:r>
        <w:rPr>
          <w:rFonts w:ascii="Arial" w:cs="Arial" w:eastAsia="Arial" w:hAnsi="Arial"/>
          <w:sz w:val="24"/>
          <w:szCs w:val="24"/>
        </w:rPr>
        <w:t xml:space="preserve">Исполнение республиканского бюджета по Государственному агентству охраны окружающей среды и лесного хозяйства Кыргызской Республики (подведомственные учреждения) составило - 443,8 млн. сомов, из них по бюджетным средствам - 196,8 млн. сомов и специальным средствам - 247,0 млн. сомов.</w:t>
      </w:r>
    </w:p>
    <w:p>
      <w:pPr>
        <w:spacing w:after="120"/>
        <w:jc w:val="both"/>
      </w:pPr>
      <w:r>
        <w:rPr>
          <w:rFonts w:ascii="Arial" w:cs="Arial" w:eastAsia="Arial" w:hAnsi="Arial"/>
          <w:sz w:val="24"/>
          <w:szCs w:val="24"/>
        </w:rPr>
        <w:t xml:space="preserve">Выделенные средства были направлены на содержании подведомственной организации Государственного агентства охраны окружающей среды и лесного хозяйства при Правительстве Кыргызской Республики и реализацию программы "Обеспечение экологической устойчивости". Целью данной программы является разработка и реализация единой государственной политики и основных направлений развития в области охраны окружающей среды, сохранения биоразнообразия, лесных экосистем, развития сети особо охраняемых природных территорий, рационального природопользования и обеспечения экологической безопасности государства.</w:t>
      </w:r>
    </w:p>
    <w:p>
      <w:pPr>
        <w:spacing w:after="120"/>
        <w:jc w:val="both"/>
      </w:pPr>
      <w:r>
        <w:rPr>
          <w:rFonts w:ascii="Arial" w:cs="Arial" w:eastAsia="Arial" w:hAnsi="Arial"/>
          <w:sz w:val="24"/>
          <w:szCs w:val="24"/>
        </w:rPr>
        <w:t xml:space="preserve">ГП "Кыргызский жилищно-коммунальный союз"</w:t>
      </w:r>
    </w:p>
    <w:p>
      <w:pPr>
        <w:spacing w:after="120"/>
        <w:jc w:val="both"/>
      </w:pPr>
      <w:r>
        <w:rPr>
          <w:rFonts w:ascii="Arial" w:cs="Arial" w:eastAsia="Arial" w:hAnsi="Arial"/>
          <w:sz w:val="24"/>
          <w:szCs w:val="24"/>
        </w:rPr>
        <w:t xml:space="preserve">За отчетный период котельными ГП "Кыргызский жилищно-коммунальный союз", выработано 508,6 тыс. Гкал тепловой энергии, что на 30,1 тыс. Гкал меньше прогнозных параметров 2012 года и на 62 тыс. Гкал меньше по сравнению с 2011 годом. При снижении объемов выработки тепловой энергии отмечается рост затрат на выработку и реализацию тепловой энергии.</w:t>
      </w:r>
    </w:p>
    <w:p>
      <w:pPr>
        <w:spacing w:after="120"/>
        <w:jc w:val="both"/>
      </w:pPr>
      <w:r>
        <w:rPr>
          <w:rFonts w:ascii="Arial" w:cs="Arial" w:eastAsia="Arial" w:hAnsi="Arial"/>
          <w:sz w:val="24"/>
          <w:szCs w:val="24"/>
        </w:rPr>
        <w:t xml:space="preserve">В целом затраты на выработку тепловой энергии в 2012 году увеличены по сравнению с 2011 годом на 1,5 млн. сомов, а на единицу вырабатываемой тепловой энергии на 407,8 сом, себестоимость 1 Гкал реализуемой тепловой энергии увеличена в 2012 году по сравнению с 2011 годом на 402 сом.</w:t>
      </w:r>
    </w:p>
    <w:p>
      <w:pPr>
        <w:spacing w:after="120"/>
        <w:jc w:val="both"/>
      </w:pPr>
      <w:r>
        <w:rPr>
          <w:rFonts w:ascii="Arial" w:cs="Arial" w:eastAsia="Arial" w:hAnsi="Arial"/>
          <w:sz w:val="24"/>
          <w:szCs w:val="24"/>
        </w:rPr>
        <w:t xml:space="preserve">Полезный отпуск тепловой энергии населению составил 258,6 тыс. Гкал тепловой энергии, на сумму 186,0 млн. сомов, что на 21,4 тыс. Гкал и 15 млн. сомов соответственно меньше прошлого года. Полезный отпуск тепловой энергии в 2011 году составил 74,1 процента. Потери тепловой энергии в 2012 году составили 132,8 Гкал, или 25,9 процентов от объема тепловой энергии поданной в сети.</w:t>
      </w:r>
    </w:p>
    <w:p>
      <w:pPr>
        <w:spacing w:after="120"/>
        <w:jc w:val="both"/>
      </w:pPr>
      <w:r>
        <w:rPr>
          <w:rFonts w:ascii="Arial" w:cs="Arial" w:eastAsia="Arial" w:hAnsi="Arial"/>
          <w:sz w:val="24"/>
          <w:szCs w:val="24"/>
        </w:rPr>
        <w:t xml:space="preserve">При неизменности установленного отпускного тарифа на тепловую энергию для населения (715 сом за 1 Гкал) рост затрат привел к увеличению общих расходов и росту объема субсидий на тепловую энергию на сумму 20,5 млн. сом.</w:t>
      </w:r>
    </w:p>
    <w:p>
      <w:pPr>
        <w:spacing w:after="120"/>
        <w:jc w:val="both"/>
      </w:pPr>
      <w:r>
        <w:rPr>
          <w:rFonts w:ascii="Arial" w:cs="Arial" w:eastAsia="Arial" w:hAnsi="Arial"/>
          <w:sz w:val="24"/>
          <w:szCs w:val="24"/>
        </w:rPr>
        <w:t xml:space="preserve">Республиканским бюджетом на 2012 год ГП "Кыргызский жилищно-коммунальный союз" на субсидирование расходов по выработке и отпуску населению тепловой энергии по социально защищенным тарифам было предусмотрено 738,2 млн. сомов.</w:t>
      </w:r>
    </w:p>
    <w:p>
      <w:pPr>
        <w:spacing w:after="120"/>
        <w:jc w:val="both"/>
      </w:pPr>
      <w:r>
        <w:rPr>
          <w:rFonts w:ascii="Arial" w:cs="Arial" w:eastAsia="Arial" w:hAnsi="Arial"/>
          <w:sz w:val="24"/>
          <w:szCs w:val="24"/>
        </w:rPr>
        <w:t xml:space="preserve">Уточненный бюджет ГП "Кыргызский жилищно-коммунальный союз" на 2011 год составил 1093,3 млн. сомов. Фактически выделено 1093,3 млн. сомов или 100 процентов от годового плана. За счет указанных средств ГП "Кыргызский жилищно-коммунальный союз" осуществлена оплата:</w:t>
      </w:r>
    </w:p>
    <w:p>
      <w:pPr>
        <w:spacing w:after="120"/>
        <w:jc w:val="both"/>
      </w:pPr>
      <w:r>
        <w:rPr>
          <w:rFonts w:ascii="Arial" w:cs="Arial" w:eastAsia="Arial" w:hAnsi="Arial"/>
          <w:sz w:val="24"/>
          <w:szCs w:val="24"/>
        </w:rPr>
        <w:t xml:space="preserve">- природного газа - 465 млн. сомов;</w:t>
      </w:r>
    </w:p>
    <w:p>
      <w:pPr>
        <w:spacing w:after="120"/>
        <w:jc w:val="both"/>
      </w:pPr>
      <w:r>
        <w:rPr>
          <w:rFonts w:ascii="Arial" w:cs="Arial" w:eastAsia="Arial" w:hAnsi="Arial"/>
          <w:sz w:val="24"/>
          <w:szCs w:val="24"/>
        </w:rPr>
        <w:t xml:space="preserve">- мазута - 224,3 млн. сомов;</w:t>
      </w:r>
    </w:p>
    <w:p>
      <w:pPr>
        <w:spacing w:after="120"/>
        <w:jc w:val="both"/>
      </w:pPr>
      <w:r>
        <w:rPr>
          <w:rFonts w:ascii="Arial" w:cs="Arial" w:eastAsia="Arial" w:hAnsi="Arial"/>
          <w:sz w:val="24"/>
          <w:szCs w:val="24"/>
        </w:rPr>
        <w:t xml:space="preserve">- угля - 94,3 млн. сомов;</w:t>
      </w:r>
    </w:p>
    <w:p>
      <w:pPr>
        <w:spacing w:after="120"/>
        <w:jc w:val="both"/>
      </w:pPr>
      <w:r>
        <w:rPr>
          <w:rFonts w:ascii="Arial" w:cs="Arial" w:eastAsia="Arial" w:hAnsi="Arial"/>
          <w:sz w:val="24"/>
          <w:szCs w:val="24"/>
        </w:rPr>
        <w:t xml:space="preserve">- электроэнергии - 38,3 млн. сомов;</w:t>
      </w:r>
    </w:p>
    <w:p>
      <w:pPr>
        <w:spacing w:after="120"/>
        <w:jc w:val="both"/>
      </w:pPr>
      <w:r>
        <w:rPr>
          <w:rFonts w:ascii="Arial" w:cs="Arial" w:eastAsia="Arial" w:hAnsi="Arial"/>
          <w:sz w:val="24"/>
          <w:szCs w:val="24"/>
        </w:rPr>
        <w:t xml:space="preserve">- покрытие затрат - 27,7 млн. сомов;</w:t>
      </w:r>
    </w:p>
    <w:p>
      <w:pPr>
        <w:spacing w:after="120"/>
        <w:jc w:val="both"/>
      </w:pPr>
      <w:r>
        <w:rPr>
          <w:rFonts w:ascii="Arial" w:cs="Arial" w:eastAsia="Arial" w:hAnsi="Arial"/>
          <w:sz w:val="24"/>
          <w:szCs w:val="24"/>
        </w:rPr>
        <w:t xml:space="preserve">- расходов по транспортировке - 12,4 млн. сомов;</w:t>
      </w:r>
    </w:p>
    <w:p>
      <w:pPr>
        <w:spacing w:after="120"/>
        <w:jc w:val="both"/>
      </w:pPr>
      <w:r>
        <w:rPr>
          <w:rFonts w:ascii="Arial" w:cs="Arial" w:eastAsia="Arial" w:hAnsi="Arial"/>
          <w:sz w:val="24"/>
          <w:szCs w:val="24"/>
        </w:rPr>
        <w:t xml:space="preserve">- погашение ссуды - 200 млн. сомов и другие расходы.</w:t>
      </w:r>
    </w:p>
    <w:p>
      <w:pPr>
        <w:spacing w:after="120"/>
        <w:jc w:val="both"/>
      </w:pPr>
      <w:r>
        <w:rPr>
          <w:rFonts w:ascii="Arial" w:cs="Arial" w:eastAsia="Arial" w:hAnsi="Arial"/>
          <w:sz w:val="24"/>
          <w:szCs w:val="24"/>
        </w:rPr>
        <w:t xml:space="preserve">Фонд государственных материальных резервов при Правительстве</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Для осуществления деятельности Фонду государственных материальных резервов при Правительстве Кыргызской Республики утвержденным республиканским бюджетом на 2012 год было предусмотрено - 261,3 млн. сомов, в том числе бюджетных средств - 200,0 млн. сомов, специальных средств - 61,3 млн. сомов.</w:t>
      </w:r>
    </w:p>
    <w:p>
      <w:pPr>
        <w:spacing w:after="120"/>
        <w:jc w:val="both"/>
      </w:pPr>
      <w:r>
        <w:rPr>
          <w:rFonts w:ascii="Arial" w:cs="Arial" w:eastAsia="Arial" w:hAnsi="Arial"/>
          <w:sz w:val="24"/>
          <w:szCs w:val="24"/>
        </w:rPr>
        <w:t xml:space="preserve">При внесении изменений и дополнений в </w:t>
      </w:r>
      <w:hyperlink w:history="1" r:id="rIdgmrofb-obvffm3mtcwnq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 Кыргызской Республики на 2013 год и прогнозе на 2014-2015 годы" на закупку зерна продовольственной пшеницы дополнительно выделено 156,0 млн. сомов, при этом уточненный бюджет составил 356,0 млн. сомов.</w:t>
      </w:r>
    </w:p>
    <w:p>
      <w:pPr>
        <w:spacing w:after="120"/>
        <w:jc w:val="both"/>
      </w:pPr>
      <w:r>
        <w:rPr>
          <w:rFonts w:ascii="Arial" w:cs="Arial" w:eastAsia="Arial" w:hAnsi="Arial"/>
          <w:sz w:val="24"/>
          <w:szCs w:val="24"/>
        </w:rPr>
        <w:t xml:space="preserve">Специальные средства Фонда государственных материальных резервов при ПКР в связи с недопоступлением планируемых средств уменьшены на 1,9 млн. сомов и составили 59,4 млн. сомов.</w:t>
      </w:r>
    </w:p>
    <w:p>
      <w:pPr>
        <w:spacing w:after="120"/>
        <w:jc w:val="both"/>
      </w:pPr>
      <w:r>
        <w:rPr>
          <w:rFonts w:ascii="Arial" w:cs="Arial" w:eastAsia="Arial" w:hAnsi="Arial"/>
          <w:sz w:val="24"/>
          <w:szCs w:val="24"/>
        </w:rPr>
        <w:t xml:space="preserve">Фактические расходы в 2012 году составили 411,6 млн. сомов, из них бюджетные средства 356,0 млн. сомов, специальные средства 55,6 млн. сомов.</w:t>
      </w:r>
    </w:p>
    <w:p>
      <w:pPr>
        <w:spacing w:after="120"/>
        <w:jc w:val="both"/>
      </w:pPr>
      <w:r>
        <w:rPr>
          <w:rFonts w:ascii="Arial" w:cs="Arial" w:eastAsia="Arial" w:hAnsi="Arial"/>
          <w:sz w:val="24"/>
          <w:szCs w:val="24"/>
        </w:rPr>
        <w:t xml:space="preserve">Выделенные бюджетные средства направлены:</w:t>
      </w:r>
    </w:p>
    <w:p>
      <w:pPr>
        <w:spacing w:after="120"/>
        <w:jc w:val="both"/>
      </w:pPr>
      <w:r>
        <w:rPr>
          <w:rFonts w:ascii="Arial" w:cs="Arial" w:eastAsia="Arial" w:hAnsi="Arial"/>
          <w:sz w:val="24"/>
          <w:szCs w:val="24"/>
        </w:rPr>
        <w:t xml:space="preserve">- на оплату услуг по хранению и переработке зерна предприятиям-ответхранителям в сумме 20,4 млн. сомов;</w:t>
      </w:r>
    </w:p>
    <w:p>
      <w:pPr>
        <w:spacing w:after="120"/>
        <w:jc w:val="both"/>
      </w:pPr>
      <w:r>
        <w:rPr>
          <w:rFonts w:ascii="Arial" w:cs="Arial" w:eastAsia="Arial" w:hAnsi="Arial"/>
          <w:sz w:val="24"/>
          <w:szCs w:val="24"/>
        </w:rPr>
        <w:t xml:space="preserve">- на закупку ячменя, согласно постановления Правительства Кыргызской Республики от 24 марта 2012 года 100-р в сумме 12,0 млн. сомов;</w:t>
      </w:r>
    </w:p>
    <w:p>
      <w:pPr>
        <w:spacing w:after="120"/>
        <w:jc w:val="both"/>
      </w:pPr>
      <w:r>
        <w:rPr>
          <w:rFonts w:ascii="Arial" w:cs="Arial" w:eastAsia="Arial" w:hAnsi="Arial"/>
          <w:sz w:val="24"/>
          <w:szCs w:val="24"/>
        </w:rPr>
        <w:t xml:space="preserve">- на закупку сахара согласно Протокольного поручения от 27 июля 2010 года № 19-984 в сумме 23,4 млн. сомов;</w:t>
      </w:r>
    </w:p>
    <w:p>
      <w:pPr>
        <w:spacing w:after="120"/>
        <w:jc w:val="both"/>
      </w:pPr>
      <w:r>
        <w:rPr>
          <w:rFonts w:ascii="Arial" w:cs="Arial" w:eastAsia="Arial" w:hAnsi="Arial"/>
          <w:sz w:val="24"/>
          <w:szCs w:val="24"/>
        </w:rPr>
        <w:t xml:space="preserve">- согласно распоряжения Правительства Кыргызской Республики от 27 марта 2012 года № 109-р в сумме 2,5 млн. сомов;</w:t>
      </w:r>
    </w:p>
    <w:p>
      <w:pPr>
        <w:spacing w:after="120"/>
        <w:jc w:val="both"/>
      </w:pPr>
      <w:r>
        <w:rPr>
          <w:rFonts w:ascii="Arial" w:cs="Arial" w:eastAsia="Arial" w:hAnsi="Arial"/>
          <w:sz w:val="24"/>
          <w:szCs w:val="24"/>
        </w:rPr>
        <w:t xml:space="preserve">- согласно распоряжения Правительства Кыргызской Республики от 13 июня 2012 года № 269 в сумме 1,4 млн. сомов;</w:t>
      </w:r>
    </w:p>
    <w:p>
      <w:pPr>
        <w:spacing w:after="120"/>
        <w:jc w:val="both"/>
      </w:pPr>
      <w:r>
        <w:rPr>
          <w:rFonts w:ascii="Arial" w:cs="Arial" w:eastAsia="Arial" w:hAnsi="Arial"/>
          <w:sz w:val="24"/>
          <w:szCs w:val="24"/>
        </w:rPr>
        <w:t xml:space="preserve">- согласно распоряжения Правительства Кыргызской Республики от 19 октября 2012 года № 507 в сумме 2,5 млн. сомов;</w:t>
      </w:r>
    </w:p>
    <w:p>
      <w:pPr>
        <w:spacing w:after="120"/>
        <w:jc w:val="both"/>
      </w:pPr>
      <w:r>
        <w:rPr>
          <w:rFonts w:ascii="Arial" w:cs="Arial" w:eastAsia="Arial" w:hAnsi="Arial"/>
          <w:sz w:val="24"/>
          <w:szCs w:val="24"/>
        </w:rPr>
        <w:t xml:space="preserve">- согласно распоряжения Правительства Кыргызской Республики от 16 июля 2012 года № 349 в сумме 2,7 млн. сомов;</w:t>
      </w:r>
    </w:p>
    <w:p>
      <w:pPr>
        <w:spacing w:after="120"/>
        <w:jc w:val="both"/>
      </w:pPr>
      <w:r>
        <w:rPr>
          <w:rFonts w:ascii="Arial" w:cs="Arial" w:eastAsia="Arial" w:hAnsi="Arial"/>
          <w:sz w:val="24"/>
          <w:szCs w:val="24"/>
        </w:rPr>
        <w:t xml:space="preserve">- на закупку зерна согласно постановления Правительства Кыргызской Республики от 15 июня 2012 года № 418 и поручения Вице-премьер-министра Кыргызской Республики от 17 декабря 2012 года № 19-53/24 в сумме 290,0 млн. сомов.</w:t>
      </w:r>
    </w:p>
    <w:p>
      <w:pPr>
        <w:spacing w:after="120"/>
        <w:jc w:val="both"/>
      </w:pPr>
      <w:r>
        <w:rPr>
          <w:rFonts w:ascii="Arial" w:cs="Arial" w:eastAsia="Arial" w:hAnsi="Arial"/>
          <w:sz w:val="24"/>
          <w:szCs w:val="24"/>
        </w:rPr>
        <w:t xml:space="preserve">Государственное агентство Кыргызской Республики по геологии и минеральным ресурсам (подведомственные учреждения)</w:t>
      </w:r>
    </w:p>
    <w:p>
      <w:pPr>
        <w:spacing w:after="120"/>
        <w:jc w:val="both"/>
      </w:pPr>
      <w:r>
        <w:rPr>
          <w:rFonts w:ascii="Arial" w:cs="Arial" w:eastAsia="Arial" w:hAnsi="Arial"/>
          <w:sz w:val="24"/>
          <w:szCs w:val="24"/>
        </w:rPr>
        <w:t xml:space="preserve">Геологоразведочная работа</w:t>
      </w:r>
    </w:p>
    <w:p>
      <w:pPr>
        <w:spacing w:after="120"/>
        <w:jc w:val="both"/>
      </w:pPr>
      <w:r>
        <w:rPr>
          <w:rFonts w:ascii="Arial" w:cs="Arial" w:eastAsia="Arial" w:hAnsi="Arial"/>
          <w:sz w:val="24"/>
          <w:szCs w:val="24"/>
        </w:rPr>
        <w:t xml:space="preserve">В 2012 году республиканским бюджетом подведомственным учреждениям Государственного агентства Кыргызской Республики по геологии и минеральным ресурсам на проведение геологоразведочных работ было предусмотрено 34,3 млн. сомов.</w:t>
      </w:r>
    </w:p>
    <w:p>
      <w:pPr>
        <w:spacing w:after="120"/>
        <w:jc w:val="both"/>
      </w:pPr>
      <w:r>
        <w:rPr>
          <w:rFonts w:ascii="Arial" w:cs="Arial" w:eastAsia="Arial" w:hAnsi="Arial"/>
          <w:sz w:val="24"/>
          <w:szCs w:val="24"/>
        </w:rPr>
        <w:t xml:space="preserve">Уточненный бюджет на 2012 год по подведомственным учреждениям Государственного агентства Кыргызской Республики по геологии и минеральным ресурсам составил 33,7 млн. сомов.</w:t>
      </w:r>
    </w:p>
    <w:p>
      <w:pPr>
        <w:spacing w:after="120"/>
        <w:jc w:val="both"/>
      </w:pPr>
      <w:r>
        <w:rPr>
          <w:rFonts w:ascii="Arial" w:cs="Arial" w:eastAsia="Arial" w:hAnsi="Arial"/>
          <w:sz w:val="24"/>
          <w:szCs w:val="24"/>
        </w:rPr>
        <w:t xml:space="preserve">Подведомственные предприятия Государственного агентства Кыргызской Республики по геологии и минеральным ресурсам занимаются проведением геологоразведочных работ и выполняют в форме госзаказа конкретные геологические задания в соответствии со спецификой их деятельности. Финансирование геологоразведочных работ проводится по статье "Приобретение прочих услуг".</w:t>
      </w:r>
    </w:p>
    <w:p>
      <w:pPr>
        <w:spacing w:after="120"/>
        <w:jc w:val="both"/>
      </w:pPr>
      <w:r>
        <w:rPr>
          <w:rFonts w:ascii="Arial" w:cs="Arial" w:eastAsia="Arial" w:hAnsi="Arial"/>
          <w:sz w:val="24"/>
          <w:szCs w:val="24"/>
        </w:rPr>
        <w:t xml:space="preserve">За 2012 год выполнено геологоразведочных работ на сумму 33,7 млн. сомов, их них:</w:t>
      </w:r>
    </w:p>
    <w:p>
      <w:pPr>
        <w:spacing w:after="120"/>
        <w:jc w:val="both"/>
      </w:pPr>
      <w:r>
        <w:rPr>
          <w:rFonts w:ascii="Arial" w:cs="Arial" w:eastAsia="Arial" w:hAnsi="Arial"/>
          <w:sz w:val="24"/>
          <w:szCs w:val="24"/>
        </w:rPr>
        <w:t xml:space="preserve">- геологоразведочные работы всего - 29,1 млн. сомов, из них по видам полезных ископаемых (стадиям): цветные и редкие металлы - 2,9 млн. сомов; благородные металлы - 3,3 млн. сомов; неметаллы - 1,5 млн. сомов; гидрогеологические работы - 7,0 млн. сомов; общие поиски - 14,3 млн. сомов;</w:t>
      </w:r>
    </w:p>
    <w:p>
      <w:pPr>
        <w:spacing w:after="120"/>
        <w:jc w:val="both"/>
      </w:pPr>
      <w:r>
        <w:rPr>
          <w:rFonts w:ascii="Arial" w:cs="Arial" w:eastAsia="Arial" w:hAnsi="Arial"/>
          <w:sz w:val="24"/>
          <w:szCs w:val="24"/>
        </w:rPr>
        <w:t xml:space="preserve">- НДС - 3,5 млн. сомов, регрессные иски - 0,6 млн. сомов, налог с продаж - 0,6 млн. сомов.</w:t>
      </w:r>
    </w:p>
    <w:p>
      <w:pPr>
        <w:spacing w:after="120"/>
        <w:jc w:val="both"/>
      </w:pPr>
      <w:r>
        <w:rPr>
          <w:rFonts w:ascii="Arial" w:cs="Arial" w:eastAsia="Arial" w:hAnsi="Arial"/>
          <w:sz w:val="24"/>
          <w:szCs w:val="24"/>
        </w:rPr>
        <w:t xml:space="preserve">Фактические расходы по статье "Приобретение прочих услуг" направлены на:</w:t>
      </w:r>
    </w:p>
    <w:p>
      <w:pPr>
        <w:spacing w:after="120"/>
        <w:jc w:val="both"/>
      </w:pPr>
      <w:r>
        <w:rPr>
          <w:rFonts w:ascii="Arial" w:cs="Arial" w:eastAsia="Arial" w:hAnsi="Arial"/>
          <w:sz w:val="24"/>
          <w:szCs w:val="24"/>
        </w:rPr>
        <w:t xml:space="preserve">- заработную плату - 19,6 млн. сомов;</w:t>
      </w:r>
    </w:p>
    <w:p>
      <w:pPr>
        <w:spacing w:after="120"/>
        <w:jc w:val="both"/>
      </w:pPr>
      <w:r>
        <w:rPr>
          <w:rFonts w:ascii="Arial" w:cs="Arial" w:eastAsia="Arial" w:hAnsi="Arial"/>
          <w:sz w:val="24"/>
          <w:szCs w:val="24"/>
        </w:rPr>
        <w:t xml:space="preserve">- отчисления в Социальный фонд - 3,4 млн. сомов;</w:t>
      </w:r>
    </w:p>
    <w:p>
      <w:pPr>
        <w:spacing w:after="120"/>
        <w:jc w:val="both"/>
      </w:pPr>
      <w:r>
        <w:rPr>
          <w:rFonts w:ascii="Arial" w:cs="Arial" w:eastAsia="Arial" w:hAnsi="Arial"/>
          <w:sz w:val="24"/>
          <w:szCs w:val="24"/>
        </w:rPr>
        <w:t xml:space="preserve">- приобретение прочих услуг - 10,7 млн. сомов, в том числе на оплату налогов - 4,1 млн. сомов, регрессных исков - 0,5 млн. сомов, на приобретение материалов и услуг - 6,1 млн. сомов.</w:t>
      </w:r>
    </w:p>
    <w:p>
      <w:pPr>
        <w:spacing w:after="120"/>
        <w:jc w:val="both"/>
      </w:pPr>
      <w:r>
        <w:rPr>
          <w:rFonts w:ascii="Arial" w:cs="Arial" w:eastAsia="Arial" w:hAnsi="Arial"/>
          <w:sz w:val="24"/>
          <w:szCs w:val="24"/>
        </w:rPr>
        <w:t xml:space="preserve">Министерство сельского хозяйства и мелиорации Кыргызской Республики</w:t>
      </w:r>
    </w:p>
    <w:p>
      <w:pPr>
        <w:spacing w:after="120"/>
        <w:jc w:val="both"/>
      </w:pPr>
      <w:r>
        <w:rPr>
          <w:rFonts w:ascii="Arial" w:cs="Arial" w:eastAsia="Arial" w:hAnsi="Arial"/>
          <w:sz w:val="24"/>
          <w:szCs w:val="24"/>
        </w:rPr>
        <w:t xml:space="preserve">Бюджет Министерства сельского хозяйства и мелиорации Кыргызской Республики составлен на программной основе, бюджетные программы состоят из 4-х программ:</w:t>
      </w:r>
    </w:p>
    <w:p>
      <w:pPr>
        <w:spacing w:after="120"/>
        <w:jc w:val="both"/>
      </w:pPr>
      <w:r>
        <w:rPr>
          <w:rFonts w:ascii="Arial" w:cs="Arial" w:eastAsia="Arial" w:hAnsi="Arial"/>
          <w:sz w:val="24"/>
          <w:szCs w:val="24"/>
        </w:rPr>
        <w:t xml:space="preserve">- Программа № 1 "Планирование, управление и администрирование";</w:t>
      </w:r>
    </w:p>
    <w:p>
      <w:pPr>
        <w:spacing w:after="120"/>
        <w:jc w:val="both"/>
      </w:pPr>
      <w:r>
        <w:rPr>
          <w:rFonts w:ascii="Arial" w:cs="Arial" w:eastAsia="Arial" w:hAnsi="Arial"/>
          <w:sz w:val="24"/>
          <w:szCs w:val="24"/>
        </w:rPr>
        <w:t xml:space="preserve">- Программа № 2 "Государственная поддержка растениеводства";</w:t>
      </w:r>
    </w:p>
    <w:p>
      <w:pPr>
        <w:spacing w:after="120"/>
        <w:jc w:val="both"/>
      </w:pPr>
      <w:r>
        <w:rPr>
          <w:rFonts w:ascii="Arial" w:cs="Arial" w:eastAsia="Arial" w:hAnsi="Arial"/>
          <w:sz w:val="24"/>
          <w:szCs w:val="24"/>
        </w:rPr>
        <w:t xml:space="preserve">- Программа № 3 "Государственная поддержка животноводства";</w:t>
      </w:r>
    </w:p>
    <w:p>
      <w:pPr>
        <w:spacing w:after="120"/>
        <w:jc w:val="both"/>
      </w:pPr>
      <w:r>
        <w:rPr>
          <w:rFonts w:ascii="Arial" w:cs="Arial" w:eastAsia="Arial" w:hAnsi="Arial"/>
          <w:sz w:val="24"/>
          <w:szCs w:val="24"/>
        </w:rPr>
        <w:t xml:space="preserve">- Программа № 4 "Поддержка и развитие государственного ирригационного фонда и мелиорации".</w:t>
      </w:r>
    </w:p>
    <w:p>
      <w:pPr>
        <w:spacing w:after="120"/>
        <w:jc w:val="both"/>
      </w:pPr>
      <w:r>
        <w:rPr>
          <w:rFonts w:ascii="Arial" w:cs="Arial" w:eastAsia="Arial" w:hAnsi="Arial"/>
          <w:sz w:val="24"/>
          <w:szCs w:val="24"/>
        </w:rPr>
        <w:t xml:space="preserve">Республиканский бюджет за 2012 год исполнен в нижеследующих объемах:</w:t>
      </w:r>
    </w:p>
    <w:p>
      <w:pPr>
        <w:spacing w:after="120"/>
        <w:jc w:val="both"/>
      </w:pPr>
      <w:r>
        <w:rPr>
          <w:rFonts w:ascii="Arial" w:cs="Arial" w:eastAsia="Arial" w:hAnsi="Arial"/>
          <w:sz w:val="24"/>
          <w:szCs w:val="24"/>
        </w:rPr>
        <w:t xml:space="preserve">(тыс.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42"/>
        <w:gridCol w:w="1034"/>
        <w:gridCol w:w="1034"/>
        <w:gridCol w:w="1034"/>
        <w:gridCol w:w="1034"/>
      </w:tblGrid>
      <w:tr>
        <w:tc>
          <w:tcPr>
            <w:tcW w:type="dxa" w:w="604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Программы</w:t>
            </w:r>
          </w:p>
        </w:tc>
        <w:tc>
          <w:tcPr>
            <w:tcW w:type="dxa" w:w="103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w:t>
            </w:r>
          </w:p>
        </w:tc>
        <w:tc>
          <w:tcPr>
            <w:tcW w:type="dxa" w:w="103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03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Откл-е</w:t>
            </w:r>
          </w:p>
        </w:tc>
        <w:tc>
          <w:tcPr>
            <w:tcW w:type="dxa" w:w="103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вып.</w:t>
            </w:r>
          </w:p>
        </w:tc>
      </w:tr>
      <w:tr>
        <w:tc>
          <w:tcPr>
            <w:tcW w:type="dxa" w:w="60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по МСХиМ КР</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1052300,6</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1049479,2</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-2821,4</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99,7</w:t>
            </w:r>
          </w:p>
        </w:tc>
      </w:tr>
      <w:tr>
        <w:tc>
          <w:tcPr>
            <w:tcW w:type="dxa" w:w="60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1 "Планирование, управление и администрирование";</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66608,5</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66592,2</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60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2 "Государственная поддержка растениеводства</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135438,4</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135438,4</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60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3 "Государственная поддержка животноводства";</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177787,4</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177787,4</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60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4 "Поддержка и развитие государственного ирригационного фонда и мелиорации"</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672466,3</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669661,2</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-2805,1</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99,6</w:t>
            </w:r>
          </w:p>
        </w:tc>
      </w:tr>
    </w:tbl>
    <w:p>
      <w:pPr>
        <w:spacing w:after="120"/>
        <w:jc w:val="both"/>
      </w:pPr>
      <w:r>
        <w:rPr>
          <w:rFonts w:ascii="Arial" w:cs="Arial" w:eastAsia="Arial" w:hAnsi="Arial"/>
          <w:sz w:val="24"/>
          <w:szCs w:val="24"/>
        </w:rPr>
        <w:t xml:space="preserve">В первую бюджетную программу включены расходы Центрального аппарата - 81912,5 тыс. сомов и Районных управлений аграрного развития (40 районов) - 29596,0 тыс. сомов.</w:t>
      </w:r>
    </w:p>
    <w:p>
      <w:pPr>
        <w:spacing w:after="120"/>
        <w:jc w:val="both"/>
      </w:pPr>
      <w:r>
        <w:rPr>
          <w:rFonts w:ascii="Arial" w:cs="Arial" w:eastAsia="Arial" w:hAnsi="Arial"/>
          <w:sz w:val="24"/>
          <w:szCs w:val="24"/>
        </w:rPr>
        <w:t xml:space="preserve">Во вторую бюджетную программу включены расходы Департамента химизации и защиты растений - 28451,0 тыс. сомов, Департамента механизации и энергообеспечения 6024,2 тыс. сомов, Кыргызагробиоцентра - 8317,9 тыс. сомов, Республиканской государственной семенной инспекции - 15449,3 тыс. сомов, Государственного центра по сортоиспытанию сортов и генетическим ресурсам - 2666,5 тыс. сомов, Центра экспертизы зерна - 1302,5 тыс. сомов, ГПИ по землеустройству "Кыргызгипрозем" - 28327,0 тыс. сомов.</w:t>
      </w:r>
    </w:p>
    <w:p>
      <w:pPr>
        <w:spacing w:after="120"/>
        <w:jc w:val="both"/>
      </w:pPr>
      <w:r>
        <w:rPr>
          <w:rFonts w:ascii="Arial" w:cs="Arial" w:eastAsia="Arial" w:hAnsi="Arial"/>
          <w:sz w:val="24"/>
          <w:szCs w:val="24"/>
        </w:rPr>
        <w:t xml:space="preserve">В третью бюджетную программу включены расходы Департамента государственной ветеринарии - 73059,9 тыс. сомов, в состав которого входят: Республиканский центр ветеринарной диагностики - 62572,4 тыс. сомов, Противоэпизоотические мероприятия - 26620,3 тыс. сомов, Бишкекское городское государственное ветсануправление - 1941,6 тыс. сомов, Центр сертификации ветеринарных лекарственных средств 2029,3 тыс. сомов, Департамент пастбищ 2641,6 тыс. сомов, Департамент а рыбного хозяйства 6098,2 тыс. сомов, Государственный селекционно-племенной центр 2824,1 тыс. сомов.</w:t>
      </w:r>
    </w:p>
    <w:p>
      <w:pPr>
        <w:spacing w:after="120"/>
        <w:jc w:val="both"/>
      </w:pPr>
      <w:r>
        <w:rPr>
          <w:rFonts w:ascii="Arial" w:cs="Arial" w:eastAsia="Arial" w:hAnsi="Arial"/>
          <w:sz w:val="24"/>
          <w:szCs w:val="24"/>
        </w:rPr>
        <w:t xml:space="preserve">В четвертую бюджетную программу включены расходы Департамента водного хозяйства и мелиорации 669661,2 тыс. сомов.</w:t>
      </w:r>
    </w:p>
    <w:p>
      <w:pPr>
        <w:spacing w:after="120"/>
        <w:jc w:val="both"/>
      </w:pPr>
      <w:r>
        <w:rPr>
          <w:rFonts w:ascii="Arial" w:cs="Arial" w:eastAsia="Arial" w:hAnsi="Arial"/>
          <w:sz w:val="24"/>
          <w:szCs w:val="24"/>
        </w:rPr>
        <w:t xml:space="preserve">В 2012 году в соответствии с методическим руководством Министерства финансов Кыргызской Республики, Министерством сельского хозяйства и мелиорации Кыргызской Республики по каждой программе разработаны бюджетные меры и внедрены индикаторы результативности:</w:t>
      </w:r>
    </w:p>
    <w:p>
      <w:pPr>
        <w:spacing w:after="120"/>
        <w:jc w:val="both"/>
      </w:pPr>
      <w:r>
        <w:rPr>
          <w:rFonts w:ascii="Arial" w:cs="Arial" w:eastAsia="Arial" w:hAnsi="Arial"/>
          <w:sz w:val="24"/>
          <w:szCs w:val="24"/>
        </w:rPr>
        <w:t xml:space="preserve">I программа включает в себя следующее меры и их индикаторы:</w:t>
      </w:r>
    </w:p>
    <w:p>
      <w:pPr>
        <w:spacing w:after="120"/>
        <w:jc w:val="both"/>
      </w:pPr>
      <w:r>
        <w:rPr>
          <w:rFonts w:ascii="Arial" w:cs="Arial" w:eastAsia="Arial" w:hAnsi="Arial"/>
          <w:sz w:val="24"/>
          <w:szCs w:val="24"/>
        </w:rPr>
        <w:t xml:space="preserve">Бюджетная мера 1.1. Улучшение качества предоставления государственных услуг в аграрном секторе.</w:t>
      </w:r>
    </w:p>
    <w:p>
      <w:pPr>
        <w:spacing w:after="120"/>
        <w:jc w:val="both"/>
      </w:pPr>
      <w:r>
        <w:rPr>
          <w:rFonts w:ascii="Arial" w:cs="Arial" w:eastAsia="Arial" w:hAnsi="Arial"/>
          <w:sz w:val="24"/>
          <w:szCs w:val="24"/>
        </w:rPr>
        <w:t xml:space="preserve">Индикатор: создание сельхозкооперативов (шт.). При плане 410, фактически создано 416.</w:t>
      </w:r>
    </w:p>
    <w:p>
      <w:pPr>
        <w:spacing w:after="120"/>
        <w:jc w:val="both"/>
      </w:pPr>
      <w:r>
        <w:rPr>
          <w:rFonts w:ascii="Arial" w:cs="Arial" w:eastAsia="Arial" w:hAnsi="Arial"/>
          <w:sz w:val="24"/>
          <w:szCs w:val="24"/>
        </w:rPr>
        <w:t xml:space="preserve">Бюджетная мера 1.2. Координация развития аграрного сектора.</w:t>
      </w:r>
    </w:p>
    <w:p>
      <w:pPr>
        <w:spacing w:after="120"/>
        <w:jc w:val="both"/>
      </w:pPr>
      <w:r>
        <w:rPr>
          <w:rFonts w:ascii="Arial" w:cs="Arial" w:eastAsia="Arial" w:hAnsi="Arial"/>
          <w:sz w:val="24"/>
          <w:szCs w:val="24"/>
        </w:rPr>
        <w:t xml:space="preserve">Индикатор: Темпы роста производства сельскохозяйственной продукции (%). При плане 101,9, фактический % 101,2. Негативное влияние природных факторов: ранее наступление зимы не позволило завершить осеннюю посевную компанию, аномальные засушливые погодные условия, маловодье, ливневые дожди сопровождающиеся селевыми потоками нанесли ощутимый урон хозяйствующим субъектам.</w:t>
      </w:r>
    </w:p>
    <w:p>
      <w:pPr>
        <w:spacing w:after="120"/>
        <w:jc w:val="both"/>
      </w:pPr>
      <w:r>
        <w:rPr>
          <w:rFonts w:ascii="Arial" w:cs="Arial" w:eastAsia="Arial" w:hAnsi="Arial"/>
          <w:sz w:val="24"/>
          <w:szCs w:val="24"/>
        </w:rPr>
        <w:t xml:space="preserve">II программа включает в себя следующее меры и их индикаторы:</w:t>
      </w:r>
    </w:p>
    <w:p>
      <w:pPr>
        <w:spacing w:after="120"/>
        <w:jc w:val="both"/>
      </w:pPr>
      <w:r>
        <w:rPr>
          <w:rFonts w:ascii="Arial" w:cs="Arial" w:eastAsia="Arial" w:hAnsi="Arial"/>
          <w:sz w:val="24"/>
          <w:szCs w:val="24"/>
        </w:rPr>
        <w:t xml:space="preserve">Бюджетная мера 2.1. Проведение мероприятий по борьбе с болезнями растений и вредителям.</w:t>
      </w:r>
    </w:p>
    <w:p>
      <w:pPr>
        <w:spacing w:after="120"/>
        <w:jc w:val="both"/>
      </w:pPr>
      <w:r>
        <w:rPr>
          <w:rFonts w:ascii="Arial" w:cs="Arial" w:eastAsia="Arial" w:hAnsi="Arial"/>
          <w:sz w:val="24"/>
          <w:szCs w:val="24"/>
        </w:rPr>
        <w:t xml:space="preserve">Индикатор 1: Площади химической обработки против саранчовых вредителей (тыс. га). При плане 60,0, фактическая обработка 28,0. По биологии развития саранчовых вредителей с 2010 года идет постепенный спад численности, который будет длится до 2015-2017 годов. Последняя массовая вспышка была отмечена в 2008 году (было обработано 156,0 тыс. га). Сэкономленные средства были секвестированы.</w:t>
      </w:r>
    </w:p>
    <w:p>
      <w:pPr>
        <w:spacing w:after="120"/>
        <w:jc w:val="both"/>
      </w:pPr>
      <w:r>
        <w:rPr>
          <w:rFonts w:ascii="Arial" w:cs="Arial" w:eastAsia="Arial" w:hAnsi="Arial"/>
          <w:sz w:val="24"/>
          <w:szCs w:val="24"/>
        </w:rPr>
        <w:t xml:space="preserve">Индикатор 2: Площади химической обработки против АББ (тыс. га). При плане 2,0, фактическая обработка 1,7. Эффективные обработки, проведенные в 2011 году снизили ареал их распространения в 2012 году. Сэкономленные средства были секвестированы. Всего по 2-м индикаторам секвестировано 26,2 млн. сомов.</w:t>
      </w:r>
    </w:p>
    <w:p>
      <w:pPr>
        <w:spacing w:after="120"/>
        <w:jc w:val="both"/>
      </w:pPr>
      <w:r>
        <w:rPr>
          <w:rFonts w:ascii="Arial" w:cs="Arial" w:eastAsia="Arial" w:hAnsi="Arial"/>
          <w:sz w:val="24"/>
          <w:szCs w:val="24"/>
        </w:rPr>
        <w:t xml:space="preserve">Индикатор 3: Площади химической обработки против хлопковой совки (тыс. га). Данные работы будут проводиться с 2013 года.</w:t>
      </w:r>
    </w:p>
    <w:p>
      <w:pPr>
        <w:spacing w:after="120"/>
        <w:jc w:val="both"/>
      </w:pPr>
      <w:r>
        <w:rPr>
          <w:rFonts w:ascii="Arial" w:cs="Arial" w:eastAsia="Arial" w:hAnsi="Arial"/>
          <w:sz w:val="24"/>
          <w:szCs w:val="24"/>
        </w:rPr>
        <w:t xml:space="preserve">Бюджетная мера 2.2. Обследование посевов сельхозкультур и сельхозугодий на выявление вредителей и болезней сорной растительности, а также саранчовых вредителей и карантинного вредителя АББ, организация и контроль за проведением химобработок против саранчовых вредителей, АББ и хлопковой совки и осуществление государственного контроля за выполнением карантинных мероприятий.</w:t>
      </w:r>
    </w:p>
    <w:p>
      <w:pPr>
        <w:spacing w:after="120"/>
        <w:jc w:val="both"/>
      </w:pPr>
      <w:r>
        <w:rPr>
          <w:rFonts w:ascii="Arial" w:cs="Arial" w:eastAsia="Arial" w:hAnsi="Arial"/>
          <w:sz w:val="24"/>
          <w:szCs w:val="24"/>
        </w:rPr>
        <w:t xml:space="preserve">Индикатор 1: Выявление вредителей, болезней и сорняков (тыс. га). При плане 590,0, факт составил 361,2. Природно-климатические условия были неблагоприятными для развития и распространения вредителей, болезней и сорной растительности. Поэтому массовая вредоносность и распространение вредителей и болезней не наблюдалось, в результате чего были сокращены обследовательские работы, в т.ч. и по саранчовым вредителям.</w:t>
      </w:r>
    </w:p>
    <w:p>
      <w:pPr>
        <w:spacing w:after="120"/>
        <w:jc w:val="both"/>
      </w:pPr>
      <w:r>
        <w:rPr>
          <w:rFonts w:ascii="Arial" w:cs="Arial" w:eastAsia="Arial" w:hAnsi="Arial"/>
          <w:sz w:val="24"/>
          <w:szCs w:val="24"/>
        </w:rPr>
        <w:t xml:space="preserve">Индикатор 2: Выявление саранчовых вредителей (тыс. га). План составлял 111,0, факт составил 55,6.</w:t>
      </w:r>
    </w:p>
    <w:p>
      <w:pPr>
        <w:spacing w:after="120"/>
        <w:jc w:val="both"/>
      </w:pPr>
      <w:r>
        <w:rPr>
          <w:rFonts w:ascii="Arial" w:cs="Arial" w:eastAsia="Arial" w:hAnsi="Arial"/>
          <w:sz w:val="24"/>
          <w:szCs w:val="24"/>
        </w:rPr>
        <w:t xml:space="preserve">Бюджетная мера 2.3. Проведение химанализа растений, овощебахчевой продукции, почв, оросительных вод на содержание остаточных количеств пестицидов и агрохимикатов, а также на соответствие их стандартам и тех. условиям и агротехническая оценка плодородия почв на содержание питательных элементов и лабораторная экспертиза на подтверждение наличия или отсутствия карантинных вредителей, болезней и сорных растений подкарантинных материалов.</w:t>
      </w:r>
    </w:p>
    <w:p>
      <w:pPr>
        <w:spacing w:after="120"/>
        <w:jc w:val="both"/>
      </w:pPr>
      <w:r>
        <w:rPr>
          <w:rFonts w:ascii="Arial" w:cs="Arial" w:eastAsia="Arial" w:hAnsi="Arial"/>
          <w:sz w:val="24"/>
          <w:szCs w:val="24"/>
        </w:rPr>
        <w:t xml:space="preserve">Индикатор I: Количество лабораторных исследований (ед. образцов). При плане 236, фактических исследований 330.</w:t>
      </w:r>
    </w:p>
    <w:p>
      <w:pPr>
        <w:spacing w:after="120"/>
        <w:jc w:val="both"/>
      </w:pPr>
      <w:r>
        <w:rPr>
          <w:rFonts w:ascii="Arial" w:cs="Arial" w:eastAsia="Arial" w:hAnsi="Arial"/>
          <w:sz w:val="24"/>
          <w:szCs w:val="24"/>
        </w:rPr>
        <w:t xml:space="preserve">Бюджетная мера 2.4. Развитие механизации сельского хозяйства.</w:t>
      </w:r>
    </w:p>
    <w:p>
      <w:pPr>
        <w:spacing w:after="120"/>
        <w:jc w:val="both"/>
      </w:pPr>
      <w:r>
        <w:rPr>
          <w:rFonts w:ascii="Arial" w:cs="Arial" w:eastAsia="Arial" w:hAnsi="Arial"/>
          <w:sz w:val="24"/>
          <w:szCs w:val="24"/>
        </w:rPr>
        <w:t xml:space="preserve">Индикатор 1: Выдача удостоверений тракториста-машиниста (шт.). При плане 1400, фактически выдано 3365.</w:t>
      </w:r>
    </w:p>
    <w:p>
      <w:pPr>
        <w:spacing w:after="120"/>
        <w:jc w:val="both"/>
      </w:pPr>
      <w:r>
        <w:rPr>
          <w:rFonts w:ascii="Arial" w:cs="Arial" w:eastAsia="Arial" w:hAnsi="Arial"/>
          <w:sz w:val="24"/>
          <w:szCs w:val="24"/>
        </w:rPr>
        <w:t xml:space="preserve">Бюджетная мера 2.5. Биологическая защита растений.</w:t>
      </w:r>
    </w:p>
    <w:p>
      <w:pPr>
        <w:spacing w:after="120"/>
        <w:jc w:val="both"/>
      </w:pPr>
      <w:r>
        <w:rPr>
          <w:rFonts w:ascii="Arial" w:cs="Arial" w:eastAsia="Arial" w:hAnsi="Arial"/>
          <w:sz w:val="24"/>
          <w:szCs w:val="24"/>
        </w:rPr>
        <w:t xml:space="preserve">Индикатор 1: Обработка площадей земель сельскохозяйственного назначения биологическими средствами защиты растений по хозяйствам КР. (тыс. га). При плане 105,0, фактическая обработка 73,4. Из-за природно-климатических условий засушливого года и плохой всхожести посевов, был отказ от проведения обработок.</w:t>
      </w:r>
    </w:p>
    <w:p>
      <w:pPr>
        <w:spacing w:after="120"/>
        <w:jc w:val="both"/>
      </w:pPr>
      <w:r>
        <w:rPr>
          <w:rFonts w:ascii="Arial" w:cs="Arial" w:eastAsia="Arial" w:hAnsi="Arial"/>
          <w:sz w:val="24"/>
          <w:szCs w:val="24"/>
        </w:rPr>
        <w:t xml:space="preserve">Бюджетная мера 2.6. Полевая инспекция, проведение апробации и сортоиспытаний.</w:t>
      </w:r>
    </w:p>
    <w:p>
      <w:pPr>
        <w:spacing w:after="120"/>
        <w:jc w:val="both"/>
      </w:pPr>
      <w:r>
        <w:rPr>
          <w:rFonts w:ascii="Arial" w:cs="Arial" w:eastAsia="Arial" w:hAnsi="Arial"/>
          <w:sz w:val="24"/>
          <w:szCs w:val="24"/>
        </w:rPr>
        <w:t xml:space="preserve">Индикатор 1: Проведение полевых инспекций семеноводческих посевов (тыс. га). При плане 28,3, фактических инспекций 19,5. Из-за природно-климатических условий засушливого года, уменьшена площадь апробируемых семенных посевов.</w:t>
      </w:r>
    </w:p>
    <w:p>
      <w:pPr>
        <w:spacing w:after="120"/>
        <w:jc w:val="both"/>
      </w:pPr>
      <w:r>
        <w:rPr>
          <w:rFonts w:ascii="Arial" w:cs="Arial" w:eastAsia="Arial" w:hAnsi="Arial"/>
          <w:sz w:val="24"/>
          <w:szCs w:val="24"/>
        </w:rPr>
        <w:t xml:space="preserve">Индикатор 2: Объем сертифицированных семян семенного и посадочного материала (тыс. тонн). При плане 90,0, фактически сертифицировано 94,0.</w:t>
      </w:r>
    </w:p>
    <w:p>
      <w:pPr>
        <w:spacing w:after="120"/>
        <w:jc w:val="both"/>
      </w:pPr>
      <w:r>
        <w:rPr>
          <w:rFonts w:ascii="Arial" w:cs="Arial" w:eastAsia="Arial" w:hAnsi="Arial"/>
          <w:sz w:val="24"/>
          <w:szCs w:val="24"/>
        </w:rPr>
        <w:t xml:space="preserve">Индикатор 3: Проведение сортоопытов для определения хозяйственной полезности (кол-во сортоопытов). При плане 1530, фактических сортоопытов 1742.</w:t>
      </w:r>
    </w:p>
    <w:p>
      <w:pPr>
        <w:spacing w:after="120"/>
        <w:jc w:val="both"/>
      </w:pPr>
      <w:r>
        <w:rPr>
          <w:rFonts w:ascii="Arial" w:cs="Arial" w:eastAsia="Arial" w:hAnsi="Arial"/>
          <w:sz w:val="24"/>
          <w:szCs w:val="24"/>
        </w:rPr>
        <w:t xml:space="preserve">Бюджетная мера 2.7. Выполнение проектно-изыскательских и обследовательских работ по землеустройству.</w:t>
      </w:r>
    </w:p>
    <w:p>
      <w:pPr>
        <w:spacing w:after="120"/>
        <w:jc w:val="both"/>
      </w:pPr>
      <w:r>
        <w:rPr>
          <w:rFonts w:ascii="Arial" w:cs="Arial" w:eastAsia="Arial" w:hAnsi="Arial"/>
          <w:sz w:val="24"/>
          <w:szCs w:val="24"/>
        </w:rPr>
        <w:t xml:space="preserve">Индикатор 1: Инвентаризация земель всех категорий разрезе районов и айыл окмоту (кол-во районов/айыл окмоту). При плане 4/35, фактически выполнено 4/35.</w:t>
      </w:r>
    </w:p>
    <w:p>
      <w:pPr>
        <w:spacing w:after="120"/>
        <w:jc w:val="both"/>
      </w:pPr>
      <w:r>
        <w:rPr>
          <w:rFonts w:ascii="Arial" w:cs="Arial" w:eastAsia="Arial" w:hAnsi="Arial"/>
          <w:sz w:val="24"/>
          <w:szCs w:val="24"/>
        </w:rPr>
        <w:t xml:space="preserve">Индикатор 2: Корректировка материалов почвенного и геоботанического обследования в разрезе районов и айыл окмоту (кол-во районов/айыл окмоту). При плане 3/18, фактически выполнено 3/18.</w:t>
      </w:r>
    </w:p>
    <w:p>
      <w:pPr>
        <w:spacing w:after="120"/>
        <w:jc w:val="both"/>
      </w:pPr>
      <w:r>
        <w:rPr>
          <w:rFonts w:ascii="Arial" w:cs="Arial" w:eastAsia="Arial" w:hAnsi="Arial"/>
          <w:sz w:val="24"/>
          <w:szCs w:val="24"/>
        </w:rPr>
        <w:t xml:space="preserve">III программа включает в себя следующее меры и их индикаторы:</w:t>
      </w:r>
    </w:p>
    <w:p>
      <w:pPr>
        <w:spacing w:after="120"/>
        <w:jc w:val="both"/>
      </w:pPr>
      <w:r>
        <w:rPr>
          <w:rFonts w:ascii="Arial" w:cs="Arial" w:eastAsia="Arial" w:hAnsi="Arial"/>
          <w:sz w:val="24"/>
          <w:szCs w:val="24"/>
        </w:rPr>
        <w:t xml:space="preserve">Бюджетная мера 3.1. Проведение противоэпизоотических мероприятий.</w:t>
      </w:r>
    </w:p>
    <w:p>
      <w:pPr>
        <w:spacing w:after="120"/>
        <w:jc w:val="both"/>
      </w:pPr>
      <w:r>
        <w:rPr>
          <w:rFonts w:ascii="Arial" w:cs="Arial" w:eastAsia="Arial" w:hAnsi="Arial"/>
          <w:sz w:val="24"/>
          <w:szCs w:val="24"/>
        </w:rPr>
        <w:t xml:space="preserve">Индикатор 1: Количество с/х животных, охваченных вакцинацией с целью предотвращения особо опасных инфекционных заболеваний (тыс. голов). При плане 22209,7, факт составил 23341,0.</w:t>
      </w:r>
    </w:p>
    <w:p>
      <w:pPr>
        <w:spacing w:after="120"/>
        <w:jc w:val="both"/>
      </w:pPr>
      <w:r>
        <w:rPr>
          <w:rFonts w:ascii="Arial" w:cs="Arial" w:eastAsia="Arial" w:hAnsi="Arial"/>
          <w:sz w:val="24"/>
          <w:szCs w:val="24"/>
        </w:rPr>
        <w:t xml:space="preserve">Бюджетная мера 3.2. Ветеринарная диагностика животных.</w:t>
      </w:r>
    </w:p>
    <w:p>
      <w:pPr>
        <w:spacing w:after="120"/>
        <w:jc w:val="both"/>
      </w:pPr>
      <w:r>
        <w:rPr>
          <w:rFonts w:ascii="Arial" w:cs="Arial" w:eastAsia="Arial" w:hAnsi="Arial"/>
          <w:sz w:val="24"/>
          <w:szCs w:val="24"/>
        </w:rPr>
        <w:t xml:space="preserve">Индикатор 1: Лабораторно-диагностические исследования с целью выявления болезней животных (млн. шт.). При плане 3,4, фактических исследований 3,7.</w:t>
      </w:r>
    </w:p>
    <w:p>
      <w:pPr>
        <w:spacing w:after="120"/>
        <w:jc w:val="both"/>
      </w:pPr>
      <w:r>
        <w:rPr>
          <w:rFonts w:ascii="Arial" w:cs="Arial" w:eastAsia="Arial" w:hAnsi="Arial"/>
          <w:sz w:val="24"/>
          <w:szCs w:val="24"/>
        </w:rPr>
        <w:t xml:space="preserve">Бюджетная мера 3.3. Организация и проведение ветеринарно-санитарных и профилактических мероприятий.</w:t>
      </w:r>
    </w:p>
    <w:p>
      <w:pPr>
        <w:spacing w:after="120"/>
        <w:jc w:val="both"/>
      </w:pPr>
      <w:r>
        <w:rPr>
          <w:rFonts w:ascii="Arial" w:cs="Arial" w:eastAsia="Arial" w:hAnsi="Arial"/>
          <w:sz w:val="24"/>
          <w:szCs w:val="24"/>
        </w:rPr>
        <w:t xml:space="preserve">Индикатор 1: Проведение ветсанэкспертизы на качество продукции растительного и животного происхождения (кол-во тыс. экспертиз). При плане 298, факт составил 175,8. В связи с реконструкцией Ошского рынка сократилось поступление продукции растительного и животного происхождения.</w:t>
      </w:r>
    </w:p>
    <w:p>
      <w:pPr>
        <w:spacing w:after="120"/>
        <w:jc w:val="both"/>
      </w:pPr>
      <w:r>
        <w:rPr>
          <w:rFonts w:ascii="Arial" w:cs="Arial" w:eastAsia="Arial" w:hAnsi="Arial"/>
          <w:sz w:val="24"/>
          <w:szCs w:val="24"/>
        </w:rPr>
        <w:t xml:space="preserve">Индикатор 2: Лечение и профилактика заболеваний животных (тыс. голов). При плане 207,9, факт составил 248,3.</w:t>
      </w:r>
    </w:p>
    <w:p>
      <w:pPr>
        <w:spacing w:after="120"/>
        <w:jc w:val="both"/>
      </w:pPr>
      <w:r>
        <w:rPr>
          <w:rFonts w:ascii="Arial" w:cs="Arial" w:eastAsia="Arial" w:hAnsi="Arial"/>
          <w:sz w:val="24"/>
          <w:szCs w:val="24"/>
        </w:rPr>
        <w:t xml:space="preserve">Бюджетная мера 3.4. Поддержка развития племенного дела.</w:t>
      </w:r>
    </w:p>
    <w:p>
      <w:pPr>
        <w:spacing w:after="120"/>
        <w:jc w:val="both"/>
      </w:pPr>
      <w:r>
        <w:rPr>
          <w:rFonts w:ascii="Arial" w:cs="Arial" w:eastAsia="Arial" w:hAnsi="Arial"/>
          <w:sz w:val="24"/>
          <w:szCs w:val="24"/>
        </w:rPr>
        <w:t xml:space="preserve">Индикатор 1: Создание племхозов (шт.). При плане 7, факт составил 7.</w:t>
      </w:r>
    </w:p>
    <w:p>
      <w:pPr>
        <w:spacing w:after="120"/>
        <w:jc w:val="both"/>
      </w:pPr>
      <w:r>
        <w:rPr>
          <w:rFonts w:ascii="Arial" w:cs="Arial" w:eastAsia="Arial" w:hAnsi="Arial"/>
          <w:sz w:val="24"/>
          <w:szCs w:val="24"/>
        </w:rPr>
        <w:t xml:space="preserve">Бюджетная мера 3.5. Сохранение и совершенствование пастбищных экосистем.</w:t>
      </w:r>
    </w:p>
    <w:p>
      <w:pPr>
        <w:spacing w:after="120"/>
        <w:jc w:val="both"/>
      </w:pPr>
      <w:r>
        <w:rPr>
          <w:rFonts w:ascii="Arial" w:cs="Arial" w:eastAsia="Arial" w:hAnsi="Arial"/>
          <w:sz w:val="24"/>
          <w:szCs w:val="24"/>
        </w:rPr>
        <w:t xml:space="preserve">Индикатор 1: Сбор средств по использованию пастбищ (млн. сом). При плане 90,0, фактически собрано 93,0.</w:t>
      </w:r>
    </w:p>
    <w:p>
      <w:pPr>
        <w:spacing w:after="120"/>
        <w:jc w:val="both"/>
      </w:pPr>
      <w:r>
        <w:rPr>
          <w:rFonts w:ascii="Arial" w:cs="Arial" w:eastAsia="Arial" w:hAnsi="Arial"/>
          <w:sz w:val="24"/>
          <w:szCs w:val="24"/>
        </w:rPr>
        <w:t xml:space="preserve">Бюджетная мера 3.6. Сохранение и увеличение рыбных запасов.</w:t>
      </w:r>
    </w:p>
    <w:p>
      <w:pPr>
        <w:spacing w:after="120"/>
        <w:jc w:val="both"/>
      </w:pPr>
      <w:r>
        <w:rPr>
          <w:rFonts w:ascii="Arial" w:cs="Arial" w:eastAsia="Arial" w:hAnsi="Arial"/>
          <w:sz w:val="24"/>
          <w:szCs w:val="24"/>
        </w:rPr>
        <w:t xml:space="preserve">Индикатор 1: Увеличение товарного улова рыбы (тыс. тонн). При плане 400, фактическое увеличение 297.</w:t>
      </w:r>
    </w:p>
    <w:p>
      <w:pPr>
        <w:spacing w:after="120"/>
        <w:jc w:val="both"/>
      </w:pPr>
      <w:r>
        <w:rPr>
          <w:rFonts w:ascii="Arial" w:cs="Arial" w:eastAsia="Arial" w:hAnsi="Arial"/>
          <w:sz w:val="24"/>
          <w:szCs w:val="24"/>
        </w:rPr>
        <w:t xml:space="preserve">Протокольным поручением, Руководителя Аппарата Правительства Кыргызской Республики от 8 мая 2012 года № 19-11 была создана межведомственная комиссия по изучению вопроса о целесообразности нахождения садковых хозяйств в акватории озера Ыссык-Куль и по итогам представить заключение. На основании вышеизложенного Биолого-почвенного института НАН КР от 30 мая 2012 года № 20/01-128 выдано заключение о недопустимости дальнейшего садкового выращивания товарной радужной форели. По этой причине садковые хозяйства прекратили инвестирования в эту отрасль и на 50-60% сократили производство товарной форели. В связи с чем, показатель производства товарной рыбы уменьшился.</w:t>
      </w:r>
    </w:p>
    <w:p>
      <w:pPr>
        <w:spacing w:after="120"/>
        <w:jc w:val="both"/>
      </w:pPr>
      <w:r>
        <w:rPr>
          <w:rFonts w:ascii="Arial" w:cs="Arial" w:eastAsia="Arial" w:hAnsi="Arial"/>
          <w:sz w:val="24"/>
          <w:szCs w:val="24"/>
        </w:rPr>
        <w:t xml:space="preserve">Индикатор 2: Выпуск молоди (зарыбление) в водоемы КР (млн. шт.). При плане 30,0, фактический выпуск 18,9. Закладка и выпуск соответствует биологическим нормативам, отходная часть достигает 45-50%.</w:t>
      </w:r>
    </w:p>
    <w:p>
      <w:pPr>
        <w:spacing w:after="120"/>
        <w:jc w:val="both"/>
      </w:pPr>
      <w:r>
        <w:rPr>
          <w:rFonts w:ascii="Arial" w:cs="Arial" w:eastAsia="Arial" w:hAnsi="Arial"/>
          <w:sz w:val="24"/>
          <w:szCs w:val="24"/>
        </w:rPr>
        <w:t xml:space="preserve">IV программа включает в себя следующее меры и их индикаторы:</w:t>
      </w:r>
    </w:p>
    <w:p>
      <w:pPr>
        <w:spacing w:after="120"/>
        <w:jc w:val="both"/>
      </w:pPr>
      <w:r>
        <w:rPr>
          <w:rFonts w:ascii="Arial" w:cs="Arial" w:eastAsia="Arial" w:hAnsi="Arial"/>
          <w:sz w:val="24"/>
          <w:szCs w:val="24"/>
        </w:rPr>
        <w:t xml:space="preserve">Бюджетная мера 4.1. Содержание и капитальный ремонт государственных ирригационных сооружений.</w:t>
      </w:r>
    </w:p>
    <w:p>
      <w:pPr>
        <w:spacing w:after="120"/>
        <w:jc w:val="both"/>
      </w:pPr>
      <w:r>
        <w:rPr>
          <w:rFonts w:ascii="Arial" w:cs="Arial" w:eastAsia="Arial" w:hAnsi="Arial"/>
          <w:sz w:val="24"/>
          <w:szCs w:val="24"/>
        </w:rPr>
        <w:t xml:space="preserve">Индикатор 1: Улучшение мелиоративного состояния земель (тыс. га). При плане 0,3, факт составил 1,0.</w:t>
      </w:r>
    </w:p>
    <w:p>
      <w:pPr>
        <w:spacing w:after="120"/>
        <w:jc w:val="both"/>
      </w:pPr>
      <w:r>
        <w:rPr>
          <w:rFonts w:ascii="Arial" w:cs="Arial" w:eastAsia="Arial" w:hAnsi="Arial"/>
          <w:sz w:val="24"/>
          <w:szCs w:val="24"/>
        </w:rPr>
        <w:t xml:space="preserve">Бюджетная мера 4.2. Содержание государственных насосных станций (оплата потребленной электроэнергии).</w:t>
      </w:r>
    </w:p>
    <w:p>
      <w:pPr>
        <w:spacing w:after="120"/>
        <w:jc w:val="both"/>
      </w:pPr>
      <w:r>
        <w:rPr>
          <w:rFonts w:ascii="Arial" w:cs="Arial" w:eastAsia="Arial" w:hAnsi="Arial"/>
          <w:sz w:val="24"/>
          <w:szCs w:val="24"/>
        </w:rPr>
        <w:t xml:space="preserve">Бюджетная мера 4.3. Реализация совместно с ВБ проектов "Внутрихозяйственное орошение-2" и "Улучшение управления водными ресурсами".</w:t>
      </w:r>
    </w:p>
    <w:p>
      <w:pPr>
        <w:spacing w:after="120"/>
        <w:jc w:val="both"/>
      </w:pPr>
      <w:r>
        <w:rPr>
          <w:rFonts w:ascii="Arial" w:cs="Arial" w:eastAsia="Arial" w:hAnsi="Arial"/>
          <w:sz w:val="24"/>
          <w:szCs w:val="24"/>
        </w:rPr>
        <w:t xml:space="preserve">Индикатор 1: Увеличение числа ассоциаций водопользователей (АВП) и обслуживаемых ими земель (кол-во/тыс. га). План составлял 480/735, факт составил 481/737,3.</w:t>
      </w:r>
    </w:p>
    <w:p>
      <w:pPr>
        <w:spacing w:after="120"/>
        <w:jc w:val="both"/>
      </w:pPr>
      <w:r>
        <w:rPr>
          <w:rFonts w:ascii="Arial" w:cs="Arial" w:eastAsia="Arial" w:hAnsi="Arial"/>
          <w:sz w:val="24"/>
          <w:szCs w:val="24"/>
        </w:rPr>
        <w:t xml:space="preserve">Бюджетная мера 4.6. Строительство водохозяйственных объектов и освоение новых орошаемых земель.</w:t>
      </w:r>
    </w:p>
    <w:p>
      <w:pPr>
        <w:spacing w:after="120"/>
        <w:jc w:val="both"/>
      </w:pPr>
      <w:r>
        <w:rPr>
          <w:rFonts w:ascii="Arial" w:cs="Arial" w:eastAsia="Arial" w:hAnsi="Arial"/>
          <w:sz w:val="24"/>
          <w:szCs w:val="24"/>
        </w:rPr>
        <w:t xml:space="preserve">Индикатор 1: Ввод новых орошаемых земель (тыс. га). В 2012 году не были выделены средства.</w:t>
      </w:r>
    </w:p>
    <w:p>
      <w:pPr>
        <w:spacing w:after="120"/>
        <w:jc w:val="both"/>
      </w:pPr>
      <w:r>
        <w:rPr>
          <w:rFonts w:ascii="Arial" w:cs="Arial" w:eastAsia="Arial" w:hAnsi="Arial"/>
          <w:sz w:val="24"/>
          <w:szCs w:val="24"/>
        </w:rPr>
        <w:t xml:space="preserve">Индикатор 2: Повышение водообеспеченности (тыс. га). В 2012 году не были выделены средства.</w:t>
      </w:r>
    </w:p>
    <w:p>
      <w:pPr>
        <w:spacing w:after="120"/>
        <w:jc w:val="both"/>
      </w:pPr>
      <w:r>
        <w:rPr>
          <w:rFonts w:ascii="Arial" w:cs="Arial" w:eastAsia="Arial" w:hAnsi="Arial"/>
          <w:sz w:val="24"/>
          <w:szCs w:val="24"/>
        </w:rPr>
        <w:t xml:space="preserve">Министерство транспорта и коммуникаций Кыргызской Республики (дороги)</w:t>
      </w:r>
    </w:p>
    <w:p>
      <w:pPr>
        <w:spacing w:after="120"/>
        <w:jc w:val="both"/>
      </w:pPr>
      <w:r>
        <w:rPr>
          <w:rFonts w:ascii="Arial" w:cs="Arial" w:eastAsia="Arial" w:hAnsi="Arial"/>
          <w:sz w:val="24"/>
          <w:szCs w:val="24"/>
        </w:rPr>
        <w:t xml:space="preserve">За 2012 год работниками всех подразделений Министерства транспорта и коммуникаций Кыргызской Республики проводилась работа по поддержанию устойчивого функционирования всех видов транспорта, улучшению дорожной и транспортной инфраструктуры, развитию телекоммуникаций.</w:t>
      </w:r>
    </w:p>
    <w:p>
      <w:pPr>
        <w:spacing w:after="120"/>
        <w:jc w:val="both"/>
      </w:pPr>
      <w:r>
        <w:rPr>
          <w:rFonts w:ascii="Arial" w:cs="Arial" w:eastAsia="Arial" w:hAnsi="Arial"/>
          <w:sz w:val="24"/>
          <w:szCs w:val="24"/>
        </w:rPr>
        <w:t xml:space="preserve">Министерством транспорта и коммуникации Кыргызской Республики в период с 1 января 2012 года по 1 января 2013 года проведена большая работа по нормотворческой деятельности. За указанный период разработано 44 проекта нормативных правовых актов, в том числе: законов Кыргызской Республики - 6, постановлений Правительства Кыргызской Республики - 26, распоряжений Правительства Кыргызской Республики - 12.</w:t>
      </w:r>
    </w:p>
    <w:p>
      <w:pPr>
        <w:spacing w:after="120"/>
        <w:jc w:val="both"/>
      </w:pPr>
      <w:r>
        <w:rPr>
          <w:rFonts w:ascii="Arial" w:cs="Arial" w:eastAsia="Arial" w:hAnsi="Arial"/>
          <w:sz w:val="24"/>
          <w:szCs w:val="24"/>
        </w:rPr>
        <w:t xml:space="preserve">Совместно с отраслевыми управлениями министерства проведена работа по подготовке 3 проектов стратегических отраслевых документов:</w:t>
      </w:r>
    </w:p>
    <w:p>
      <w:pPr>
        <w:spacing w:after="120"/>
        <w:jc w:val="both"/>
      </w:pPr>
      <w:r>
        <w:rPr>
          <w:rFonts w:ascii="Arial" w:cs="Arial" w:eastAsia="Arial" w:hAnsi="Arial"/>
          <w:sz w:val="24"/>
          <w:szCs w:val="24"/>
        </w:rPr>
        <w:t xml:space="preserve">- Стратегия развития автомобильного транспорта Кыргызской Республики на 2012-2015 годы (утверждена постановлением ПКР от 04.10.2012 г. № 677);</w:t>
      </w:r>
    </w:p>
    <w:p>
      <w:pPr>
        <w:spacing w:after="120"/>
        <w:jc w:val="both"/>
      </w:pPr>
      <w:r>
        <w:rPr>
          <w:rFonts w:ascii="Arial" w:cs="Arial" w:eastAsia="Arial" w:hAnsi="Arial"/>
          <w:sz w:val="24"/>
          <w:szCs w:val="24"/>
        </w:rPr>
        <w:t xml:space="preserve">- проекта Стратегии развития железнодорожного транспорта на 2012-2020 годы - направлен на согласование с министерствами и ведомствами;</w:t>
      </w:r>
    </w:p>
    <w:p>
      <w:pPr>
        <w:spacing w:after="120"/>
        <w:jc w:val="both"/>
      </w:pPr>
      <w:r>
        <w:rPr>
          <w:rFonts w:ascii="Arial" w:cs="Arial" w:eastAsia="Arial" w:hAnsi="Arial"/>
          <w:sz w:val="24"/>
          <w:szCs w:val="24"/>
        </w:rPr>
        <w:t xml:space="preserve">- проекта Стратегии развития автомобильных дорог на 2012-2020 годы (находится на стадии разработки).</w:t>
      </w:r>
    </w:p>
    <w:p>
      <w:pPr>
        <w:spacing w:after="120"/>
        <w:jc w:val="both"/>
      </w:pPr>
      <w:r>
        <w:rPr>
          <w:rFonts w:ascii="Arial" w:cs="Arial" w:eastAsia="Arial" w:hAnsi="Arial"/>
          <w:sz w:val="24"/>
          <w:szCs w:val="24"/>
        </w:rPr>
        <w:t xml:space="preserve">В соответствии с </w:t>
      </w:r>
      <w:hyperlink w:history="1" r:id="rId1gneddciek80jgwez71i0">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республиканском бюджете на 2012 год и прогнозе на 2013-2014 годы" на ремонт и содержание автомобильных дорог на 2012 год было предусмотрено 1866,0 млн. сомов. Однако, в связи с острым дефицитом республиканского бюджета в течение года было секвестировано 413,9 млн. сом и согласно уточненного бюджета на дорожную отрасль предусмотрено и профинансировано в сумме 1633,6 млн. сом, включая средства государственных капитальных вложений в сумме 181,3 млн. сомов. Это на 107,5% больше, чем в 2011 году (1519,2 млн. сомов).</w:t>
      </w:r>
    </w:p>
    <w:p>
      <w:pPr>
        <w:spacing w:after="120"/>
        <w:jc w:val="both"/>
      </w:pPr>
      <w:r>
        <w:rPr>
          <w:rFonts w:ascii="Arial" w:cs="Arial" w:eastAsia="Arial" w:hAnsi="Arial"/>
          <w:sz w:val="24"/>
          <w:szCs w:val="24"/>
        </w:rPr>
        <w:t xml:space="preserve">В 2012 году дорожными организациями выполнены объемы работ на 1865,2 млн. сом, что составило 136,4% к показателю 2011 года. Из них выполнение по текущему бюджету составило 1684,7 млн. сом и на средства госкапвложений - 180,5 млн. сом.</w:t>
      </w:r>
    </w:p>
    <w:p>
      <w:pPr>
        <w:spacing w:after="120"/>
        <w:jc w:val="both"/>
      </w:pPr>
      <w:r>
        <w:rPr>
          <w:rFonts w:ascii="Arial" w:cs="Arial" w:eastAsia="Arial" w:hAnsi="Arial"/>
          <w:sz w:val="24"/>
          <w:szCs w:val="24"/>
        </w:rPr>
        <w:t xml:space="preserve">По видам работ произведены следующие работы:</w:t>
      </w:r>
    </w:p>
    <w:p>
      <w:pPr>
        <w:spacing w:after="120"/>
        <w:jc w:val="both"/>
      </w:pPr>
      <w:r>
        <w:rPr>
          <w:rFonts w:ascii="Arial" w:cs="Arial" w:eastAsia="Arial" w:hAnsi="Arial"/>
          <w:sz w:val="24"/>
          <w:szCs w:val="24"/>
        </w:rPr>
        <w:t xml:space="preserve">- капитальный и средний ремонт автодорог и сооружений на сумму 735,6 млн. сомов;</w:t>
      </w:r>
    </w:p>
    <w:p>
      <w:pPr>
        <w:spacing w:after="120"/>
        <w:jc w:val="both"/>
      </w:pPr>
      <w:r>
        <w:rPr>
          <w:rFonts w:ascii="Arial" w:cs="Arial" w:eastAsia="Arial" w:hAnsi="Arial"/>
          <w:sz w:val="24"/>
          <w:szCs w:val="24"/>
        </w:rPr>
        <w:t xml:space="preserve">- по текущему ремонту - 312,1 млн. сомов;</w:t>
      </w:r>
    </w:p>
    <w:p>
      <w:pPr>
        <w:spacing w:after="120"/>
        <w:jc w:val="both"/>
      </w:pPr>
      <w:r>
        <w:rPr>
          <w:rFonts w:ascii="Arial" w:cs="Arial" w:eastAsia="Arial" w:hAnsi="Arial"/>
          <w:sz w:val="24"/>
          <w:szCs w:val="24"/>
        </w:rPr>
        <w:t xml:space="preserve">- по летнему и зимнему содержанию автодорог - 209,8 млн. сомов;</w:t>
      </w:r>
    </w:p>
    <w:p>
      <w:pPr>
        <w:spacing w:after="120"/>
        <w:jc w:val="both"/>
      </w:pPr>
      <w:r>
        <w:rPr>
          <w:rFonts w:ascii="Arial" w:cs="Arial" w:eastAsia="Arial" w:hAnsi="Arial"/>
          <w:sz w:val="24"/>
          <w:szCs w:val="24"/>
        </w:rPr>
        <w:t xml:space="preserve">- по содержанию АУП - 124,6 млн. сомов;</w:t>
      </w:r>
    </w:p>
    <w:p>
      <w:pPr>
        <w:spacing w:after="120"/>
        <w:jc w:val="both"/>
      </w:pPr>
      <w:r>
        <w:rPr>
          <w:rFonts w:ascii="Arial" w:cs="Arial" w:eastAsia="Arial" w:hAnsi="Arial"/>
          <w:sz w:val="24"/>
          <w:szCs w:val="24"/>
        </w:rPr>
        <w:t xml:space="preserve">- погашение кредиторской задолженности - 166,6 млн. сомов;</w:t>
      </w:r>
    </w:p>
    <w:p>
      <w:pPr>
        <w:spacing w:after="120"/>
        <w:jc w:val="both"/>
      </w:pPr>
      <w:r>
        <w:rPr>
          <w:rFonts w:ascii="Arial" w:cs="Arial" w:eastAsia="Arial" w:hAnsi="Arial"/>
          <w:sz w:val="24"/>
          <w:szCs w:val="24"/>
        </w:rPr>
        <w:t xml:space="preserve">- по ликвидации последствий стихии - 88,1 млн. сомов.</w:t>
      </w:r>
    </w:p>
    <w:p>
      <w:pPr>
        <w:spacing w:after="120"/>
        <w:jc w:val="both"/>
      </w:pPr>
      <w:r>
        <w:rPr>
          <w:rFonts w:ascii="Arial" w:cs="Arial" w:eastAsia="Arial" w:hAnsi="Arial"/>
          <w:sz w:val="24"/>
          <w:szCs w:val="24"/>
        </w:rPr>
        <w:t xml:space="preserve">В 2012 году отремонтировано 375,0 км дорог. В том числе, устроено 137,1 км асфальтобетонного покрытия, что составило 190,4% к показателю 2011 года, произведено ШПО на протяжении 119,0 км, устроено 128,9 км гравийного покрытия, 2 км черногравийного покрытия и построено 5 мостов общей протяженностью 84 п/метра. Произведен ямочный ремонт на площади 251,1 тыс. кв.м на сумму 312,1 млн. сомов, или 116,2% к 2011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Сравнительный анализ по видам дорожно-ремонтных работ за 2011 и 2012 гг. приведен в нижеследующей таблице.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1"/>
        <w:gridCol w:w="5278"/>
        <w:gridCol w:w="2184"/>
        <w:gridCol w:w="2184"/>
      </w:tblGrid>
      <w:tr>
        <w:tc>
          <w:tcPr>
            <w:tcW w:type="dxa" w:w="53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27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Виды работ</w:t>
            </w:r>
          </w:p>
        </w:tc>
        <w:tc>
          <w:tcPr>
            <w:tcW w:type="dxa" w:w="436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Натуральные показатели, км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2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r>
      <w:tr>
        <w:tc>
          <w:tcPr>
            <w:tcW w:type="dxa" w:w="5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2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2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385,0</w:t>
            </w:r>
          </w:p>
        </w:tc>
      </w:tr>
      <w:tr>
        <w:tc>
          <w:tcPr>
            <w:tcW w:type="dxa" w:w="5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Устройство ШПО</w:t>
            </w:r>
          </w:p>
        </w:tc>
        <w:tc>
          <w:tcPr>
            <w:tcW w:type="dxa" w:w="2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2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119,0</w:t>
            </w:r>
          </w:p>
        </w:tc>
      </w:tr>
      <w:tr>
        <w:tc>
          <w:tcPr>
            <w:tcW w:type="dxa" w:w="5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Устройство а/бетонного покрытия</w:t>
            </w:r>
          </w:p>
        </w:tc>
        <w:tc>
          <w:tcPr>
            <w:tcW w:type="dxa" w:w="2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2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137,1</w:t>
            </w:r>
          </w:p>
        </w:tc>
      </w:tr>
      <w:tr>
        <w:tc>
          <w:tcPr>
            <w:tcW w:type="dxa" w:w="5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Устройство ч/гравийного покрытия</w:t>
            </w:r>
          </w:p>
        </w:tc>
        <w:tc>
          <w:tcPr>
            <w:tcW w:type="dxa" w:w="2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5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Устройство гравийного покрытия</w:t>
            </w:r>
          </w:p>
        </w:tc>
        <w:tc>
          <w:tcPr>
            <w:tcW w:type="dxa" w:w="2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2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128,9</w:t>
            </w:r>
          </w:p>
        </w:tc>
      </w:tr>
      <w:tr>
        <w:tc>
          <w:tcPr>
            <w:tcW w:type="dxa" w:w="5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Ямочный ремонт, т. кв.м</w:t>
            </w:r>
          </w:p>
        </w:tc>
        <w:tc>
          <w:tcPr>
            <w:tcW w:type="dxa" w:w="2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215,0</w:t>
            </w:r>
          </w:p>
        </w:tc>
        <w:tc>
          <w:tcPr>
            <w:tcW w:type="dxa" w:w="2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251,1</w:t>
            </w:r>
          </w:p>
        </w:tc>
      </w:tr>
    </w:tbl>
    <w:p>
      <w:pPr>
        <w:spacing w:after="120"/>
        <w:jc w:val="both"/>
      </w:pPr>
      <w:r>
        <w:rPr>
          <w:rFonts w:ascii="Arial" w:cs="Arial" w:eastAsia="Arial" w:hAnsi="Arial"/>
          <w:sz w:val="24"/>
          <w:szCs w:val="24"/>
        </w:rPr>
        <w:t xml:space="preserve">В 2012 году на автомобильных дорогах общего пользования произошел сход снежных лавин общим объемом 510120 кв.м, что на 140 тыс. куб.м больше или на 116% к аналогичному периоду прошлого года, сдвиги грунтовых оползней и селевых разрушений в объеме 465 058 куб.м, что на 442078 куб.м больше или на 20 раза больше по сравнению с 2011 годом.</w:t>
      </w:r>
    </w:p>
    <w:p>
      <w:pPr>
        <w:spacing w:after="120"/>
        <w:jc w:val="both"/>
      </w:pPr>
      <w:r>
        <w:rPr>
          <w:rFonts w:ascii="Arial" w:cs="Arial" w:eastAsia="Arial" w:hAnsi="Arial"/>
          <w:sz w:val="24"/>
          <w:szCs w:val="24"/>
        </w:rPr>
        <w:t xml:space="preserve">В результате произошедших стихийных бедствий подверглись разрушению автодороги общей протяженностью 134,7 км, разрушено 9 мостов общей протяженностью пролетных строений 255 метров и 27 водопропускных труб разных диаметров общей длиной 351 метров.</w:t>
      </w:r>
    </w:p>
    <w:p>
      <w:pPr>
        <w:spacing w:after="120"/>
        <w:jc w:val="both"/>
      </w:pPr>
      <w:r>
        <w:rPr>
          <w:rFonts w:ascii="Arial" w:cs="Arial" w:eastAsia="Arial" w:hAnsi="Arial"/>
          <w:sz w:val="24"/>
          <w:szCs w:val="24"/>
        </w:rPr>
        <w:t xml:space="preserve">Общий нанесенный ущерб стихией по предварительным расчетам составил - 202,9 млн. сомов, из них силами дорожных организаций восстановлено на - 87,2 млн. сомов.</w:t>
      </w:r>
    </w:p>
    <w:p>
      <w:pPr>
        <w:spacing w:after="120"/>
        <w:jc w:val="both"/>
      </w:pPr>
      <w:r>
        <w:rPr>
          <w:rFonts w:ascii="Arial" w:cs="Arial" w:eastAsia="Arial" w:hAnsi="Arial"/>
          <w:sz w:val="24"/>
          <w:szCs w:val="24"/>
        </w:rPr>
        <w:t xml:space="preserve">В целях эффективного использования бюджетных средств, а также повышения качества и достоверности выполняемых ремонтных работ в 2012 году проведен отбор дорожных консультантов на тендерной основе. С введением консультационного надзора за ходом ремонта автодорог, улучшилось качество выполняемых ремонтных работ.</w:t>
      </w:r>
    </w:p>
    <w:p>
      <w:pPr>
        <w:spacing w:after="120"/>
        <w:jc w:val="both"/>
      </w:pPr>
      <w:r>
        <w:rPr>
          <w:rFonts w:ascii="Arial" w:cs="Arial" w:eastAsia="Arial" w:hAnsi="Arial"/>
          <w:sz w:val="24"/>
          <w:szCs w:val="24"/>
        </w:rPr>
        <w:t xml:space="preserve">В настоящее время в активной фазе реабилитации находятся все основные международные транспортные коридоры.</w:t>
      </w:r>
    </w:p>
    <w:p>
      <w:pPr>
        <w:spacing w:after="120"/>
        <w:jc w:val="both"/>
      </w:pPr>
      <w:r>
        <w:rPr>
          <w:rFonts w:ascii="Arial" w:cs="Arial" w:eastAsia="Arial" w:hAnsi="Arial"/>
          <w:sz w:val="24"/>
          <w:szCs w:val="24"/>
        </w:rPr>
        <w:t xml:space="preserve">В отчетном периоде продолжена реализация проектов реабилитации автодорог за счет иностранных инвестиций. Из 7-ми проектов, по которым велись полномасштабные реабилитационные работы, на 6-ти проектах основной объем работ завершен, благодаря чему обеспечен сквозной проезд по автодороге Ош-Сарыташ-Иркештам на всем протяжении в 258 км. Также открыто движение на автодороге Сарыташ-Карамык, протяженностью 136 км. По автодороге Ош-Баткен-Исфана обеспечено беспрепятственное движение в обход анклава Сох по завершенному строительством участку объездной дороги Пульгон-Бургонду-Баткен, протяженностью 92 км.</w:t>
      </w:r>
    </w:p>
    <w:p>
      <w:pPr>
        <w:spacing w:after="120"/>
        <w:jc w:val="both"/>
      </w:pPr>
      <w:r>
        <w:rPr>
          <w:rFonts w:ascii="Arial" w:cs="Arial" w:eastAsia="Arial" w:hAnsi="Arial"/>
          <w:sz w:val="24"/>
          <w:szCs w:val="24"/>
        </w:rPr>
        <w:t xml:space="preserve">В ноябре 2012 года завершены основные объемы работ по двум проектам: участку с 123 по 155 км, финансируемому Всемирным Банком в сумме 25,0 млн. долларов США и участку с 155 по 220 км автодороги Ош-Баткен-Исфана, куда привлечены заемные средства ЕБРР в объеме 35,0 млн. долл. США. Генеральным Подрядчиком выступала компания "Синьцзян-Бейсин Роуд энд Бридж Констракшн Лтд", КНР.</w:t>
      </w:r>
    </w:p>
    <w:p>
      <w:pPr>
        <w:spacing w:after="120"/>
        <w:jc w:val="both"/>
      </w:pPr>
      <w:r>
        <w:rPr>
          <w:rFonts w:ascii="Arial" w:cs="Arial" w:eastAsia="Arial" w:hAnsi="Arial"/>
          <w:sz w:val="24"/>
          <w:szCs w:val="24"/>
        </w:rPr>
        <w:t xml:space="preserve">По проектному участку с 108 по 123 км (Кок-Талаа-Пульгон), финансируемому на грант Европейского Сообщества на сумму 8,6 млн. евро, Европейской комиссией завершены процедуры отбора Консультанта и Подрядчика по реализации данного проекта и в августе 2012 года подписан Контракт с Подрядчиком. В настоящее время осуществляется мобилизация Подрядчика на участке. Полномасштабные строительные работы планируется начать в сезоне 2013 года.</w:t>
      </w:r>
    </w:p>
    <w:p>
      <w:pPr>
        <w:spacing w:after="120"/>
        <w:jc w:val="both"/>
      </w:pPr>
      <w:r>
        <w:rPr>
          <w:rFonts w:ascii="Arial" w:cs="Arial" w:eastAsia="Arial" w:hAnsi="Arial"/>
          <w:sz w:val="24"/>
          <w:szCs w:val="24"/>
        </w:rPr>
        <w:t xml:space="preserve">Также начата мобилизация Подрядчика на проектном участке с 10 по 28 км (Ноокатский перевал), финансируемому со стороны Всемирного Банка в размере 16 млн. долл. США.</w:t>
      </w:r>
    </w:p>
    <w:p>
      <w:pPr>
        <w:spacing w:after="120"/>
        <w:jc w:val="both"/>
      </w:pPr>
      <w:r>
        <w:rPr>
          <w:rFonts w:ascii="Arial" w:cs="Arial" w:eastAsia="Arial" w:hAnsi="Arial"/>
          <w:sz w:val="24"/>
          <w:szCs w:val="24"/>
        </w:rPr>
        <w:t xml:space="preserve">В декабре 2012 года подписано Соглашение о финансировании с Экспортно-Импортным Банком Китая на общую сумму 129,8 млн. долл. США, проектов реабилитации участков автодороги Ош-Баткен-Исфана, с 220 по 232 км и с 248 по 360 км. В настоящее время осуществляются процедуры по ратификации Соглашения. Работы планируется начать в сезоне 2013 года.</w:t>
      </w:r>
    </w:p>
    <w:p>
      <w:pPr>
        <w:spacing w:after="120"/>
        <w:jc w:val="both"/>
      </w:pPr>
      <w:r>
        <w:rPr>
          <w:rFonts w:ascii="Arial" w:cs="Arial" w:eastAsia="Arial" w:hAnsi="Arial"/>
          <w:sz w:val="24"/>
          <w:szCs w:val="24"/>
        </w:rPr>
        <w:t xml:space="preserve">Продолжена работа на участке с 9 по 272 км автодороги Бишкек-Нарын-Торугарт, объем выполненных работ составил 153,4 млн. долл. США, или 77,5% от контрактной суммы.</w:t>
      </w:r>
    </w:p>
    <w:p>
      <w:pPr>
        <w:spacing w:after="120"/>
        <w:jc w:val="both"/>
      </w:pPr>
      <w:r>
        <w:rPr>
          <w:rFonts w:ascii="Arial" w:cs="Arial" w:eastAsia="Arial" w:hAnsi="Arial"/>
          <w:sz w:val="24"/>
          <w:szCs w:val="24"/>
        </w:rPr>
        <w:t xml:space="preserve">На участке 103-148 км (II фаза, Боомское ущелье) продолжались земляные работы, формирование земполотна, завершены бетонные работы по строительству подпорных стен и ИССО. Выполнена укладка двухслойного асфальтобетонного покрытия на всю ширину проезжей части протяженностью 33 км. Выполнение составляет 48,3 млн. долл. США, или 64,1%.</w:t>
      </w:r>
    </w:p>
    <w:p>
      <w:pPr>
        <w:spacing w:after="120"/>
        <w:jc w:val="both"/>
      </w:pPr>
      <w:r>
        <w:rPr>
          <w:rFonts w:ascii="Arial" w:cs="Arial" w:eastAsia="Arial" w:hAnsi="Arial"/>
          <w:sz w:val="24"/>
          <w:szCs w:val="24"/>
        </w:rPr>
        <w:t xml:space="preserve">Кредитные соглашения со всеми фондами Арабской Координационной Группой (АКТ) ратифицированы (</w:t>
      </w:r>
      <w:hyperlink w:history="1" r:id="rIdq_zd21wepu9jco-hudj2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от 23.04.2012 г. № 44; </w:t>
      </w:r>
      <w:hyperlink w:history="1" r:id="rIden3ohmxnrrukkuvqhl-n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от 25.07.12 г. № 129).</w:t>
      </w:r>
    </w:p>
    <w:p>
      <w:pPr>
        <w:spacing w:after="120"/>
        <w:jc w:val="both"/>
      </w:pPr>
      <w:r>
        <w:rPr>
          <w:rFonts w:ascii="Arial" w:cs="Arial" w:eastAsia="Arial" w:hAnsi="Arial"/>
          <w:sz w:val="24"/>
          <w:szCs w:val="24"/>
        </w:rPr>
        <w:t xml:space="preserve">Подписан контракт на оказание консультационных услуг с СП "Тим Интернэшнл/Саудконсалт".</w:t>
      </w:r>
    </w:p>
    <w:p>
      <w:pPr>
        <w:spacing w:after="120"/>
        <w:jc w:val="both"/>
      </w:pPr>
      <w:r>
        <w:rPr>
          <w:rFonts w:ascii="Arial" w:cs="Arial" w:eastAsia="Arial" w:hAnsi="Arial"/>
          <w:sz w:val="24"/>
          <w:szCs w:val="24"/>
        </w:rPr>
        <w:t xml:space="preserve">В сентябре 2012 года полностью завершены работы на участке проекта реабилитации автодороги Бишкек-Нарын-Торугарт, км 400 - км 439 (проект БНТ-1), реализованный на грант АБР в размере 20 млн. долл. США. За счет средств, сэкономленных по данному проекту, выполнены дополнительные работы по капитальному ремонту 4,2 км подъездной дороги к с.Ат-Башы.</w:t>
      </w:r>
    </w:p>
    <w:p>
      <w:pPr>
        <w:spacing w:after="120"/>
        <w:jc w:val="both"/>
      </w:pPr>
      <w:r>
        <w:rPr>
          <w:rFonts w:ascii="Arial" w:cs="Arial" w:eastAsia="Arial" w:hAnsi="Arial"/>
          <w:sz w:val="24"/>
          <w:szCs w:val="24"/>
        </w:rPr>
        <w:t xml:space="preserve">Также продолжены работы по второму проекту "Транспортный коридор-1 ЦАРЭС", км 365 - км 400 и км 439 - км 479.</w:t>
      </w:r>
    </w:p>
    <w:p>
      <w:pPr>
        <w:spacing w:after="120"/>
        <w:jc w:val="both"/>
      </w:pPr>
      <w:r>
        <w:rPr>
          <w:rFonts w:ascii="Arial" w:cs="Arial" w:eastAsia="Arial" w:hAnsi="Arial"/>
          <w:sz w:val="24"/>
          <w:szCs w:val="24"/>
        </w:rPr>
        <w:t xml:space="preserve">Работы на участке велись с опережением графика, практически завершено устройство асфальтобетонного покрытия на всем протяжении проектного участка.</w:t>
      </w:r>
    </w:p>
    <w:p>
      <w:pPr>
        <w:spacing w:after="120"/>
        <w:jc w:val="both"/>
      </w:pPr>
      <w:r>
        <w:rPr>
          <w:rFonts w:ascii="Arial" w:cs="Arial" w:eastAsia="Arial" w:hAnsi="Arial"/>
          <w:sz w:val="24"/>
          <w:szCs w:val="24"/>
        </w:rPr>
        <w:t xml:space="preserve">В 2012 году завершены процедуры по ратификации Кредитного Соглашения с АБР на сумму 55,0 млн. долл. США по Третьему проекту реабилитации дороги Бишкек-Торугарт, км 479 - км 539, протяженность участка 60 км. Подписаны Контракты с Консультантом и Подрядчиком. Строительные работы начнутся в сезоне 2013 года.</w:t>
      </w:r>
    </w:p>
    <w:p>
      <w:pPr>
        <w:spacing w:after="120"/>
        <w:jc w:val="both"/>
      </w:pPr>
      <w:r>
        <w:rPr>
          <w:rFonts w:ascii="Arial" w:cs="Arial" w:eastAsia="Arial" w:hAnsi="Arial"/>
          <w:sz w:val="24"/>
          <w:szCs w:val="24"/>
        </w:rPr>
        <w:t xml:space="preserve">В рамках III фазы реабилитации автодороги "Тараз-Талас-Суусамыр", по участку с 75 по 105 км в Кувейте 10-14 марта 2012 год достигнута с членами АКГ договоренность о предоставлении в 2012 году совместного финансирования для вышеуказанного проекта со стороны Исламского Банка Развития (10 млн. долларов США) и Саудовского Фонда Развития (10 млн. долларов США).</w:t>
      </w:r>
    </w:p>
    <w:p>
      <w:pPr>
        <w:spacing w:after="120"/>
        <w:jc w:val="both"/>
      </w:pPr>
      <w:r>
        <w:rPr>
          <w:rFonts w:ascii="Arial" w:cs="Arial" w:eastAsia="Arial" w:hAnsi="Arial"/>
          <w:sz w:val="24"/>
          <w:szCs w:val="24"/>
        </w:rPr>
        <w:t xml:space="preserve">Общая стоимость проекта - 22,075 млн. долл. США (доля софинансирования ПКР - 2,075 млн. долл. США).</w:t>
      </w:r>
    </w:p>
    <w:p>
      <w:pPr>
        <w:spacing w:after="120"/>
        <w:jc w:val="both"/>
      </w:pPr>
      <w:r>
        <w:rPr>
          <w:rFonts w:ascii="Arial" w:cs="Arial" w:eastAsia="Arial" w:hAnsi="Arial"/>
          <w:sz w:val="24"/>
          <w:szCs w:val="24"/>
        </w:rPr>
        <w:t xml:space="preserve">В результате создания Государственного агентства автомобильного и водного транспорта при МТиК КР было сокращено 49 штатных единиц, что позволило сэкономить бюджетные средства на сумму 1 млн. 319 тыс. сом (сэкономлены бюджетные средства, направляемые на содержание штатной численности), а в общей сумме около 3 млн. 100 тыс. сом (за аренду помещений, оплаты за коммунальные услуги, транспортные и другие расходы, связанные с деятельностью данных государственных органов), упрощены процедуры выдачи разрешительных документов по принципу "единого окна" и проведения транспортного контроля по принципу "единая остановка" на стационарных постах.</w:t>
      </w:r>
    </w:p>
    <w:p>
      <w:pPr>
        <w:spacing w:after="120"/>
        <w:jc w:val="both"/>
      </w:pPr>
      <w:r>
        <w:rPr>
          <w:rFonts w:ascii="Arial" w:cs="Arial" w:eastAsia="Arial" w:hAnsi="Arial"/>
          <w:sz w:val="24"/>
          <w:szCs w:val="24"/>
        </w:rPr>
        <w:t xml:space="preserve">Проводится активная работа с международными организациями по вопросам транспорта, как ТРАСЕКА, КТС СНГ, Совет по транспортной политике ЕврАзЭС, ЦАРЕС, ОЭС.</w:t>
      </w:r>
    </w:p>
    <w:p>
      <w:pPr>
        <w:spacing w:after="120"/>
        <w:jc w:val="both"/>
      </w:pPr>
      <w:r>
        <w:rPr>
          <w:rFonts w:ascii="Arial" w:cs="Arial" w:eastAsia="Arial" w:hAnsi="Arial"/>
          <w:sz w:val="24"/>
          <w:szCs w:val="24"/>
        </w:rPr>
        <w:t xml:space="preserve">В целях защиты интересов кыргызских автоперевозчиков и дальнейшего развития торгово-экономического сотрудничества с зарубежными странами получены бланки разрешений из 37 государств в количестве 42625 штук на 2012 год.</w:t>
      </w:r>
    </w:p>
    <w:p>
      <w:pPr>
        <w:spacing w:after="120"/>
        <w:jc w:val="both"/>
      </w:pPr>
      <w:r>
        <w:rPr>
          <w:rFonts w:ascii="Arial" w:cs="Arial" w:eastAsia="Arial" w:hAnsi="Arial"/>
          <w:sz w:val="24"/>
          <w:szCs w:val="24"/>
        </w:rPr>
        <w:t xml:space="preserve">Государственным агентством автомобильного и водного транспорта за 12 месяцев 2012 года в республиканский бюджет перечислено средств на общую сумму 86214,2 тыс. сомов (63797,0 тыс. сомов в 2011 г.), рост составил 135%.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2"/>
        <w:gridCol w:w="6333"/>
        <w:gridCol w:w="1113"/>
        <w:gridCol w:w="1113"/>
        <w:gridCol w:w="1187"/>
      </w:tblGrid>
      <w:tr>
        <w:tc>
          <w:tcPr>
            <w:tcW w:type="dxa" w:w="43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33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11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11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18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 %</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Выдано лицензий ед.</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16947</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21857</w:t>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128,5</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Реализовано бланков разрешений ед.</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29066</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39414</w:t>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135,5</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Проведено технической экспертизы ед.</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16962</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21272</w:t>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Выдано схем автобусного маршрута ед.</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21714</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22840</w:t>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в бюджет от деятельности ГААиВТ тыс. сом</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63797,0</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86214,2</w:t>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w:t>
            </w:r>
          </w:p>
        </w:tc>
      </w:tr>
    </w:tbl>
    <w:p>
      <w:pPr>
        <w:spacing w:after="120"/>
        <w:jc w:val="both"/>
      </w:pPr>
      <w:r>
        <w:rPr>
          <w:rFonts w:ascii="Arial" w:cs="Arial" w:eastAsia="Arial" w:hAnsi="Arial"/>
          <w:sz w:val="24"/>
          <w:szCs w:val="24"/>
        </w:rPr>
        <w:t xml:space="preserve">В настоящее время по республике имеются 1807 населенных пунктов, из них 1616 населенных пунктов охвачено автобусным сообщением, что составляет 89,5%.</w:t>
      </w:r>
    </w:p>
    <w:p>
      <w:pPr>
        <w:spacing w:after="120"/>
        <w:jc w:val="both"/>
      </w:pPr>
      <w:r>
        <w:rPr>
          <w:rFonts w:ascii="Arial" w:cs="Arial" w:eastAsia="Arial" w:hAnsi="Arial"/>
          <w:sz w:val="24"/>
          <w:szCs w:val="24"/>
        </w:rPr>
        <w:t xml:space="preserve">По просьбе населения регионов республики и государственных администраций за 12 месяцев 2012 года были вновь открыты всего 9 и восстановлены 15 автобусных маршрутов.</w:t>
      </w:r>
    </w:p>
    <w:p>
      <w:pPr>
        <w:spacing w:after="120"/>
        <w:jc w:val="both"/>
      </w:pPr>
      <w:r>
        <w:rPr>
          <w:rFonts w:ascii="Arial" w:cs="Arial" w:eastAsia="Arial" w:hAnsi="Arial"/>
          <w:sz w:val="24"/>
          <w:szCs w:val="24"/>
        </w:rPr>
        <w:t xml:space="preserve">Кроме того, в целях решения вопроса повышения эффективности организации пассажиропотока и снижения уровня нарушений в системе пассажирских перевозок государственное предприятие "НК "КТЖ" совместно с причастными министерствами и ведомствами прорабатывает вопрос организации пункта пропуска с пограничным и таможенным досмотром на станции Бишкек-2. Решение данного вопроса позволит значительно усилить вопрос безопасности пассажирских перевозок и соблюдения законодательства Кыргызской Республики на железнодорожном транспорте.</w:t>
      </w:r>
    </w:p>
    <w:p>
      <w:pPr>
        <w:spacing w:after="120"/>
        <w:jc w:val="both"/>
      </w:pPr>
      <w:r>
        <w:rPr>
          <w:rFonts w:ascii="Arial" w:cs="Arial" w:eastAsia="Arial" w:hAnsi="Arial"/>
          <w:sz w:val="24"/>
          <w:szCs w:val="24"/>
        </w:rPr>
        <w:t xml:space="preserve">В 2012 году кыргызской железной дорогой грузооборот составил 923,1 млн. тн. км, или 115,6% к отчету 2011 года.</w:t>
      </w:r>
    </w:p>
    <w:p>
      <w:pPr>
        <w:spacing w:after="120"/>
        <w:jc w:val="both"/>
      </w:pPr>
      <w:r>
        <w:rPr>
          <w:rFonts w:ascii="Arial" w:cs="Arial" w:eastAsia="Arial" w:hAnsi="Arial"/>
          <w:sz w:val="24"/>
          <w:szCs w:val="24"/>
        </w:rPr>
        <w:t xml:space="preserve">Пассажирооборот составил 75,8 млн. пасс. км, или 91,5% к отчету 2011 года. Падение показателей пассажиропотока связано с отсутствием пассажиров дальнего следования, ввиду незначительной разницы цены между авиабилетом и билетом на поезд.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91"/>
        <w:gridCol w:w="2380"/>
        <w:gridCol w:w="1669"/>
        <w:gridCol w:w="1669"/>
        <w:gridCol w:w="1669"/>
      </w:tblGrid>
      <w:tr>
        <w:tc>
          <w:tcPr>
            <w:tcW w:type="dxa" w:w="279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238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 измерения</w:t>
            </w:r>
          </w:p>
        </w:tc>
        <w:tc>
          <w:tcPr>
            <w:tcW w:type="dxa" w:w="5007"/>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12 месяцев 2012 г.</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2011</w:t>
            </w: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w:t>
            </w: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r>
      <w:tr>
        <w:tc>
          <w:tcPr>
            <w:tcW w:type="dxa" w:w="2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Грузооборот</w:t>
            </w:r>
          </w:p>
        </w:tc>
        <w:tc>
          <w:tcPr>
            <w:tcW w:type="dxa" w:w="2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тонно-км</w:t>
            </w: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798,3</w:t>
            </w: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923,1</w:t>
            </w: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w:t>
            </w:r>
          </w:p>
        </w:tc>
      </w:tr>
      <w:tr>
        <w:tc>
          <w:tcPr>
            <w:tcW w:type="dxa" w:w="2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Пассажирооборот</w:t>
            </w:r>
          </w:p>
        </w:tc>
        <w:tc>
          <w:tcPr>
            <w:tcW w:type="dxa" w:w="2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пасс-км</w:t>
            </w: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82,8</w:t>
            </w: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75,8</w:t>
            </w: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w:t>
            </w:r>
          </w:p>
        </w:tc>
      </w:tr>
    </w:tbl>
    <w:p>
      <w:pPr>
        <w:spacing w:after="120"/>
        <w:jc w:val="both"/>
      </w:pPr>
      <w:r>
        <w:rPr>
          <w:rFonts w:ascii="Arial" w:cs="Arial" w:eastAsia="Arial" w:hAnsi="Arial"/>
          <w:sz w:val="24"/>
          <w:szCs w:val="24"/>
        </w:rPr>
        <w:t xml:space="preserve">Приоритетной задачей является реализация проекта по строительству китайско-кыргызско-узбекской железнодорожной магистрали, с формированием южного коридора Евразийской трансконтинентальной железнодорожной магистрали.</w:t>
      </w:r>
    </w:p>
    <w:p>
      <w:pPr>
        <w:spacing w:after="120"/>
        <w:jc w:val="both"/>
      </w:pPr>
      <w:r>
        <w:rPr>
          <w:rFonts w:ascii="Arial" w:cs="Arial" w:eastAsia="Arial" w:hAnsi="Arial"/>
          <w:sz w:val="24"/>
          <w:szCs w:val="24"/>
        </w:rPr>
        <w:t xml:space="preserve">В целях совместного продвижения реализации проекта строительства железной дороги "Китай-Кыргызстан-Узбекистан" 17 апреля 2012 года был подписан Меморандум о сотрудничестве между Министерством транспорта и коммуникаций Кыргызской Республики и Китайской корпорацией по строительству дорог и мостов (CRBC).</w:t>
      </w:r>
    </w:p>
    <w:p>
      <w:pPr>
        <w:spacing w:after="120"/>
        <w:jc w:val="both"/>
      </w:pPr>
      <w:r>
        <w:rPr>
          <w:rFonts w:ascii="Arial" w:cs="Arial" w:eastAsia="Arial" w:hAnsi="Arial"/>
          <w:sz w:val="24"/>
          <w:szCs w:val="24"/>
        </w:rPr>
        <w:t xml:space="preserve">Китайской стороной на основе проведенной работы по оптимизации маршрутов были предложены следующие 4 варианта:</w:t>
      </w:r>
    </w:p>
    <w:p>
      <w:pPr>
        <w:spacing w:after="120"/>
        <w:jc w:val="both"/>
      </w:pPr>
      <w:r>
        <w:rPr>
          <w:rFonts w:ascii="Arial" w:cs="Arial" w:eastAsia="Arial" w:hAnsi="Arial"/>
          <w:sz w:val="24"/>
          <w:szCs w:val="24"/>
        </w:rPr>
        <w:t xml:space="preserve">Северный № 1: Торугарт - Ак-Бейит - Кара-Булун - Водохранилище Ат-Башы - вдоль реки Нарын-Кок-Арт - Джалал-Абад (428 км);</w:t>
      </w:r>
    </w:p>
    <w:p>
      <w:pPr>
        <w:spacing w:after="120"/>
        <w:jc w:val="both"/>
      </w:pPr>
      <w:r>
        <w:rPr>
          <w:rFonts w:ascii="Arial" w:cs="Arial" w:eastAsia="Arial" w:hAnsi="Arial"/>
          <w:sz w:val="24"/>
          <w:szCs w:val="24"/>
        </w:rPr>
        <w:t xml:space="preserve">Северный № 2: Торугарт - Арпа - вдоль Ферганского хребта - Кок-Арт - Джалал-Абад (243,6 км);</w:t>
      </w:r>
    </w:p>
    <w:p>
      <w:pPr>
        <w:spacing w:after="120"/>
        <w:jc w:val="both"/>
      </w:pPr>
      <w:r>
        <w:rPr>
          <w:rFonts w:ascii="Arial" w:cs="Arial" w:eastAsia="Arial" w:hAnsi="Arial"/>
          <w:sz w:val="24"/>
          <w:szCs w:val="24"/>
        </w:rPr>
        <w:t xml:space="preserve">Южный № 1 и № 2: Торугарт - Тузбель - Арпа - Узген - Кара-Суу (270 км).</w:t>
      </w:r>
    </w:p>
    <w:p>
      <w:pPr>
        <w:spacing w:after="120"/>
        <w:jc w:val="both"/>
      </w:pPr>
      <w:r>
        <w:rPr>
          <w:rFonts w:ascii="Arial" w:cs="Arial" w:eastAsia="Arial" w:hAnsi="Arial"/>
          <w:sz w:val="24"/>
          <w:szCs w:val="24"/>
        </w:rPr>
        <w:t xml:space="preserve">В ходе дальнейшего рассмотрения было решено отказаться от южных вариантов маршрута, так как они проходят в неблагоприятных горно-геологических условиях, в труднодоступных и малонаселенных районах.</w:t>
      </w:r>
    </w:p>
    <w:p>
      <w:pPr>
        <w:spacing w:after="120"/>
        <w:jc w:val="both"/>
      </w:pPr>
      <w:r>
        <w:rPr>
          <w:rFonts w:ascii="Arial" w:cs="Arial" w:eastAsia="Arial" w:hAnsi="Arial"/>
          <w:sz w:val="24"/>
          <w:szCs w:val="24"/>
        </w:rPr>
        <w:t xml:space="preserve">В настоящее время в отрасли гражданской авиации заняты 19 предприятий, в том числе 16 авиакомпаний, ГП "Кыргызаэронавигация", ОАО "Международный аэропорт "Манас" и авиационный колледж им.И.Абдраимова. Из 16 авиакомпаний, зарегистрированных в Кыргызской Республике Авиакомпания "Кыргызстан" является государственным предприятием.</w:t>
      </w:r>
    </w:p>
    <w:p>
      <w:pPr>
        <w:spacing w:after="120"/>
        <w:jc w:val="both"/>
      </w:pPr>
      <w:r>
        <w:rPr>
          <w:rFonts w:ascii="Arial" w:cs="Arial" w:eastAsia="Arial" w:hAnsi="Arial"/>
          <w:sz w:val="24"/>
          <w:szCs w:val="24"/>
        </w:rPr>
        <w:t xml:space="preserve">Стабильно осуществляли в течение 2012 года регулярные пассажирские перевозки по международным и внутренним воздушным линиям следующие авиакомпании: ОАО "Авиакомпания Кыргызстан", ОсОО Авиакомпания "Авиа Траффик Компани", ОсОО Авиакомпания "AIRBISHKEK" и ОсОО Авиакомпания "Скай Бишкек".</w:t>
      </w:r>
    </w:p>
    <w:p>
      <w:pPr>
        <w:spacing w:after="120"/>
        <w:jc w:val="both"/>
      </w:pPr>
      <w:r>
        <w:rPr>
          <w:rFonts w:ascii="Arial" w:cs="Arial" w:eastAsia="Arial" w:hAnsi="Arial"/>
          <w:sz w:val="24"/>
          <w:szCs w:val="24"/>
        </w:rPr>
        <w:t xml:space="preserve">На 1 января 2013 года в Реестре воздушных судов Кыргызской Республики состоит всего 91 воздушное судно, из них с летной годностью 36 воздушных судов, без летной годности 55 воздушных судов.</w:t>
      </w:r>
    </w:p>
    <w:p>
      <w:pPr>
        <w:spacing w:after="120"/>
        <w:jc w:val="both"/>
      </w:pPr>
      <w:r>
        <w:rPr>
          <w:rFonts w:ascii="Arial" w:cs="Arial" w:eastAsia="Arial" w:hAnsi="Arial"/>
          <w:sz w:val="24"/>
          <w:szCs w:val="24"/>
        </w:rPr>
        <w:t xml:space="preserve">В 2012 году Агентством гражданской авиации при Министерстве транспорта и коммуникаций Кыргызской Республики выдано 48 Сертификатов Летной годности. В соответствии с постановлением Правительства Кыргызской Республики от 29 июня 2011 года из Реестра воздушных судов исключено 18 ВС. Выдано 18 специальных разрешений на полет. Оформлены документы и выдано 172 квалификационных отметок на допуск ИТП к самостоятельному техническому обслуживанию воздушных судов. Оформлены документы и выдано инженерно-техническому персоналу 55 свидетельств. Одобрено 54 свидетельства других государств. Введены в действие и разосланы эксплуатантам: 15 директив летной годности, 9 бюллетеней, 11 писем направленных на поддержание летной годности и обеспечение безопасности полетов воздушных судов.</w:t>
      </w:r>
    </w:p>
    <w:p>
      <w:pPr>
        <w:spacing w:after="120"/>
        <w:jc w:val="both"/>
      </w:pPr>
      <w:r>
        <w:rPr>
          <w:rFonts w:ascii="Arial" w:cs="Arial" w:eastAsia="Arial" w:hAnsi="Arial"/>
          <w:sz w:val="24"/>
          <w:szCs w:val="24"/>
        </w:rPr>
        <w:t xml:space="preserve">За отчетный период было рассмотрено 15 заявок на продление сертификатов эксплуатанта, проведен аудит всех авиакомпаний. По результатам аудита выдано 15 инспекторских предписаний на устранение выявленных недостатков.</w:t>
      </w:r>
    </w:p>
    <w:p>
      <w:pPr>
        <w:spacing w:after="120"/>
        <w:jc w:val="both"/>
      </w:pPr>
      <w:r>
        <w:rPr>
          <w:rFonts w:ascii="Arial" w:cs="Arial" w:eastAsia="Arial" w:hAnsi="Arial"/>
          <w:sz w:val="24"/>
          <w:szCs w:val="24"/>
        </w:rPr>
        <w:t xml:space="preserve">В данное время зарегистрировано 11 действующих аэропортов, из них 4 - международных ("Манас", "Ош", "Иссык-Куль", "Каракол").</w:t>
      </w:r>
    </w:p>
    <w:p>
      <w:pPr>
        <w:spacing w:after="120"/>
        <w:jc w:val="both"/>
      </w:pPr>
      <w:r>
        <w:rPr>
          <w:rFonts w:ascii="Arial" w:cs="Arial" w:eastAsia="Arial" w:hAnsi="Arial"/>
          <w:sz w:val="24"/>
          <w:szCs w:val="24"/>
        </w:rPr>
        <w:t xml:space="preserve">Проведена сертификация аэродромов "Баткен", "Исфана", "Нарын", "Казарман", "Иссык-Куль", "Талас", "Каракол", "Джалалабад", "Ош", "Караван", "Манас" в рамках сертификации аэродромов, изучены эксплуатационные документы и выданы Сертификаты соответствия.</w:t>
      </w:r>
    </w:p>
    <w:p>
      <w:pPr>
        <w:spacing w:after="120"/>
        <w:jc w:val="both"/>
      </w:pPr>
      <w:r>
        <w:rPr>
          <w:rFonts w:ascii="Arial" w:cs="Arial" w:eastAsia="Arial" w:hAnsi="Arial"/>
          <w:sz w:val="24"/>
          <w:szCs w:val="24"/>
        </w:rPr>
        <w:t xml:space="preserve">За отчетный период выдано и продлено 144 лицензии, в том числе: на перевозку по МВЛ - 137, на перевозку по BBЛ - 2, авиационные спецработы - 1 и на техническое обслуживание воздушных судов и их оборудование - 4.</w:t>
      </w:r>
    </w:p>
    <w:p>
      <w:pPr>
        <w:spacing w:after="120"/>
        <w:jc w:val="both"/>
      </w:pPr>
      <w:r>
        <w:rPr>
          <w:rFonts w:ascii="Arial" w:cs="Arial" w:eastAsia="Arial" w:hAnsi="Arial"/>
          <w:sz w:val="24"/>
          <w:szCs w:val="24"/>
        </w:rPr>
        <w:t xml:space="preserve">Возобновлены регулярные рейсы по внутренним воздушным линиям Бишкек-Баткен, Бишкек-Джалалабад, Бишкек-Исфана.</w:t>
      </w:r>
    </w:p>
    <w:p>
      <w:pPr>
        <w:spacing w:after="120"/>
        <w:jc w:val="both"/>
      </w:pPr>
      <w:r>
        <w:rPr>
          <w:rFonts w:ascii="Arial" w:cs="Arial" w:eastAsia="Arial" w:hAnsi="Arial"/>
          <w:sz w:val="24"/>
          <w:szCs w:val="24"/>
        </w:rPr>
        <w:t xml:space="preserve">Открыты новые международные рейсы: Бишкек-Худжанд, Бишкек-Сеул, Бишкек-Сургут, Бишкек-Иркутск и Ош-Сургут.</w:t>
      </w:r>
    </w:p>
    <w:p>
      <w:pPr>
        <w:spacing w:after="120"/>
        <w:jc w:val="both"/>
      </w:pPr>
      <w:r>
        <w:rPr>
          <w:rFonts w:ascii="Arial" w:cs="Arial" w:eastAsia="Arial" w:hAnsi="Arial"/>
          <w:sz w:val="24"/>
          <w:szCs w:val="24"/>
        </w:rPr>
        <w:t xml:space="preserve">Открыты иностранными компаниями следующие рейсы: Краснодар-Бишкек, Бишкек-Омск, Ош-Стамбул.</w:t>
      </w:r>
    </w:p>
    <w:p>
      <w:pPr>
        <w:spacing w:after="120"/>
        <w:jc w:val="both"/>
      </w:pPr>
      <w:r>
        <w:rPr>
          <w:rFonts w:ascii="Arial" w:cs="Arial" w:eastAsia="Arial" w:hAnsi="Arial"/>
          <w:sz w:val="24"/>
          <w:szCs w:val="24"/>
        </w:rPr>
        <w:t xml:space="preserve">За 2012 год кыргызскими авиакомпаниями перевезено 830677 пассажиров, в том числе по международным рейсам - 590991 и внутренним рейсам - 239686, что на 14,68% больше по сравнению соответствующим периодом прошлого года.</w:t>
      </w:r>
    </w:p>
    <w:p>
      <w:pPr>
        <w:spacing w:after="120"/>
        <w:jc w:val="both"/>
      </w:pPr>
      <w:r>
        <w:rPr>
          <w:rFonts w:ascii="Arial" w:cs="Arial" w:eastAsia="Arial" w:hAnsi="Arial"/>
          <w:sz w:val="24"/>
          <w:szCs w:val="24"/>
        </w:rPr>
        <w:t xml:space="preserve">По объему почтовых перевозок наблюдается рост на 25,77%, а по грузовым перевозкам наблюдается снижение на 41,78% по сравнению с соответствующим периодом прошлого года.</w:t>
      </w:r>
    </w:p>
    <w:p>
      <w:pPr>
        <w:spacing w:after="120"/>
        <w:jc w:val="both"/>
      </w:pPr>
      <w:r>
        <w:rPr>
          <w:rFonts w:ascii="Arial" w:cs="Arial" w:eastAsia="Arial" w:hAnsi="Arial"/>
          <w:sz w:val="24"/>
          <w:szCs w:val="24"/>
        </w:rPr>
        <w:t xml:space="preserve">В аэропорту "Манас" по оперативным данным увеличение международных регулярных рейсов составило 18,15%, а количество внутренних рейсов по сравнению с аналогичным периодом 2011 года уменьшилось на 34,81%, или на 1449 рейса в связи со снятием с эксплуатации таких типов воздушных судов как Ан-24 и Ту-134, хотя из-за введения других ВС пассажироперевозки даже выросли на 14,68%.</w:t>
      </w:r>
    </w:p>
    <w:p>
      <w:pPr>
        <w:spacing w:after="120"/>
        <w:jc w:val="both"/>
      </w:pPr>
      <w:r>
        <w:rPr>
          <w:rFonts w:ascii="Arial" w:cs="Arial" w:eastAsia="Arial" w:hAnsi="Arial"/>
          <w:sz w:val="24"/>
          <w:szCs w:val="24"/>
        </w:rPr>
        <w:t xml:space="preserve">Количество обслуженных регулярных международных рейсов по оперативным данным за 2012 год в аэропорту "Ош" увеличилось по сравнению с прошлым годом на 24,67%, а по внутренним рейсам по расписанию отмечено уменьшение на 1555 рейса или на 37,17% также связано со снятием с эксплуатации таких типов воздушных судов как Ан-24 и Ту-134 и снижением рейсов авиакомпания "Кыргызстан".</w:t>
      </w:r>
    </w:p>
    <w:p>
      <w:pPr>
        <w:spacing w:after="120"/>
        <w:jc w:val="both"/>
      </w:pPr>
      <w:r>
        <w:rPr>
          <w:rFonts w:ascii="Arial" w:cs="Arial" w:eastAsia="Arial" w:hAnsi="Arial"/>
          <w:sz w:val="24"/>
          <w:szCs w:val="24"/>
        </w:rPr>
        <w:t xml:space="preserve">Государственное предприятие "Кыргызаэронавигация" по обслуживанию воздушного движения, осуществляет производственно-хозяйственную деятельность за счет сборов за аэронавигационное обслуживание полетов в воздушном пространстве Кыргызской Республики. По оперативным данным за 2012 год доходы предприятия по производственным показателям увеличились на 17,8%, расходы по производственным показателям увеличились на 8,6%.</w:t>
      </w:r>
    </w:p>
    <w:p>
      <w:pPr>
        <w:spacing w:after="120"/>
        <w:jc w:val="both"/>
      </w:pPr>
      <w:r>
        <w:rPr>
          <w:rFonts w:ascii="Arial" w:cs="Arial" w:eastAsia="Arial" w:hAnsi="Arial"/>
          <w:sz w:val="24"/>
          <w:szCs w:val="24"/>
        </w:rPr>
        <w:t xml:space="preserve">Общий объем обслуженных воздушных судов по оперативным данным за 2012 год сравнительно с аналогичным периодом прошлого года уменьшился на 4,37%</w:t>
      </w:r>
    </w:p>
    <w:p>
      <w:pPr>
        <w:spacing w:after="120"/>
        <w:jc w:val="both"/>
      </w:pPr>
      <w:r>
        <w:rPr>
          <w:rFonts w:ascii="Arial" w:cs="Arial" w:eastAsia="Arial" w:hAnsi="Arial"/>
          <w:sz w:val="24"/>
          <w:szCs w:val="24"/>
        </w:rPr>
        <w:t xml:space="preserve">В рамках программы модернизации аэронавигационного оборудования за счет грантовых средств, выделенных Правительством США в размере 28 млн. 995,9 тыс. долларов США в настоящее время завершено строительство 7-этажа Вышки на территории международного аэропорта "Манас", которое по проекту будет полностью завершена в июне 2013 года.</w:t>
      </w:r>
    </w:p>
    <w:p>
      <w:pPr>
        <w:spacing w:after="120"/>
        <w:jc w:val="both"/>
      </w:pPr>
      <w:r>
        <w:rPr>
          <w:rFonts w:ascii="Arial" w:cs="Arial" w:eastAsia="Arial" w:hAnsi="Arial"/>
          <w:sz w:val="24"/>
          <w:szCs w:val="24"/>
        </w:rPr>
        <w:t xml:space="preserve">В целях развития рынка программного обеспечения и индустрии информационных технологий, создания новых рабочих мест и благоприятной среды для развития экономики государства проведена работа по созданию Парка высоких технологий Кыргызской Республики (ПВТ). </w:t>
      </w:r>
      <w:hyperlink w:history="1" r:id="rIdkzvqqg2skhwddx0d_fam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 мая 2012 года № 267 "О создании Парка высоких технологий КР" утверждены: Положение о Наблюдательном Совете ПВТ; Положение о порядке регистрации резидентов ПВТ и Устав Дирекции ПВТ. Распоряжением Премьер-министра Кыргызской Республики от 3 декабря 2012 года № 888 утвержден состав Наблюдательного совета ПВТ КР.</w:t>
      </w:r>
    </w:p>
    <w:p>
      <w:pPr>
        <w:spacing w:after="120"/>
        <w:jc w:val="both"/>
      </w:pPr>
      <w:r>
        <w:rPr>
          <w:rFonts w:ascii="Arial" w:cs="Arial" w:eastAsia="Arial" w:hAnsi="Arial"/>
          <w:sz w:val="24"/>
          <w:szCs w:val="24"/>
        </w:rPr>
        <w:t xml:space="preserve">21 декабря 2012 года проведено первое заседание Наблюдательного совета ПВТ КР, осуществлена государственная регистрация Дирекции ПВТ в органе юстиции, назначен Директор дирекции ПВТ и решаются финансовые и организационные вопросы по функционированию Дирекции ПВТ.</w:t>
      </w:r>
    </w:p>
    <w:p>
      <w:pPr>
        <w:spacing w:after="120"/>
        <w:jc w:val="both"/>
      </w:pPr>
      <w:r>
        <w:rPr>
          <w:rFonts w:ascii="Arial" w:cs="Arial" w:eastAsia="Arial" w:hAnsi="Arial"/>
          <w:sz w:val="24"/>
          <w:szCs w:val="24"/>
        </w:rPr>
        <w:t xml:space="preserve">Разработан технический проект по объединению 12 государственных органов в одну вычислительную интернет сеть с использованием ВОЛС для внедрения Мультисервисной информационно-коммуникационной системы (МИКС) в государственных органах.</w:t>
      </w:r>
    </w:p>
    <w:p>
      <w:pPr>
        <w:spacing w:after="120"/>
        <w:jc w:val="both"/>
      </w:pPr>
      <w:r>
        <w:rPr>
          <w:rFonts w:ascii="Arial" w:cs="Arial" w:eastAsia="Arial" w:hAnsi="Arial"/>
          <w:sz w:val="24"/>
          <w:szCs w:val="24"/>
        </w:rPr>
        <w:t xml:space="preserve">По результатам проведенных работ ГП "Кыргызпочтасы" в 2012 году по оперативным данным план доходов выполнен на 107,0%, или от оказанных почтовых услуг получено доходов в сумме 499,0 млн. сомов при плане 466,3 млн. сом. Рост доходов в основном обеспечен за счет внедрения новых видов услуг и технологий по ним.</w:t>
      </w:r>
    </w:p>
    <w:p>
      <w:pPr>
        <w:spacing w:after="120"/>
        <w:jc w:val="both"/>
      </w:pPr>
      <w:r>
        <w:rPr>
          <w:rFonts w:ascii="Arial" w:cs="Arial" w:eastAsia="Arial" w:hAnsi="Arial"/>
          <w:sz w:val="24"/>
          <w:szCs w:val="24"/>
        </w:rPr>
        <w:t xml:space="preserve">Активно внедряются различные автоматизированные системы и услуги для приема платежей. К сети высокоскоростного Интернет подключены все филиалы, за исключением Чон-Алайского районного филиала (в виду отсутствия технической возможности у ОАО "Кыргызтелеком"). В марте 2012 года от Почты Кореи получено 100 компьютеров, которые направлены в филиалы ГП "Кыргызпочтасы".</w:t>
      </w:r>
    </w:p>
    <w:p>
      <w:pPr>
        <w:spacing w:after="120"/>
        <w:jc w:val="both"/>
      </w:pPr>
      <w:r>
        <w:rPr>
          <w:rFonts w:ascii="Arial" w:cs="Arial" w:eastAsia="Arial" w:hAnsi="Arial"/>
          <w:sz w:val="24"/>
          <w:szCs w:val="24"/>
        </w:rPr>
        <w:t xml:space="preserve">Во исполнение распоряжения Правительства Кыргызской Республики от 4 июля 2012 года № 322-р "Об организации 50 центров обслуживания населения по обеспечению граждан Кыргызской Республики национальными паспортами", завершены ремонтные работы в районных филиалах и городских отделениях связи для размещения 50 ЦОН.</w:t>
      </w:r>
    </w:p>
    <w:p>
      <w:pPr>
        <w:spacing w:after="120"/>
        <w:jc w:val="both"/>
      </w:pPr>
      <w:r>
        <w:rPr>
          <w:rFonts w:ascii="Arial" w:cs="Arial" w:eastAsia="Arial" w:hAnsi="Arial"/>
          <w:sz w:val="24"/>
          <w:szCs w:val="24"/>
        </w:rPr>
        <w:t xml:space="preserve">Подготовлен, согласован и утвержден план реализации пилотного проекта по раскрытию платежей, принимаемых Бишкекским почтамтом для ОАО "Кыргызлифт", при участии НБ КР, ОАО "Айылбанк", ОАО "Кыргызлифт", ОАО "Юникредит банк" и ГП "Кыргызпочтасы".</w:t>
      </w:r>
    </w:p>
    <w:p>
      <w:pPr>
        <w:spacing w:after="120"/>
        <w:jc w:val="both"/>
      </w:pPr>
      <w:r>
        <w:rPr>
          <w:rFonts w:ascii="Arial" w:cs="Arial" w:eastAsia="Arial" w:hAnsi="Arial"/>
          <w:sz w:val="24"/>
          <w:szCs w:val="24"/>
        </w:rPr>
        <w:t xml:space="preserve">Также ведутся работы по реализации проекта Всемирного банка по развитию финансового сектора в Кыргызской Республике, в рамках которого ГП "Кыргызпочтасы" предусмотрено 5,6 млн. долларов США, из которых 3,9 млн. долларов США будут выделены из кредитных средств и 1,7 млн. долл. США из грантовых средств. В данном проекте предусмотрено установка компьютерного оборудования и полная автоматизация технологических процессов в 400 крупных сельских отделениях почтовой связи и программного обеспечения "Операционное почтовое окно" с широким спектром почтовых и финансовых услуг. Сроки реализации проекта с 2012 по 2017 годы.</w:t>
      </w:r>
    </w:p>
    <w:p>
      <w:pPr>
        <w:spacing w:after="120"/>
        <w:jc w:val="both"/>
      </w:pPr>
      <w:r>
        <w:rPr>
          <w:rFonts w:ascii="Arial" w:cs="Arial" w:eastAsia="Arial" w:hAnsi="Arial"/>
          <w:sz w:val="24"/>
          <w:szCs w:val="24"/>
        </w:rPr>
        <w:t xml:space="preserve">Стимулирующие долевые гранты</w:t>
      </w:r>
    </w:p>
    <w:p>
      <w:pPr>
        <w:spacing w:after="120"/>
        <w:jc w:val="both"/>
      </w:pPr>
      <w:r>
        <w:rPr>
          <w:rFonts w:ascii="Arial" w:cs="Arial" w:eastAsia="Arial" w:hAnsi="Arial"/>
          <w:sz w:val="24"/>
          <w:szCs w:val="24"/>
        </w:rPr>
        <w:t xml:space="preserve">В 2012 году республиканским бюджетом "Стимулирующие (долевые) гранты" были предусмотрены в сумме 350,0 млн. сомов. Фактические расходы за 2012 год составили сумму 349,7 млн. сомов или на 99,9% от плана, из них: по статье 3111 "Здания и сооружения" - 343,3 млн. сомов, по статье 3112 "Машины и оборудования" - 6,4 млн. сомов.</w:t>
      </w:r>
    </w:p>
    <w:p>
      <w:pPr>
        <w:spacing w:after="120"/>
        <w:jc w:val="both"/>
      </w:pPr>
      <w:r>
        <w:rPr>
          <w:rFonts w:ascii="Arial" w:cs="Arial" w:eastAsia="Arial" w:hAnsi="Arial"/>
          <w:sz w:val="24"/>
          <w:szCs w:val="24"/>
        </w:rPr>
        <w:t xml:space="preserve">Капитальные вложения</w:t>
      </w:r>
    </w:p>
    <w:p>
      <w:pPr>
        <w:spacing w:after="120"/>
        <w:jc w:val="both"/>
      </w:pPr>
      <w:r>
        <w:rPr>
          <w:rFonts w:ascii="Arial" w:cs="Arial" w:eastAsia="Arial" w:hAnsi="Arial"/>
          <w:sz w:val="24"/>
          <w:szCs w:val="24"/>
        </w:rPr>
        <w:t xml:space="preserve">В соответствии с утвержденным перечнем государственных строек и объектов на 2012 год за счет республиканского бюджета по статье "капитальные вложения" на строительство объектов социально-экономического значения были предусмотрены средства в общей сумме 1650,0 млн. сомов.</w:t>
      </w:r>
    </w:p>
    <w:p>
      <w:pPr>
        <w:spacing w:after="120"/>
        <w:jc w:val="both"/>
      </w:pPr>
      <w:r>
        <w:rPr>
          <w:rFonts w:ascii="Arial" w:cs="Arial" w:eastAsia="Arial" w:hAnsi="Arial"/>
          <w:sz w:val="24"/>
          <w:szCs w:val="24"/>
        </w:rPr>
        <w:t xml:space="preserve">Так, на завершение строительства ранее начатых объектов образования высокой строительной готовности были направлены средства в общей сумме 741,9 млн. сом, на строительство объектов здравоохранения выделено 122,8 млн. сом, на строительство объектов культуры и спорта выделено 34,3 млн. сом, на строительство объектов жилищно-коммунального хозяйства 275,9 млн. сом, на продолжения строительства водохозяйственных сооружений 78,0 млн. сом, на строительство мостов и автомобильных дорог 379,5 млн. сом и на прочие объекты 17,6 млн. сом.</w:t>
      </w:r>
    </w:p>
    <w:p>
      <w:pPr>
        <w:spacing w:after="120"/>
        <w:jc w:val="both"/>
      </w:pPr>
      <w:r>
        <w:rPr>
          <w:rFonts w:ascii="Arial" w:cs="Arial" w:eastAsia="Arial" w:hAnsi="Arial"/>
          <w:sz w:val="24"/>
          <w:szCs w:val="24"/>
        </w:rPr>
        <w:t xml:space="preserve">По Государственной дирекции по восстановлению и развитию городов Ош и Жалал-Абад</w:t>
      </w:r>
    </w:p>
    <w:p>
      <w:pPr>
        <w:spacing w:after="120"/>
        <w:jc w:val="both"/>
      </w:pPr>
      <w:r>
        <w:rPr>
          <w:rFonts w:ascii="Arial" w:cs="Arial" w:eastAsia="Arial" w:hAnsi="Arial"/>
          <w:sz w:val="24"/>
          <w:szCs w:val="24"/>
        </w:rPr>
        <w:t xml:space="preserve">В </w:t>
      </w:r>
      <w:hyperlink w:history="1" r:id="rIdqqsoq11xr6nxwprf0z1kn">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республиканском бюджете Кыргызской Республики на 2013 год и прогнозе на 2014-2015 годы", для Государственной дирекции по восстановлению и развитию городов Ош и Жалал-Абад были утверждены средства в сумме 883,7 млн. сомов, исполнение составило 879,7 млн. сомов, в том числе по следующим статьям:</w:t>
      </w:r>
    </w:p>
    <w:p>
      <w:pPr>
        <w:spacing w:after="120"/>
        <w:jc w:val="both"/>
      </w:pPr>
      <w:r>
        <w:rPr>
          <w:rFonts w:ascii="Arial" w:cs="Arial" w:eastAsia="Arial" w:hAnsi="Arial"/>
          <w:sz w:val="24"/>
          <w:szCs w:val="24"/>
        </w:rPr>
        <w:t xml:space="preserve">- "Здания и сооружения" - 732,3 млн. сомов;</w:t>
      </w:r>
    </w:p>
    <w:p>
      <w:pPr>
        <w:spacing w:after="120"/>
        <w:jc w:val="both"/>
      </w:pPr>
      <w:r>
        <w:rPr>
          <w:rFonts w:ascii="Arial" w:cs="Arial" w:eastAsia="Arial" w:hAnsi="Arial"/>
          <w:sz w:val="24"/>
          <w:szCs w:val="24"/>
        </w:rPr>
        <w:t xml:space="preserve">- "Субсидии предпринимателям и населению" - 101,3 млн. сомов;</w:t>
      </w:r>
    </w:p>
    <w:p>
      <w:pPr>
        <w:spacing w:after="120"/>
        <w:jc w:val="both"/>
      </w:pPr>
      <w:r>
        <w:rPr>
          <w:rFonts w:ascii="Arial" w:cs="Arial" w:eastAsia="Arial" w:hAnsi="Arial"/>
          <w:sz w:val="24"/>
          <w:szCs w:val="24"/>
        </w:rPr>
        <w:t xml:space="preserve">- "Ссуды предпринимателям и населению" - 15,7 млн. сомов;</w:t>
      </w:r>
    </w:p>
    <w:p>
      <w:pPr>
        <w:spacing w:after="120"/>
        <w:jc w:val="both"/>
      </w:pPr>
      <w:r>
        <w:rPr>
          <w:rFonts w:ascii="Arial" w:cs="Arial" w:eastAsia="Arial" w:hAnsi="Arial"/>
          <w:sz w:val="24"/>
          <w:szCs w:val="24"/>
        </w:rPr>
        <w:t xml:space="preserve">- "Содержание Госдирекции" ("Здания и сооружения") - 30,4 млн. сомов.</w:t>
      </w:r>
    </w:p>
    <w:p>
      <w:pPr>
        <w:spacing w:after="120"/>
        <w:jc w:val="both"/>
      </w:pPr>
      <w:r>
        <w:rPr>
          <w:rFonts w:ascii="Arial" w:cs="Arial" w:eastAsia="Arial" w:hAnsi="Arial"/>
          <w:sz w:val="24"/>
          <w:szCs w:val="24"/>
        </w:rPr>
        <w:t xml:space="preserve">На строительство многоэтажных домов, восстановление индивидуальных жилых домов, строительство и восстановление социальных, административных зданий объектов инфраструктуры были выделены 732,3 тыс. сомов.</w:t>
      </w:r>
    </w:p>
    <w:p>
      <w:pPr>
        <w:spacing w:after="120"/>
        <w:jc w:val="both"/>
      </w:pPr>
      <w:r>
        <w:rPr>
          <w:rFonts w:ascii="Arial" w:cs="Arial" w:eastAsia="Arial" w:hAnsi="Arial"/>
          <w:sz w:val="24"/>
          <w:szCs w:val="24"/>
        </w:rPr>
        <w:t xml:space="preserve">За 2012 год пострадавшие предприниматели в количестве 2125 получили ссуды и безвозмездную помощь на сумму 117,0 млн. сомов, из них:</w:t>
      </w:r>
    </w:p>
    <w:p>
      <w:pPr>
        <w:spacing w:after="120"/>
        <w:jc w:val="both"/>
      </w:pPr>
      <w:r>
        <w:rPr>
          <w:rFonts w:ascii="Arial" w:cs="Arial" w:eastAsia="Arial" w:hAnsi="Arial"/>
          <w:sz w:val="24"/>
          <w:szCs w:val="24"/>
        </w:rPr>
        <w:t xml:space="preserve">- льготная ссуда выдана на сумму 15,7 млн. сомов 105 пострадавшим предпринимателям (до 150,0 тыс. сомов);</w:t>
      </w:r>
    </w:p>
    <w:p>
      <w:pPr>
        <w:spacing w:after="120"/>
        <w:jc w:val="both"/>
      </w:pPr>
      <w:r>
        <w:rPr>
          <w:rFonts w:ascii="Arial" w:cs="Arial" w:eastAsia="Arial" w:hAnsi="Arial"/>
          <w:sz w:val="24"/>
          <w:szCs w:val="24"/>
        </w:rPr>
        <w:t xml:space="preserve">- безвозмездная помощь выдана на сумму 101,3 млн. сомов (по 50,0 тыс. сомов).</w:t>
      </w:r>
    </w:p>
    <w:p>
      <w:pPr>
        <w:spacing w:after="120"/>
        <w:jc w:val="both"/>
      </w:pPr>
      <w:r>
        <w:rPr>
          <w:rFonts w:ascii="Arial" w:cs="Arial" w:eastAsia="Arial" w:hAnsi="Arial"/>
          <w:sz w:val="24"/>
          <w:szCs w:val="24"/>
        </w:rPr>
        <w:t xml:space="preserve">По оказанию помощи пострадавшим от стихийных бедствий</w:t>
      </w:r>
    </w:p>
    <w:p>
      <w:pPr>
        <w:spacing w:after="120"/>
        <w:jc w:val="both"/>
      </w:pPr>
      <w:r>
        <w:rPr>
          <w:rFonts w:ascii="Arial" w:cs="Arial" w:eastAsia="Arial" w:hAnsi="Arial"/>
          <w:sz w:val="24"/>
          <w:szCs w:val="24"/>
        </w:rPr>
        <w:t xml:space="preserve">(государственные ипотечные сертификаты)</w:t>
      </w:r>
    </w:p>
    <w:p>
      <w:pPr>
        <w:spacing w:after="120"/>
        <w:jc w:val="both"/>
      </w:pPr>
      <w:r>
        <w:rPr>
          <w:rFonts w:ascii="Arial" w:cs="Arial" w:eastAsia="Arial" w:hAnsi="Arial"/>
          <w:sz w:val="24"/>
          <w:szCs w:val="24"/>
        </w:rPr>
        <w:t xml:space="preserve">В соответствии оцененными возможностями бюджета Министерством финансов Кыргызской Республики в 2012 году по состоянию на 1 января 2013 года выпущены государственные ипотечные сертификаты в количестве 2000 штук согласно поданной заявке и переданы в Госстрой для дальнейшей раздачи пострадавшим лицам.</w:t>
      </w:r>
    </w:p>
    <w:p>
      <w:pPr>
        <w:spacing w:after="120"/>
        <w:jc w:val="both"/>
      </w:pPr>
      <w:r>
        <w:rPr>
          <w:rFonts w:ascii="Arial" w:cs="Arial" w:eastAsia="Arial" w:hAnsi="Arial"/>
          <w:sz w:val="24"/>
          <w:szCs w:val="24"/>
        </w:rPr>
        <w:t xml:space="preserve">В 2012 году по статье "Мероприятия по ликвидации последствий от стихийных бедствий" бюджетом для погашения задолженности по выданным государственным ипотечным сертификатам профинансировано 450,0 млн. сомов, в том числе:</w:t>
      </w:r>
    </w:p>
    <w:p>
      <w:pPr>
        <w:spacing w:after="120"/>
        <w:jc w:val="both"/>
      </w:pPr>
      <w:r>
        <w:rPr>
          <w:rFonts w:ascii="Arial" w:cs="Arial" w:eastAsia="Arial" w:hAnsi="Arial"/>
          <w:sz w:val="24"/>
          <w:szCs w:val="24"/>
        </w:rPr>
        <w:t xml:space="preserve">- пособия по социальной помощи населению - 69,6 тыс. сомов;</w:t>
      </w:r>
    </w:p>
    <w:p>
      <w:pPr>
        <w:spacing w:after="120"/>
        <w:jc w:val="both"/>
      </w:pPr>
      <w:r>
        <w:rPr>
          <w:rFonts w:ascii="Arial" w:cs="Arial" w:eastAsia="Arial" w:hAnsi="Arial"/>
          <w:sz w:val="24"/>
          <w:szCs w:val="24"/>
        </w:rPr>
        <w:t xml:space="preserve">- кредиты, ссуды и займы - 380,4 млн. сомов.</w:t>
      </w:r>
    </w:p>
    <w:p>
      <w:pPr>
        <w:spacing w:after="120"/>
        <w:jc w:val="both"/>
      </w:pPr>
      <w:r>
        <w:rPr>
          <w:rFonts w:ascii="Arial" w:cs="Arial" w:eastAsia="Arial" w:hAnsi="Arial"/>
          <w:sz w:val="24"/>
          <w:szCs w:val="24"/>
        </w:rPr>
        <w:t xml:space="preserve">Государственный долг</w:t>
      </w:r>
    </w:p>
    <w:p>
      <w:pPr>
        <w:spacing w:after="120"/>
        <w:jc w:val="both"/>
      </w:pPr>
      <w:r>
        <w:rPr>
          <w:rFonts w:ascii="Arial" w:cs="Arial" w:eastAsia="Arial" w:hAnsi="Arial"/>
          <w:sz w:val="24"/>
          <w:szCs w:val="24"/>
        </w:rPr>
        <w:t xml:space="preserve">Поступления от выпуска государственных ценных бумаг</w:t>
      </w:r>
    </w:p>
    <w:p>
      <w:pPr>
        <w:spacing w:after="120"/>
        <w:jc w:val="both"/>
      </w:pPr>
      <w:r>
        <w:rPr>
          <w:rFonts w:ascii="Arial" w:cs="Arial" w:eastAsia="Arial" w:hAnsi="Arial"/>
          <w:sz w:val="24"/>
          <w:szCs w:val="24"/>
        </w:rPr>
        <w:t xml:space="preserve">Министерство финансов Кыргызской Республики в целях финансирования дефицита бюджета, рефинансирования ранее выпущенных государственных ценных бумаг (ГЦБ) и развития рынка ГЦБ, осуществляет выпуск государственных казначейских векселей(1) (ГКВ) и государственных казначейских облигаций(2) (ГКО) и размещает их на регулярной основе на внутреннем рынке.</w:t>
      </w:r>
    </w:p>
    <w:p>
      <w:pPr>
        <w:spacing w:after="120"/>
        <w:jc w:val="both"/>
      </w:pPr>
      <w:r>
        <w:rPr>
          <w:rFonts w:ascii="Arial" w:cs="Arial" w:eastAsia="Arial" w:hAnsi="Arial"/>
          <w:sz w:val="24"/>
          <w:szCs w:val="24"/>
        </w:rPr>
        <w:t xml:space="preserve">В соответствие с </w:t>
      </w:r>
      <w:hyperlink w:history="1" r:id="rIdlgouwhmh7-9ybodnq6sd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республиканском бюджете Кыргызской Республики на 2012 год и прогнозе на 2013-2014 гг." от 17 апреля 2012 года № 41(3), в 2012 году планировалось привлечь средства за счет выпуска ГЦБ на сумму 5955,85 млн. сом, из них 4207,37 млн. сом - по ГКВ и 1748,48 млн. сом - по ГКО.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254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Источник</w:t>
            </w:r>
          </w:p>
        </w:tc>
        <w:tc>
          <w:tcPr>
            <w:tcW w:type="dxa" w:w="25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 утвержденный</w:t>
            </w:r>
          </w:p>
        </w:tc>
        <w:tc>
          <w:tcPr>
            <w:tcW w:type="dxa" w:w="25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Фактическое поступление</w:t>
            </w:r>
          </w:p>
        </w:tc>
        <w:tc>
          <w:tcPr>
            <w:tcW w:type="dxa" w:w="25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Delta Отклонение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Выпуск ГКВ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4207,37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4388,10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180,73</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Выпуск ГКО</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1748,48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2585,70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837,22</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5955,85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6973,80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1017,95</w:t>
            </w:r>
          </w:p>
        </w:tc>
      </w:tr>
    </w:tbl>
    <w:p>
      <w:pPr>
        <w:spacing w:after="120"/>
        <w:jc w:val="both"/>
      </w:pPr>
      <w:r>
        <w:rPr>
          <w:rFonts w:ascii="Arial" w:cs="Arial" w:eastAsia="Arial" w:hAnsi="Arial"/>
          <w:sz w:val="24"/>
          <w:szCs w:val="24"/>
        </w:rPr>
        <w:t xml:space="preserve">Delta = Фактические поступления - Прогноз утвержденный.</w:t>
      </w:r>
    </w:p>
    <w:p>
      <w:pPr>
        <w:spacing w:after="120"/>
        <w:jc w:val="both"/>
      </w:pPr>
      <w:r>
        <w:rPr>
          <w:rFonts w:ascii="Arial" w:cs="Arial" w:eastAsia="Arial" w:hAnsi="Arial"/>
          <w:sz w:val="24"/>
          <w:szCs w:val="24"/>
        </w:rPr>
        <w:t xml:space="preserve">Согласно Закону Кыргызской Республики "О внесении изменений в Закон Кыргызской Республики "О республиканском бюджете Кыргызской Республики на 2012 год и прогнозе на 2013-2014 годы" от 16 июля 2012 года № 119 поступления от выпуска и продажи ГЦБ были установлены в объеме 6955,85 млн. сом (в т.ч. от выпуска ГКВ - 5040,78 млн. сом, ГКО - 1915,07 млн. сом). Фактические поступления от размещения ГЦБ в республиканский бюджет составили 6973,80 млн. сом, из них 4388,10 млн. сом - по ГКВ и 2585,70 - по ГКО. Исполнение прогноза поступлений составило 100,3%. При этом, чистое финансирование по ГЦБ(4) было положительным и составило 2322,29 млн. сом.</w:t>
      </w:r>
    </w:p>
    <w:p>
      <w:pPr>
        <w:spacing w:after="120"/>
        <w:jc w:val="both"/>
      </w:pPr>
      <w:r>
        <w:rPr>
          <w:rFonts w:ascii="Arial" w:cs="Arial" w:eastAsia="Arial" w:hAnsi="Arial"/>
          <w:sz w:val="24"/>
          <w:szCs w:val="24"/>
        </w:rPr>
        <w:t xml:space="preserve">Заимствование осуществлялось на внутреннем рынке Кыргызской Республики путем размещения ГЦБ на аукционной основе среди первичных дилеров и других прямых участников аукционов. Структура выпуска ГЦБ разрабатывалась с учетом спроса участников аукциона на ГЦБ. Следует отметить, что в 2012 году выпуск ГЦБ производился исключительно на аукционной основе.</w:t>
      </w:r>
    </w:p>
    <w:p>
      <w:pPr>
        <w:spacing w:after="120"/>
        <w:jc w:val="both"/>
      </w:pPr>
      <w:r>
        <w:rPr>
          <w:rFonts w:ascii="Arial" w:cs="Arial" w:eastAsia="Arial" w:hAnsi="Arial"/>
          <w:sz w:val="24"/>
          <w:szCs w:val="24"/>
        </w:rPr>
        <w:t xml:space="preserve">Заимствование на внутреннем рынке осуществлялось в следующей структуре (см. Рис.1):</w:t>
      </w:r>
    </w:p>
    <w:p>
      <w:pPr>
        <w:spacing w:after="120"/>
        <w:jc w:val="both"/>
      </w:pPr>
      <w:r>
        <w:rPr>
          <w:rFonts w:ascii="Arial" w:cs="Arial" w:eastAsia="Arial" w:hAnsi="Arial"/>
          <w:sz w:val="24"/>
          <w:szCs w:val="24"/>
        </w:rPr>
        <w:t xml:space="preserve">Рис. 1. Структура заимствования путем выпуска ГЦБ</w:t>
      </w:r>
    </w:p>
    <w:p>
      <w:pPr>
        <w:spacing w:after="120"/>
        <w:jc w:val="both"/>
      </w:pPr>
      <w:r>
        <w:rPr>
          <w:rFonts w:ascii="Arial" w:cs="Arial" w:eastAsia="Arial" w:hAnsi="Arial"/>
          <w:sz w:val="24"/>
          <w:szCs w:val="24"/>
        </w:rPr>
        <w:t xml:space="preserve">При этом, средневзвешенные годовые(5) значения доходности по ГЦБ, размещенным на аукционной основе были следующими: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254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Вид ГЦБ</w:t>
            </w:r>
          </w:p>
        </w:tc>
        <w:tc>
          <w:tcPr>
            <w:tcW w:type="dxa" w:w="25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Средневзвешенная годовая доходность 2011 г.</w:t>
            </w:r>
          </w:p>
        </w:tc>
        <w:tc>
          <w:tcPr>
            <w:tcW w:type="dxa" w:w="25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Средневзвешенная годовая доходность 2012 г.</w:t>
            </w:r>
          </w:p>
        </w:tc>
        <w:tc>
          <w:tcPr>
            <w:tcW w:type="dxa" w:w="25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Изменения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3-мес. ГКВ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1,14%)</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6-мес. ГКВ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4,66%)</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12-мес. ГКВ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6,01%)</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ГКО</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2,92%)</w:t>
            </w:r>
          </w:p>
        </w:tc>
      </w:tr>
    </w:tbl>
    <w:p>
      <w:pPr>
        <w:spacing w:after="120"/>
        <w:jc w:val="both"/>
      </w:pPr>
      <w:r>
        <w:rPr>
          <w:rFonts w:ascii="Arial" w:cs="Arial" w:eastAsia="Arial" w:hAnsi="Arial"/>
          <w:sz w:val="24"/>
          <w:szCs w:val="24"/>
        </w:rPr>
        <w:t xml:space="preserve">В нижеприведенном графике (Рис. 2) отражаются динамика изменения доходности(6) ГЦБ и объемы поступлений в 2012 г.</w:t>
      </w:r>
    </w:p>
    <w:p>
      <w:pPr>
        <w:spacing w:after="120"/>
        <w:jc w:val="both"/>
      </w:pPr>
      <w:r>
        <w:rPr>
          <w:rFonts w:ascii="Arial" w:cs="Arial" w:eastAsia="Arial" w:hAnsi="Arial"/>
          <w:sz w:val="24"/>
          <w:szCs w:val="24"/>
        </w:rPr>
        <w:t xml:space="preserve">Рис. 2. Динамика доходности и объемов поступлений от ГЦБ в 2012 году</w:t>
      </w:r>
    </w:p>
    <w:p>
      <w:pPr>
        <w:spacing w:after="120"/>
        <w:jc w:val="both"/>
      </w:pPr>
      <w:r>
        <w:rPr>
          <w:rFonts w:ascii="Arial" w:cs="Arial" w:eastAsia="Arial" w:hAnsi="Arial"/>
          <w:sz w:val="24"/>
          <w:szCs w:val="24"/>
        </w:rPr>
        <w:t xml:space="preserve">Как видно из Рис. 2 доходность по краткосрочным ГЦБ в начале 2012 г. была на максимальных уровнях: 3-мес. ГКВ - 6,46%, 6-мес. ГКВ - 12,47% и 12-мес. ГКВ - 14,26%. Тенденция к снижению наблюдается по всем ГЦБ к концу года. Доходность по ГКО с 16,00% с начала года снизился до 14,53% к концу года.</w:t>
      </w:r>
    </w:p>
    <w:p>
      <w:pPr>
        <w:spacing w:after="120"/>
        <w:jc w:val="both"/>
      </w:pPr>
      <w:r>
        <w:rPr>
          <w:rFonts w:ascii="Arial" w:cs="Arial" w:eastAsia="Arial" w:hAnsi="Arial"/>
          <w:sz w:val="24"/>
          <w:szCs w:val="24"/>
        </w:rPr>
        <w:t xml:space="preserve">Расходы на обслуживание государственного долга</w:t>
      </w:r>
    </w:p>
    <w:p>
      <w:pPr>
        <w:spacing w:after="120"/>
        <w:jc w:val="both"/>
      </w:pPr>
      <w:r>
        <w:rPr>
          <w:rFonts w:ascii="Arial" w:cs="Arial" w:eastAsia="Arial" w:hAnsi="Arial"/>
          <w:sz w:val="24"/>
          <w:szCs w:val="24"/>
        </w:rPr>
        <w:t xml:space="preserve">Утвержденный прогноз(7) расходов на обслуживание государственного долга на 2012 год составлял 12226,91 млн.  сом, фактически на эти цели из бюджета были направлены средства в размере 11440,61 млн. сом, из них: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254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w:t>
            </w:r>
          </w:p>
        </w:tc>
        <w:tc>
          <w:tcPr>
            <w:tcW w:type="dxa" w:w="25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 утвержденный</w:t>
            </w:r>
          </w:p>
        </w:tc>
        <w:tc>
          <w:tcPr>
            <w:tcW w:type="dxa" w:w="25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Фактическое поступление</w:t>
            </w:r>
          </w:p>
        </w:tc>
        <w:tc>
          <w:tcPr>
            <w:tcW w:type="dxa" w:w="25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Delta Отклонения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3231,27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2898,94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-332,33</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Внешний долг</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1809,38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1520,96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-288,42</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Внутренний долг</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1421,89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1377,98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-43,91</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8995,64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8541,67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-453,97</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Внешний долг</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2026,30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1907,71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-118,59</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Внутренний долг</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6969,34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6633,96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-335,38</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12226,91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11440,61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-786,30</w:t>
            </w:r>
          </w:p>
        </w:tc>
      </w:tr>
    </w:tbl>
    <w:p>
      <w:pPr>
        <w:spacing w:after="120"/>
        <w:jc w:val="both"/>
      </w:pPr>
      <w:r>
        <w:rPr>
          <w:rFonts w:ascii="Arial" w:cs="Arial" w:eastAsia="Arial" w:hAnsi="Arial"/>
          <w:sz w:val="24"/>
          <w:szCs w:val="24"/>
        </w:rPr>
        <w:t xml:space="preserve">Delta = Фактические расходы - Прогноз утвержденный.</w:t>
      </w:r>
    </w:p>
    <w:p>
      <w:pPr>
        <w:spacing w:after="120"/>
        <w:jc w:val="both"/>
      </w:pPr>
      <w:r>
        <w:rPr>
          <w:rFonts w:ascii="Arial" w:cs="Arial" w:eastAsia="Arial" w:hAnsi="Arial"/>
          <w:sz w:val="24"/>
          <w:szCs w:val="24"/>
        </w:rPr>
        <w:t xml:space="preserve">Уровень соответствия фактических объемов обслуживания государственного долга к утвержденному прогнозу составил 93,57%.</w:t>
      </w:r>
    </w:p>
    <w:p>
      <w:pPr>
        <w:spacing w:after="120"/>
        <w:jc w:val="both"/>
      </w:pPr>
      <w:r>
        <w:rPr>
          <w:rFonts w:ascii="Arial" w:cs="Arial" w:eastAsia="Arial" w:hAnsi="Arial"/>
          <w:sz w:val="24"/>
          <w:szCs w:val="24"/>
        </w:rPr>
        <w:t xml:space="preserve">___________</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Краткосрочные дисконтные ценные бумаги (до 1 года).</w:t>
      </w:r>
    </w:p>
    <w:p>
      <w:pPr>
        <w:spacing w:after="120"/>
        <w:jc w:val="both"/>
      </w:pPr>
      <w:r>
        <w:rPr>
          <w:rFonts w:ascii="Arial" w:cs="Arial" w:eastAsia="Arial" w:hAnsi="Arial"/>
          <w:sz w:val="24"/>
          <w:szCs w:val="24"/>
        </w:rPr>
        <w:t xml:space="preserve">(2) Долгосрочные купонные ценные бумаги (более года), продаваемые с дисконтом. Купонные ставки в 2012 г. были установлены на уровне 14%, с сентября - 12%.</w:t>
      </w:r>
    </w:p>
    <w:p>
      <w:pPr>
        <w:spacing w:after="120"/>
        <w:jc w:val="both"/>
      </w:pPr>
      <w:r>
        <w:rPr>
          <w:rFonts w:ascii="Arial" w:cs="Arial" w:eastAsia="Arial" w:hAnsi="Arial"/>
          <w:sz w:val="24"/>
          <w:szCs w:val="24"/>
        </w:rPr>
        <w:t xml:space="preserve">(3) Утвержденный прогноз. Здесь и далее по тексту настоящего документа "Утвержденный прогноз".</w:t>
      </w:r>
    </w:p>
    <w:p>
      <w:pPr>
        <w:spacing w:after="120"/>
        <w:jc w:val="both"/>
      </w:pPr>
      <w:r>
        <w:rPr>
          <w:rFonts w:ascii="Arial" w:cs="Arial" w:eastAsia="Arial" w:hAnsi="Arial"/>
          <w:sz w:val="24"/>
          <w:szCs w:val="24"/>
        </w:rPr>
        <w:t xml:space="preserve">(4) Разность между поступлениями от ГЦБ и погашением основной суммы ГЦБ.</w:t>
      </w:r>
    </w:p>
    <w:p>
      <w:pPr>
        <w:spacing w:after="120"/>
        <w:jc w:val="both"/>
      </w:pPr>
      <w:r>
        <w:rPr>
          <w:rFonts w:ascii="Arial" w:cs="Arial" w:eastAsia="Arial" w:hAnsi="Arial"/>
          <w:sz w:val="24"/>
          <w:szCs w:val="24"/>
        </w:rPr>
        <w:t xml:space="preserve">(5) Средневзвешенная годовая доходность рассчитана по формуле.</w:t>
      </w:r>
    </w:p>
    <w:p>
      <w:pPr>
        <w:spacing w:after="120"/>
        <w:jc w:val="both"/>
      </w:pPr>
      <w:r>
        <w:rPr>
          <w:rFonts w:ascii="Arial" w:cs="Arial" w:eastAsia="Arial" w:hAnsi="Arial"/>
          <w:sz w:val="24"/>
          <w:szCs w:val="24"/>
        </w:rPr>
        <w:t xml:space="preserve">(6) Средневзвешенные значения доходности, рассчитанные на ежемесячной основе.</w:t>
      </w:r>
    </w:p>
    <w:p>
      <w:pPr>
        <w:spacing w:after="120"/>
        <w:jc w:val="both"/>
      </w:pPr>
      <w:r>
        <w:rPr>
          <w:rFonts w:ascii="Arial" w:cs="Arial" w:eastAsia="Arial" w:hAnsi="Arial"/>
          <w:sz w:val="24"/>
          <w:szCs w:val="24"/>
        </w:rPr>
        <w:t xml:space="preserve">(7) Согласно </w:t>
      </w:r>
      <w:hyperlink w:history="1" r:id="rIdqjxkdd5qbscvhuzh1b5y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республиканском бюджете Кыргызской Республики на 2012 год и прогнозе на 2013-2014 гг." от 17 апреля 2012 года № 41.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Внутренний долг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обслуживание внутреннего долга в бюджете 2012 года было предусмотрено 8391,23 млн. сом. Объем фактически израсходованных средств составил 8011,94 млн. сом, из них: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02"/>
        <w:gridCol w:w="2492"/>
        <w:gridCol w:w="2492"/>
        <w:gridCol w:w="2492"/>
      </w:tblGrid>
      <w:tr>
        <w:tc>
          <w:tcPr>
            <w:tcW w:type="dxa" w:w="270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w:t>
            </w:r>
          </w:p>
        </w:tc>
        <w:tc>
          <w:tcPr>
            <w:tcW w:type="dxa" w:w="249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 утвержденный</w:t>
            </w:r>
          </w:p>
        </w:tc>
        <w:tc>
          <w:tcPr>
            <w:tcW w:type="dxa" w:w="249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Фактическое поступление</w:t>
            </w:r>
          </w:p>
        </w:tc>
        <w:tc>
          <w:tcPr>
            <w:tcW w:type="dxa" w:w="249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Delta Отклонения</w:t>
            </w:r>
          </w:p>
        </w:tc>
      </w:tr>
      <w:tr>
        <w:tc>
          <w:tcPr>
            <w:tcW w:type="dxa" w:w="27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2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1421,89</w:t>
            </w:r>
          </w:p>
        </w:tc>
        <w:tc>
          <w:tcPr>
            <w:tcW w:type="dxa" w:w="2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1377,98</w:t>
            </w:r>
          </w:p>
        </w:tc>
        <w:tc>
          <w:tcPr>
            <w:tcW w:type="dxa" w:w="2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-43,91</w:t>
            </w:r>
          </w:p>
        </w:tc>
      </w:tr>
      <w:tr>
        <w:tc>
          <w:tcPr>
            <w:tcW w:type="dxa" w:w="27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Краткосрочные ГЦБ</w:t>
            </w:r>
          </w:p>
        </w:tc>
        <w:tc>
          <w:tcPr>
            <w:tcW w:type="dxa" w:w="2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635,89</w:t>
            </w:r>
          </w:p>
        </w:tc>
        <w:tc>
          <w:tcPr>
            <w:tcW w:type="dxa" w:w="2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625,63</w:t>
            </w:r>
          </w:p>
        </w:tc>
        <w:tc>
          <w:tcPr>
            <w:tcW w:type="dxa" w:w="2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r>
      <w:tr>
        <w:tc>
          <w:tcPr>
            <w:tcW w:type="dxa" w:w="27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Долгосрочные ГЦБ</w:t>
            </w:r>
          </w:p>
        </w:tc>
        <w:tc>
          <w:tcPr>
            <w:tcW w:type="dxa" w:w="2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785,47</w:t>
            </w:r>
          </w:p>
        </w:tc>
        <w:tc>
          <w:tcPr>
            <w:tcW w:type="dxa" w:w="2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752,34</w:t>
            </w:r>
          </w:p>
        </w:tc>
        <w:tc>
          <w:tcPr>
            <w:tcW w:type="dxa" w:w="2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-33,13</w:t>
            </w:r>
          </w:p>
        </w:tc>
      </w:tr>
      <w:tr>
        <w:tc>
          <w:tcPr>
            <w:tcW w:type="dxa" w:w="27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Индексация сбережений</w:t>
            </w:r>
          </w:p>
        </w:tc>
        <w:tc>
          <w:tcPr>
            <w:tcW w:type="dxa" w:w="2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0,53</w:t>
            </w:r>
          </w:p>
        </w:tc>
        <w:tc>
          <w:tcPr>
            <w:tcW w:type="dxa" w:w="2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2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-0,52</w:t>
            </w:r>
          </w:p>
        </w:tc>
      </w:tr>
      <w:tr>
        <w:tc>
          <w:tcPr>
            <w:tcW w:type="dxa" w:w="27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2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6969,34</w:t>
            </w:r>
          </w:p>
        </w:tc>
        <w:tc>
          <w:tcPr>
            <w:tcW w:type="dxa" w:w="2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6633,96</w:t>
            </w:r>
          </w:p>
        </w:tc>
        <w:tc>
          <w:tcPr>
            <w:tcW w:type="dxa" w:w="2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-335,38</w:t>
            </w:r>
          </w:p>
        </w:tc>
      </w:tr>
      <w:tr>
        <w:tc>
          <w:tcPr>
            <w:tcW w:type="dxa" w:w="27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Краткосрочные ГЦБ</w:t>
            </w:r>
          </w:p>
        </w:tc>
        <w:tc>
          <w:tcPr>
            <w:tcW w:type="dxa" w:w="2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5168,29</w:t>
            </w:r>
          </w:p>
        </w:tc>
        <w:tc>
          <w:tcPr>
            <w:tcW w:type="dxa" w:w="2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4937,91</w:t>
            </w:r>
          </w:p>
        </w:tc>
        <w:tc>
          <w:tcPr>
            <w:tcW w:type="dxa" w:w="2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-230,38</w:t>
            </w:r>
          </w:p>
        </w:tc>
      </w:tr>
      <w:tr>
        <w:tc>
          <w:tcPr>
            <w:tcW w:type="dxa" w:w="27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Долгосрочные ГЦБ</w:t>
            </w:r>
          </w:p>
        </w:tc>
        <w:tc>
          <w:tcPr>
            <w:tcW w:type="dxa" w:w="2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1801,05</w:t>
            </w:r>
          </w:p>
        </w:tc>
        <w:tc>
          <w:tcPr>
            <w:tcW w:type="dxa" w:w="2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1696,05</w:t>
            </w:r>
          </w:p>
        </w:tc>
        <w:tc>
          <w:tcPr>
            <w:tcW w:type="dxa" w:w="2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-105,00</w:t>
            </w:r>
          </w:p>
        </w:tc>
      </w:tr>
      <w:tr>
        <w:tc>
          <w:tcPr>
            <w:tcW w:type="dxa" w:w="27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2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8391,23</w:t>
            </w:r>
          </w:p>
        </w:tc>
        <w:tc>
          <w:tcPr>
            <w:tcW w:type="dxa" w:w="2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8011,94</w:t>
            </w:r>
          </w:p>
        </w:tc>
        <w:tc>
          <w:tcPr>
            <w:tcW w:type="dxa" w:w="2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-379,29</w:t>
            </w:r>
          </w:p>
        </w:tc>
      </w:tr>
    </w:tbl>
    <w:p>
      <w:pPr>
        <w:spacing w:after="120"/>
        <w:jc w:val="both"/>
      </w:pPr>
      <w:r>
        <w:rPr>
          <w:rFonts w:ascii="Arial" w:cs="Arial" w:eastAsia="Arial" w:hAnsi="Arial"/>
          <w:sz w:val="24"/>
          <w:szCs w:val="24"/>
        </w:rPr>
        <w:t xml:space="preserve">Delta = Фактические расходы - Прогноз утвержденный.</w:t>
      </w:r>
    </w:p>
    <w:p>
      <w:pPr>
        <w:spacing w:after="120"/>
        <w:jc w:val="both"/>
      </w:pPr>
      <w:r>
        <w:rPr>
          <w:rFonts w:ascii="Arial" w:cs="Arial" w:eastAsia="Arial" w:hAnsi="Arial"/>
          <w:sz w:val="24"/>
          <w:szCs w:val="24"/>
        </w:rPr>
        <w:t xml:space="preserve">По итогам 2012 года фактические расходы на обслуживание внутреннего долга были меньше запланированных на 379,29 млн. сом, из них: 43,91 млн. сом - отклонения по выплате процентов; соответственно 335,38 млн. сом - отклонения по погашению основной суммы.</w:t>
      </w:r>
    </w:p>
    <w:p>
      <w:pPr>
        <w:spacing w:after="120"/>
        <w:jc w:val="both"/>
      </w:pPr>
      <w:r>
        <w:rPr>
          <w:rFonts w:ascii="Arial" w:cs="Arial" w:eastAsia="Arial" w:hAnsi="Arial"/>
          <w:sz w:val="24"/>
          <w:szCs w:val="24"/>
        </w:rPr>
        <w:t xml:space="preserve">Уровень соответствия фактических объемов обслуживания государственного внутреннего долга к утвержденному прогнозу составил 95,48%.</w:t>
      </w:r>
    </w:p>
    <w:p>
      <w:pPr>
        <w:spacing w:after="120"/>
        <w:jc w:val="both"/>
      </w:pPr>
      <w:r>
        <w:rPr>
          <w:rFonts w:ascii="Arial" w:cs="Arial" w:eastAsia="Arial" w:hAnsi="Arial"/>
          <w:sz w:val="24"/>
          <w:szCs w:val="24"/>
        </w:rPr>
        <w:t xml:space="preserve">Основными причинами отклонения фактических расходов по выплате процентов от запланированных показателей были следующими:</w:t>
      </w:r>
    </w:p>
    <w:p>
      <w:pPr>
        <w:spacing w:after="120"/>
        <w:jc w:val="both"/>
      </w:pPr>
      <w:r>
        <w:rPr>
          <w:rFonts w:ascii="Arial" w:cs="Arial" w:eastAsia="Arial" w:hAnsi="Arial"/>
          <w:sz w:val="24"/>
          <w:szCs w:val="24"/>
        </w:rPr>
        <w:t xml:space="preserve">- фактическая структура и календарь эмиссий ГКВ отличаются от первоначально запланированных, так как структура и календарь эмиссии ГКВ корректировались в течение года в зависимости от сложившегося спроса и текущего уровня доходности. В этой связи, были сдвиги в графике и объемах погашения в 2012 года;</w:t>
      </w:r>
    </w:p>
    <w:p>
      <w:pPr>
        <w:spacing w:after="120"/>
        <w:jc w:val="both"/>
      </w:pPr>
      <w:r>
        <w:rPr>
          <w:rFonts w:ascii="Arial" w:cs="Arial" w:eastAsia="Arial" w:hAnsi="Arial"/>
          <w:sz w:val="24"/>
          <w:szCs w:val="24"/>
        </w:rPr>
        <w:t xml:space="preserve">- отклонение по выплате процентов по долгосрочным ценным бумагам в 2012 году сложилось в сторону уменьшения. Это объясняется тем, что ставки процентов по отдельным долгосрочным ГЦБ (КО серии "Кайрат", ГКО "Залкар Банк") являются плавающими и привязаны к ставкам ГКВ или инфляции. В 2012 году наблюдалось снижение ставки доходности по ГКВ, в связи с чем, процентные ставки по вышеуказанным ГЦБ сложились ниже прогнозного уровня.</w:t>
      </w:r>
    </w:p>
    <w:p>
      <w:pPr>
        <w:spacing w:after="120"/>
        <w:jc w:val="both"/>
      </w:pPr>
      <w:r>
        <w:rPr>
          <w:rFonts w:ascii="Arial" w:cs="Arial" w:eastAsia="Arial" w:hAnsi="Arial"/>
          <w:sz w:val="24"/>
          <w:szCs w:val="24"/>
        </w:rPr>
        <w:t xml:space="preserve">Отклонения по погашению основной суммы ГЦБ в сторону уменьшения обусловлено следующими факторами:</w:t>
      </w:r>
    </w:p>
    <w:p>
      <w:pPr>
        <w:spacing w:after="120"/>
        <w:jc w:val="both"/>
      </w:pPr>
      <w:r>
        <w:rPr>
          <w:rFonts w:ascii="Arial" w:cs="Arial" w:eastAsia="Arial" w:hAnsi="Arial"/>
          <w:sz w:val="24"/>
          <w:szCs w:val="24"/>
        </w:rPr>
        <w:t xml:space="preserve">- внесением изменений в структуру календаря эмиссии по ГКВ в части изменения сроков обращения в течение года;</w:t>
      </w:r>
    </w:p>
    <w:p>
      <w:pPr>
        <w:spacing w:after="120"/>
        <w:jc w:val="both"/>
      </w:pPr>
      <w:r>
        <w:rPr>
          <w:rFonts w:ascii="Arial" w:cs="Arial" w:eastAsia="Arial" w:hAnsi="Arial"/>
          <w:sz w:val="24"/>
          <w:szCs w:val="24"/>
        </w:rPr>
        <w:t xml:space="preserve">- уточнением и последующей корректировкой в течение года погашения основной суммы по ГКО.</w:t>
      </w:r>
    </w:p>
    <w:p>
      <w:pPr>
        <w:spacing w:after="120"/>
        <w:jc w:val="both"/>
      </w:pPr>
      <w:r>
        <w:rPr>
          <w:rFonts w:ascii="Arial" w:cs="Arial" w:eastAsia="Arial" w:hAnsi="Arial"/>
          <w:sz w:val="24"/>
          <w:szCs w:val="24"/>
        </w:rPr>
        <w:t xml:space="preserve">Рис. 3. Структура платежей по обслуживанию внутреннего долга в разрезе держателей (млн. сом)</w:t>
      </w:r>
    </w:p>
    <w:p>
      <w:pPr>
        <w:spacing w:after="120"/>
        <w:jc w:val="both"/>
      </w:pPr>
      <w:r>
        <w:rPr>
          <w:rFonts w:ascii="Arial" w:cs="Arial" w:eastAsia="Arial" w:hAnsi="Arial"/>
          <w:sz w:val="24"/>
          <w:szCs w:val="24"/>
        </w:rPr>
        <w:t xml:space="preserve">Как видно из диаграммы 69,33% расходов по внутреннему долгу приходится на обслуживание ГЦБ, держателями которых являются юридические лица (первичные дилеры и другие финансово-кредитные учреждения, имеющие право прямого участия на аукционах ГКВ и ГКО), 17,93% расходов - на нефинансовые предприятия, 12,74% расходов составляют платежи по обслуживанию долга по ГЦБ перед НБКР.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Внешний долг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на обслуживание государственного внешнего долга в 2012 году прогнозировались в сумме 3835,68 млн. сом. Фактическое исполнение составило 3428,67 млн. сом, в том числе: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65"/>
        <w:gridCol w:w="2104"/>
        <w:gridCol w:w="2104"/>
        <w:gridCol w:w="2104"/>
      </w:tblGrid>
      <w:tr>
        <w:tc>
          <w:tcPr>
            <w:tcW w:type="dxa" w:w="386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w:t>
            </w:r>
          </w:p>
        </w:tc>
        <w:tc>
          <w:tcPr>
            <w:tcW w:type="dxa" w:w="210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 утвержденный</w:t>
            </w:r>
          </w:p>
        </w:tc>
        <w:tc>
          <w:tcPr>
            <w:tcW w:type="dxa" w:w="210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Фактическое поступление</w:t>
            </w:r>
          </w:p>
        </w:tc>
        <w:tc>
          <w:tcPr>
            <w:tcW w:type="dxa" w:w="210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Delta Отклонения</w:t>
            </w:r>
          </w:p>
        </w:tc>
      </w:tr>
      <w:tr>
        <w:tc>
          <w:tcPr>
            <w:tcW w:type="dxa" w:w="38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2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1809,38</w:t>
            </w:r>
          </w:p>
        </w:tc>
        <w:tc>
          <w:tcPr>
            <w:tcW w:type="dxa" w:w="2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1520,96</w:t>
            </w:r>
          </w:p>
        </w:tc>
        <w:tc>
          <w:tcPr>
            <w:tcW w:type="dxa" w:w="2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-288,42</w:t>
            </w:r>
          </w:p>
        </w:tc>
      </w:tr>
      <w:tr>
        <w:tc>
          <w:tcPr>
            <w:tcW w:type="dxa" w:w="38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Двусторонние займы</w:t>
            </w:r>
          </w:p>
        </w:tc>
        <w:tc>
          <w:tcPr>
            <w:tcW w:type="dxa" w:w="2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1126,23</w:t>
            </w:r>
          </w:p>
        </w:tc>
        <w:tc>
          <w:tcPr>
            <w:tcW w:type="dxa" w:w="2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966,22</w:t>
            </w:r>
          </w:p>
        </w:tc>
        <w:tc>
          <w:tcPr>
            <w:tcW w:type="dxa" w:w="2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-160,01</w:t>
            </w:r>
          </w:p>
        </w:tc>
      </w:tr>
      <w:tr>
        <w:tc>
          <w:tcPr>
            <w:tcW w:type="dxa" w:w="38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Многосторонние займы</w:t>
            </w:r>
          </w:p>
        </w:tc>
        <w:tc>
          <w:tcPr>
            <w:tcW w:type="dxa" w:w="2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683,15</w:t>
            </w:r>
          </w:p>
        </w:tc>
        <w:tc>
          <w:tcPr>
            <w:tcW w:type="dxa" w:w="2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554,74</w:t>
            </w:r>
          </w:p>
        </w:tc>
        <w:tc>
          <w:tcPr>
            <w:tcW w:type="dxa" w:w="2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-128,41</w:t>
            </w:r>
          </w:p>
        </w:tc>
      </w:tr>
      <w:tr>
        <w:tc>
          <w:tcPr>
            <w:tcW w:type="dxa" w:w="38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2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2026,30</w:t>
            </w:r>
          </w:p>
        </w:tc>
        <w:tc>
          <w:tcPr>
            <w:tcW w:type="dxa" w:w="2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1907,71</w:t>
            </w:r>
          </w:p>
        </w:tc>
        <w:tc>
          <w:tcPr>
            <w:tcW w:type="dxa" w:w="2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-118,59</w:t>
            </w:r>
          </w:p>
        </w:tc>
      </w:tr>
      <w:tr>
        <w:tc>
          <w:tcPr>
            <w:tcW w:type="dxa" w:w="38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Двусторонние займы</w:t>
            </w:r>
          </w:p>
        </w:tc>
        <w:tc>
          <w:tcPr>
            <w:tcW w:type="dxa" w:w="2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211,73</w:t>
            </w:r>
          </w:p>
        </w:tc>
        <w:tc>
          <w:tcPr>
            <w:tcW w:type="dxa" w:w="2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207,48</w:t>
            </w:r>
          </w:p>
        </w:tc>
        <w:tc>
          <w:tcPr>
            <w:tcW w:type="dxa" w:w="2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-4,25</w:t>
            </w:r>
          </w:p>
        </w:tc>
      </w:tr>
      <w:tr>
        <w:tc>
          <w:tcPr>
            <w:tcW w:type="dxa" w:w="38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Многосторонние займы</w:t>
            </w:r>
          </w:p>
        </w:tc>
        <w:tc>
          <w:tcPr>
            <w:tcW w:type="dxa" w:w="2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1814,57</w:t>
            </w:r>
          </w:p>
        </w:tc>
        <w:tc>
          <w:tcPr>
            <w:tcW w:type="dxa" w:w="2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1700,23</w:t>
            </w:r>
          </w:p>
        </w:tc>
        <w:tc>
          <w:tcPr>
            <w:tcW w:type="dxa" w:w="2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-114,34</w:t>
            </w:r>
          </w:p>
        </w:tc>
      </w:tr>
      <w:tr>
        <w:tc>
          <w:tcPr>
            <w:tcW w:type="dxa" w:w="38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2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3835,68</w:t>
            </w:r>
          </w:p>
        </w:tc>
        <w:tc>
          <w:tcPr>
            <w:tcW w:type="dxa" w:w="2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3428,67</w:t>
            </w:r>
          </w:p>
        </w:tc>
        <w:tc>
          <w:tcPr>
            <w:tcW w:type="dxa" w:w="2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-407,01</w:t>
            </w:r>
          </w:p>
        </w:tc>
      </w:tr>
    </w:tbl>
    <w:p>
      <w:pPr>
        <w:spacing w:after="120"/>
        <w:jc w:val="both"/>
      </w:pPr>
      <w:r>
        <w:rPr>
          <w:rFonts w:ascii="Arial" w:cs="Arial" w:eastAsia="Arial" w:hAnsi="Arial"/>
          <w:sz w:val="24"/>
          <w:szCs w:val="24"/>
        </w:rPr>
        <w:t xml:space="preserve">Delta = Фактическое исполнение - Прогноз утвержденный.</w:t>
      </w:r>
    </w:p>
    <w:p>
      <w:pPr>
        <w:spacing w:after="120"/>
        <w:jc w:val="both"/>
      </w:pPr>
      <w:r>
        <w:rPr>
          <w:rFonts w:ascii="Arial" w:cs="Arial" w:eastAsia="Arial" w:hAnsi="Arial"/>
          <w:sz w:val="24"/>
          <w:szCs w:val="24"/>
        </w:rPr>
        <w:t xml:space="preserve">Отклонение фактических показателей от первоначально утвержденного бюджета на 2012 год составило 407,01 млн. сом (или 10,7% от утвержденных показателей) в сторону уменьшения. Уровень соответствия фактических объемов обслуживания государственного долга к утвержденному прогнозу составили 89,39%.</w:t>
      </w:r>
    </w:p>
    <w:p>
      <w:pPr>
        <w:spacing w:after="120"/>
        <w:jc w:val="both"/>
      </w:pPr>
      <w:r>
        <w:rPr>
          <w:rFonts w:ascii="Arial" w:cs="Arial" w:eastAsia="Arial" w:hAnsi="Arial"/>
          <w:sz w:val="24"/>
          <w:szCs w:val="24"/>
        </w:rPr>
        <w:t xml:space="preserve">Основными причинами отклонения фактических сумм обслуживания государственного внешнего долга в 2012 году явились следующие факторы:</w:t>
      </w:r>
    </w:p>
    <w:p>
      <w:pPr>
        <w:spacing w:after="120"/>
        <w:jc w:val="both"/>
      </w:pPr>
      <w:r>
        <w:rPr>
          <w:rFonts w:ascii="Arial" w:cs="Arial" w:eastAsia="Arial" w:hAnsi="Arial"/>
          <w:sz w:val="24"/>
          <w:szCs w:val="24"/>
        </w:rPr>
        <w:t xml:space="preserve">- курсовая разница иностранных валют по отношению к курсу фактически проведенных платежей;</w:t>
      </w:r>
    </w:p>
    <w:p>
      <w:pPr>
        <w:spacing w:after="120"/>
        <w:jc w:val="both"/>
      </w:pPr>
      <w:r>
        <w:rPr>
          <w:rFonts w:ascii="Arial" w:cs="Arial" w:eastAsia="Arial" w:hAnsi="Arial"/>
          <w:sz w:val="24"/>
          <w:szCs w:val="24"/>
        </w:rPr>
        <w:t xml:space="preserve">- утвержденным бюджетом на 2012 год предусматривались расходы на обслуживание задолженности перед кредиторами Кыргызской Республики, с которыми ведутся переговоры по реструктуризации долга в рамках Протокола Парижского клуба от 11.03.2005 г. К числу подобной задолженности относятся займы, предоставленные Эксимбанком Китая (КНР) и Эксимбанком Кореи (Республика Корея). Ввиду того, что в 2012 году переговорный процесс с данными кредиторами продолжился, платежи по обслуживанию выше обозначенной задолженности не производились. Обслуживание данных долгов начнется с момента заключения соответствующих соглашений о реструктуризации;</w:t>
      </w:r>
    </w:p>
    <w:p>
      <w:pPr>
        <w:spacing w:after="120"/>
        <w:jc w:val="both"/>
      </w:pPr>
      <w:r>
        <w:rPr>
          <w:rFonts w:ascii="Arial" w:cs="Arial" w:eastAsia="Arial" w:hAnsi="Arial"/>
          <w:sz w:val="24"/>
          <w:szCs w:val="24"/>
        </w:rPr>
        <w:t xml:space="preserve">- дополнительным фактором отклонений явилась разница между фактически начисленными обязательствами и прогнозными суммами обслуживания действующих кредитов, которые были утверждены республиканским бюджетом.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фактический платежей по государственному внешнему долгу за 2012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42"/>
        <w:gridCol w:w="2515"/>
        <w:gridCol w:w="1455"/>
        <w:gridCol w:w="2265"/>
      </w:tblGrid>
      <w:tr>
        <w:tc>
          <w:tcPr>
            <w:tcW w:type="dxa" w:w="394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долга</w:t>
            </w:r>
          </w:p>
        </w:tc>
        <w:tc>
          <w:tcPr>
            <w:tcW w:type="dxa" w:w="251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Кредитор</w:t>
            </w:r>
          </w:p>
        </w:tc>
        <w:tc>
          <w:tcPr>
            <w:tcW w:type="dxa" w:w="14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22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r>
      <w:tr>
        <w:tc>
          <w:tcPr>
            <w:tcW w:type="dxa" w:w="39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Двусторонние займы</w:t>
            </w:r>
          </w:p>
        </w:tc>
        <w:tc>
          <w:tcPr>
            <w:tcW w:type="dxa" w:w="2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Hermes (Германия)</w:t>
            </w:r>
          </w:p>
          <w:p>
            <w:pPr>
              <w:jc w:val="left"/>
            </w:pPr>
            <w:r>
              <w:rPr>
                <w:rFonts w:ascii="Arial" w:cs="Arial" w:eastAsia="Arial" w:hAnsi="Arial"/>
                <w:sz w:val="24"/>
                <w:szCs w:val="24"/>
              </w:rPr>
              <w:t xml:space="preserve">KfW (Германия)</w:t>
            </w:r>
          </w:p>
          <w:p>
            <w:pPr>
              <w:jc w:val="left"/>
            </w:pPr>
            <w:r>
              <w:rPr>
                <w:rFonts w:ascii="Arial" w:cs="Arial" w:eastAsia="Arial" w:hAnsi="Arial"/>
                <w:sz w:val="24"/>
                <w:szCs w:val="24"/>
              </w:rPr>
              <w:t xml:space="preserve">Беларусь</w:t>
            </w:r>
          </w:p>
          <w:p>
            <w:pPr>
              <w:jc w:val="left"/>
            </w:pPr>
            <w:r>
              <w:rPr>
                <w:rFonts w:ascii="Arial" w:cs="Arial" w:eastAsia="Arial" w:hAnsi="Arial"/>
                <w:sz w:val="24"/>
                <w:szCs w:val="24"/>
              </w:rPr>
              <w:t xml:space="preserve">Дания</w:t>
            </w:r>
          </w:p>
          <w:p>
            <w:pPr>
              <w:jc w:val="left"/>
            </w:pPr>
            <w:r>
              <w:rPr>
                <w:rFonts w:ascii="Arial" w:cs="Arial" w:eastAsia="Arial" w:hAnsi="Arial"/>
                <w:sz w:val="24"/>
                <w:szCs w:val="24"/>
              </w:rPr>
              <w:t xml:space="preserve">Китай</w:t>
            </w:r>
          </w:p>
          <w:p>
            <w:pPr>
              <w:jc w:val="left"/>
            </w:pPr>
            <w:r>
              <w:rPr>
                <w:rFonts w:ascii="Arial" w:cs="Arial" w:eastAsia="Arial" w:hAnsi="Arial"/>
                <w:sz w:val="24"/>
                <w:szCs w:val="24"/>
              </w:rPr>
              <w:t xml:space="preserve">Кувейт</w:t>
            </w:r>
          </w:p>
          <w:p>
            <w:pPr>
              <w:jc w:val="left"/>
            </w:pPr>
            <w:r>
              <w:rPr>
                <w:rFonts w:ascii="Arial" w:cs="Arial" w:eastAsia="Arial" w:hAnsi="Arial"/>
                <w:sz w:val="24"/>
                <w:szCs w:val="24"/>
              </w:rPr>
              <w:t xml:space="preserve">Россия</w:t>
            </w:r>
          </w:p>
          <w:p>
            <w:pPr>
              <w:jc w:val="left"/>
            </w:pPr>
            <w:r>
              <w:rPr>
                <w:rFonts w:ascii="Arial" w:cs="Arial" w:eastAsia="Arial" w:hAnsi="Arial"/>
                <w:sz w:val="24"/>
                <w:szCs w:val="24"/>
              </w:rPr>
              <w:t xml:space="preserve">Франция</w:t>
            </w:r>
          </w:p>
          <w:p>
            <w:pPr>
              <w:jc w:val="left"/>
            </w:pPr>
            <w:r>
              <w:rPr>
                <w:rFonts w:ascii="Arial" w:cs="Arial" w:eastAsia="Arial" w:hAnsi="Arial"/>
                <w:sz w:val="24"/>
                <w:szCs w:val="24"/>
              </w:rPr>
              <w:t xml:space="preserve">Япония</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17,52</w:t>
            </w:r>
          </w:p>
          <w:p>
            <w:pPr>
              <w:jc w:val="left"/>
            </w:pPr>
            <w:r>
              <w:rPr>
                <w:rFonts w:ascii="Arial" w:cs="Arial" w:eastAsia="Arial" w:hAnsi="Arial"/>
                <w:sz w:val="24"/>
                <w:szCs w:val="24"/>
              </w:rPr>
              <w:t xml:space="preserve">47,70</w:t>
            </w:r>
          </w:p>
          <w:p>
            <w:pPr>
              <w:jc w:val="left"/>
            </w:pPr>
            <w:r>
              <w:rPr>
                <w:rFonts w:ascii="Arial" w:cs="Arial" w:eastAsia="Arial" w:hAnsi="Arial"/>
                <w:sz w:val="24"/>
                <w:szCs w:val="24"/>
              </w:rPr>
              <w:t xml:space="preserve">0,00</w:t>
            </w:r>
          </w:p>
          <w:p>
            <w:pPr>
              <w:jc w:val="left"/>
            </w:pPr>
            <w:r>
              <w:rPr>
                <w:rFonts w:ascii="Arial" w:cs="Arial" w:eastAsia="Arial" w:hAnsi="Arial"/>
                <w:sz w:val="24"/>
                <w:szCs w:val="24"/>
              </w:rPr>
              <w:t xml:space="preserve">1,79</w:t>
            </w:r>
          </w:p>
          <w:p>
            <w:pPr>
              <w:jc w:val="left"/>
            </w:pPr>
            <w:r>
              <w:rPr>
                <w:rFonts w:ascii="Arial" w:cs="Arial" w:eastAsia="Arial" w:hAnsi="Arial"/>
                <w:sz w:val="24"/>
                <w:szCs w:val="24"/>
              </w:rPr>
              <w:t xml:space="preserve">360,02</w:t>
            </w:r>
          </w:p>
          <w:p>
            <w:pPr>
              <w:jc w:val="left"/>
            </w:pPr>
            <w:r>
              <w:rPr>
                <w:rFonts w:ascii="Arial" w:cs="Arial" w:eastAsia="Arial" w:hAnsi="Arial"/>
                <w:sz w:val="24"/>
                <w:szCs w:val="24"/>
              </w:rPr>
              <w:t xml:space="preserve">15,70</w:t>
            </w:r>
          </w:p>
          <w:p>
            <w:pPr>
              <w:jc w:val="left"/>
            </w:pPr>
            <w:r>
              <w:rPr>
                <w:rFonts w:ascii="Arial" w:cs="Arial" w:eastAsia="Arial" w:hAnsi="Arial"/>
                <w:sz w:val="24"/>
                <w:szCs w:val="24"/>
              </w:rPr>
              <w:t xml:space="preserve">304,39</w:t>
            </w:r>
          </w:p>
          <w:p>
            <w:pPr>
              <w:jc w:val="left"/>
            </w:pPr>
            <w:r>
              <w:rPr>
                <w:rFonts w:ascii="Arial" w:cs="Arial" w:eastAsia="Arial" w:hAnsi="Arial"/>
                <w:sz w:val="24"/>
                <w:szCs w:val="24"/>
              </w:rPr>
              <w:t xml:space="preserve">5,18</w:t>
            </w:r>
          </w:p>
          <w:p>
            <w:pPr>
              <w:jc w:val="left"/>
            </w:pPr>
            <w:r>
              <w:rPr>
                <w:rFonts w:ascii="Arial" w:cs="Arial" w:eastAsia="Arial" w:hAnsi="Arial"/>
                <w:sz w:val="24"/>
                <w:szCs w:val="24"/>
              </w:rPr>
              <w:t xml:space="preserve">213,92</w:t>
            </w:r>
          </w:p>
        </w:tc>
        <w:tc>
          <w:tcPr>
            <w:tcW w:type="dxa" w:w="22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0,94</w:t>
            </w:r>
          </w:p>
          <w:p>
            <w:pPr>
              <w:jc w:val="left"/>
            </w:pPr>
            <w:r>
              <w:rPr>
                <w:rFonts w:ascii="Arial" w:cs="Arial" w:eastAsia="Arial" w:hAnsi="Arial"/>
                <w:sz w:val="24"/>
                <w:szCs w:val="24"/>
              </w:rPr>
              <w:t xml:space="preserve">7,31</w:t>
            </w:r>
          </w:p>
          <w:p>
            <w:pPr>
              <w:jc w:val="left"/>
            </w:pPr>
            <w:r>
              <w:rPr>
                <w:rFonts w:ascii="Arial" w:cs="Arial" w:eastAsia="Arial" w:hAnsi="Arial"/>
                <w:sz w:val="24"/>
                <w:szCs w:val="24"/>
              </w:rPr>
              <w:t xml:space="preserve">3,25</w:t>
            </w:r>
          </w:p>
          <w:p>
            <w:pPr>
              <w:jc w:val="left"/>
            </w:pPr>
            <w:r>
              <w:rPr>
                <w:rFonts w:ascii="Arial" w:cs="Arial" w:eastAsia="Arial" w:hAnsi="Arial"/>
                <w:sz w:val="24"/>
                <w:szCs w:val="24"/>
              </w:rPr>
              <w:t xml:space="preserve">0,43</w:t>
            </w:r>
          </w:p>
          <w:p>
            <w:pPr>
              <w:jc w:val="left"/>
            </w:pPr>
            <w:r>
              <w:rPr>
                <w:rFonts w:ascii="Arial" w:cs="Arial" w:eastAsia="Arial" w:hAnsi="Arial"/>
                <w:sz w:val="24"/>
                <w:szCs w:val="24"/>
              </w:rPr>
              <w:t xml:space="preserve">0,00</w:t>
            </w:r>
          </w:p>
          <w:p>
            <w:pPr>
              <w:jc w:val="left"/>
            </w:pPr>
            <w:r>
              <w:rPr>
                <w:rFonts w:ascii="Arial" w:cs="Arial" w:eastAsia="Arial" w:hAnsi="Arial"/>
                <w:sz w:val="24"/>
                <w:szCs w:val="24"/>
              </w:rPr>
              <w:t xml:space="preserve">111,98</w:t>
            </w:r>
          </w:p>
          <w:p>
            <w:pPr>
              <w:jc w:val="left"/>
            </w:pPr>
            <w:r>
              <w:rPr>
                <w:rFonts w:ascii="Arial" w:cs="Arial" w:eastAsia="Arial" w:hAnsi="Arial"/>
                <w:sz w:val="24"/>
                <w:szCs w:val="24"/>
              </w:rPr>
              <w:t xml:space="preserve">64,39</w:t>
            </w:r>
          </w:p>
          <w:p>
            <w:pPr>
              <w:jc w:val="left"/>
            </w:pPr>
            <w:r>
              <w:rPr>
                <w:rFonts w:ascii="Arial" w:cs="Arial" w:eastAsia="Arial" w:hAnsi="Arial"/>
                <w:sz w:val="24"/>
                <w:szCs w:val="24"/>
              </w:rPr>
              <w:t xml:space="preserve">0,04</w:t>
            </w:r>
          </w:p>
          <w:p>
            <w:pPr>
              <w:jc w:val="left"/>
            </w:pPr>
            <w:r>
              <w:rPr>
                <w:rFonts w:ascii="Arial" w:cs="Arial" w:eastAsia="Arial" w:hAnsi="Arial"/>
                <w:sz w:val="24"/>
                <w:szCs w:val="24"/>
              </w:rPr>
              <w:t xml:space="preserve">19,14</w:t>
            </w:r>
          </w:p>
        </w:tc>
      </w:tr>
      <w:tr>
        <w:tc>
          <w:tcPr>
            <w:tcW w:type="dxa" w:w="39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Двусторонние займы</w:t>
            </w:r>
          </w:p>
        </w:tc>
        <w:tc>
          <w:tcPr>
            <w:tcW w:type="dxa" w:w="2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966,22</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207,48</w:t>
            </w:r>
          </w:p>
        </w:tc>
        <w:tc>
          <w:tcPr>
            <w:tcW w:type="dxa" w:w="22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Многосторонние займы</w:t>
            </w:r>
          </w:p>
        </w:tc>
        <w:tc>
          <w:tcPr>
            <w:tcW w:type="dxa" w:w="2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w:t>
            </w:r>
          </w:p>
          <w:p>
            <w:pPr>
              <w:jc w:val="left"/>
            </w:pPr>
            <w:r>
              <w:rPr>
                <w:rFonts w:ascii="Arial" w:cs="Arial" w:eastAsia="Arial" w:hAnsi="Arial"/>
                <w:sz w:val="24"/>
                <w:szCs w:val="24"/>
              </w:rPr>
              <w:t xml:space="preserve">ИБР</w:t>
            </w:r>
          </w:p>
          <w:p>
            <w:pPr>
              <w:jc w:val="left"/>
            </w:pPr>
            <w:r>
              <w:rPr>
                <w:rFonts w:ascii="Arial" w:cs="Arial" w:eastAsia="Arial" w:hAnsi="Arial"/>
                <w:sz w:val="24"/>
                <w:szCs w:val="24"/>
              </w:rPr>
              <w:t xml:space="preserve">АБР</w:t>
            </w:r>
          </w:p>
          <w:p>
            <w:pPr>
              <w:jc w:val="left"/>
            </w:pPr>
            <w:r>
              <w:rPr>
                <w:rFonts w:ascii="Arial" w:cs="Arial" w:eastAsia="Arial" w:hAnsi="Arial"/>
                <w:sz w:val="24"/>
                <w:szCs w:val="24"/>
              </w:rPr>
              <w:t xml:space="preserve">ЕБРР</w:t>
            </w:r>
          </w:p>
          <w:p>
            <w:pPr>
              <w:jc w:val="left"/>
            </w:pPr>
            <w:r>
              <w:rPr>
                <w:rFonts w:ascii="Arial" w:cs="Arial" w:eastAsia="Arial" w:hAnsi="Arial"/>
                <w:sz w:val="24"/>
                <w:szCs w:val="24"/>
              </w:rPr>
              <w:t xml:space="preserve">МФСР</w:t>
            </w:r>
          </w:p>
          <w:p>
            <w:pPr>
              <w:jc w:val="left"/>
            </w:pPr>
            <w:r>
              <w:rPr>
                <w:rFonts w:ascii="Arial" w:cs="Arial" w:eastAsia="Arial" w:hAnsi="Arial"/>
                <w:sz w:val="24"/>
                <w:szCs w:val="24"/>
              </w:rPr>
              <w:t xml:space="preserve">ОПЕК</w:t>
            </w:r>
          </w:p>
          <w:p>
            <w:pPr>
              <w:jc w:val="left"/>
            </w:pPr>
            <w:r>
              <w:rPr>
                <w:rFonts w:ascii="Arial" w:cs="Arial" w:eastAsia="Arial" w:hAnsi="Arial"/>
                <w:sz w:val="24"/>
                <w:szCs w:val="24"/>
              </w:rPr>
              <w:t xml:space="preserve">СФР</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222,85</w:t>
            </w:r>
          </w:p>
          <w:p>
            <w:pPr>
              <w:jc w:val="left"/>
            </w:pPr>
            <w:r>
              <w:rPr>
                <w:rFonts w:ascii="Arial" w:cs="Arial" w:eastAsia="Arial" w:hAnsi="Arial"/>
                <w:sz w:val="24"/>
                <w:szCs w:val="24"/>
              </w:rPr>
              <w:t xml:space="preserve">4,70</w:t>
            </w:r>
          </w:p>
          <w:p>
            <w:pPr>
              <w:jc w:val="left"/>
            </w:pPr>
            <w:r>
              <w:rPr>
                <w:rFonts w:ascii="Arial" w:cs="Arial" w:eastAsia="Arial" w:hAnsi="Arial"/>
                <w:sz w:val="24"/>
                <w:szCs w:val="24"/>
              </w:rPr>
              <w:t xml:space="preserve">298,60</w:t>
            </w:r>
          </w:p>
          <w:p>
            <w:pPr>
              <w:jc w:val="left"/>
            </w:pPr>
            <w:r>
              <w:rPr>
                <w:rFonts w:ascii="Arial" w:cs="Arial" w:eastAsia="Arial" w:hAnsi="Arial"/>
                <w:sz w:val="24"/>
                <w:szCs w:val="24"/>
              </w:rPr>
              <w:t xml:space="preserve">20,68</w:t>
            </w:r>
          </w:p>
          <w:p>
            <w:pPr>
              <w:jc w:val="left"/>
            </w:pPr>
            <w:r>
              <w:rPr>
                <w:rFonts w:ascii="Arial" w:cs="Arial" w:eastAsia="Arial" w:hAnsi="Arial"/>
                <w:sz w:val="24"/>
                <w:szCs w:val="24"/>
              </w:rPr>
              <w:t xml:space="preserve">3,20</w:t>
            </w:r>
          </w:p>
          <w:p>
            <w:pPr>
              <w:jc w:val="left"/>
            </w:pPr>
            <w:r>
              <w:rPr>
                <w:rFonts w:ascii="Arial" w:cs="Arial" w:eastAsia="Arial" w:hAnsi="Arial"/>
                <w:sz w:val="24"/>
                <w:szCs w:val="24"/>
              </w:rPr>
              <w:t xml:space="preserve">2,62</w:t>
            </w:r>
          </w:p>
          <w:p>
            <w:pPr>
              <w:jc w:val="left"/>
            </w:pPr>
            <w:r>
              <w:rPr>
                <w:rFonts w:ascii="Arial" w:cs="Arial" w:eastAsia="Arial" w:hAnsi="Arial"/>
                <w:sz w:val="24"/>
                <w:szCs w:val="24"/>
              </w:rPr>
              <w:t xml:space="preserve">2,09</w:t>
            </w:r>
          </w:p>
        </w:tc>
        <w:tc>
          <w:tcPr>
            <w:tcW w:type="dxa" w:w="22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705,06</w:t>
            </w:r>
          </w:p>
          <w:p>
            <w:pPr>
              <w:jc w:val="left"/>
            </w:pPr>
            <w:r>
              <w:rPr>
                <w:rFonts w:ascii="Arial" w:cs="Arial" w:eastAsia="Arial" w:hAnsi="Arial"/>
                <w:sz w:val="24"/>
                <w:szCs w:val="24"/>
              </w:rPr>
              <w:t xml:space="preserve">90,48</w:t>
            </w:r>
          </w:p>
          <w:p>
            <w:pPr>
              <w:jc w:val="left"/>
            </w:pPr>
            <w:r>
              <w:rPr>
                <w:rFonts w:ascii="Arial" w:cs="Arial" w:eastAsia="Arial" w:hAnsi="Arial"/>
                <w:sz w:val="24"/>
                <w:szCs w:val="24"/>
              </w:rPr>
              <w:t xml:space="preserve">847,82</w:t>
            </w:r>
          </w:p>
          <w:p>
            <w:pPr>
              <w:jc w:val="left"/>
            </w:pPr>
            <w:r>
              <w:rPr>
                <w:rFonts w:ascii="Arial" w:cs="Arial" w:eastAsia="Arial" w:hAnsi="Arial"/>
                <w:sz w:val="24"/>
                <w:szCs w:val="24"/>
              </w:rPr>
              <w:t xml:space="preserve">0,13</w:t>
            </w:r>
          </w:p>
          <w:p>
            <w:pPr>
              <w:jc w:val="left"/>
            </w:pPr>
            <w:r>
              <w:rPr>
                <w:rFonts w:ascii="Arial" w:cs="Arial" w:eastAsia="Arial" w:hAnsi="Arial"/>
                <w:sz w:val="24"/>
                <w:szCs w:val="24"/>
              </w:rPr>
              <w:t xml:space="preserve">17,10</w:t>
            </w:r>
          </w:p>
          <w:p>
            <w:pPr>
              <w:jc w:val="left"/>
            </w:pPr>
            <w:r>
              <w:rPr>
                <w:rFonts w:ascii="Arial" w:cs="Arial" w:eastAsia="Arial" w:hAnsi="Arial"/>
                <w:sz w:val="24"/>
                <w:szCs w:val="24"/>
              </w:rPr>
              <w:t xml:space="preserve">33,47</w:t>
            </w:r>
          </w:p>
          <w:p>
            <w:pPr>
              <w:jc w:val="left"/>
            </w:pPr>
            <w:r>
              <w:rPr>
                <w:rFonts w:ascii="Arial" w:cs="Arial" w:eastAsia="Arial" w:hAnsi="Arial"/>
                <w:sz w:val="24"/>
                <w:szCs w:val="24"/>
              </w:rPr>
              <w:t xml:space="preserve">6,17</w:t>
            </w:r>
          </w:p>
        </w:tc>
      </w:tr>
      <w:tr>
        <w:tc>
          <w:tcPr>
            <w:tcW w:type="dxa" w:w="39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Многосторонние займы</w:t>
            </w:r>
          </w:p>
        </w:tc>
        <w:tc>
          <w:tcPr>
            <w:tcW w:type="dxa" w:w="2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554,74</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1700,23</w:t>
            </w:r>
          </w:p>
        </w:tc>
        <w:tc>
          <w:tcPr>
            <w:tcW w:type="dxa" w:w="22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Общий итог</w:t>
            </w:r>
          </w:p>
        </w:tc>
        <w:tc>
          <w:tcPr>
            <w:tcW w:type="dxa" w:w="2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1520,96</w:t>
            </w:r>
          </w:p>
        </w:tc>
        <w:tc>
          <w:tcPr>
            <w:tcW w:type="dxa" w:w="22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1907,71</w:t>
            </w:r>
          </w:p>
        </w:tc>
      </w:tr>
    </w:tbl>
    <w:p>
      <w:pPr>
        <w:spacing w:after="120"/>
        <w:jc w:val="both"/>
      </w:pPr>
      <w:r>
        <w:rPr>
          <w:rFonts w:ascii="Arial" w:cs="Arial" w:eastAsia="Arial" w:hAnsi="Arial"/>
          <w:sz w:val="24"/>
          <w:szCs w:val="24"/>
        </w:rPr>
        <w:t xml:space="preserve">Структура платежей по государственному внешнему долгу в разрезе категорий платежей представлена на диаграмме ниже.</w:t>
      </w:r>
    </w:p>
    <w:p>
      <w:pPr>
        <w:spacing w:after="120"/>
        <w:jc w:val="both"/>
      </w:pPr>
      <w:r>
        <w:rPr>
          <w:rFonts w:ascii="Arial" w:cs="Arial" w:eastAsia="Arial" w:hAnsi="Arial"/>
          <w:sz w:val="24"/>
          <w:szCs w:val="24"/>
        </w:rPr>
        <w:t xml:space="preserve">Рис. 4. Структура обслуживания государственного внешнего долга в разрезе категорий платежей</w:t>
      </w:r>
    </w:p>
    <w:p>
      <w:pPr>
        <w:spacing w:after="120"/>
        <w:jc w:val="both"/>
      </w:pPr>
      <w:r>
        <w:rPr>
          <w:rFonts w:ascii="Arial" w:cs="Arial" w:eastAsia="Arial" w:hAnsi="Arial"/>
          <w:sz w:val="24"/>
          <w:szCs w:val="24"/>
        </w:rPr>
        <w:t xml:space="preserve">Рис. 5. Структура обслуживания государственного внешнего долга в разрезе категорий кредиторов</w:t>
      </w:r>
    </w:p>
    <w:p>
      <w:pPr>
        <w:spacing w:after="120"/>
        <w:jc w:val="both"/>
      </w:pPr>
      <w:r>
        <w:rPr>
          <w:rFonts w:ascii="Arial" w:cs="Arial" w:eastAsia="Arial" w:hAnsi="Arial"/>
          <w:sz w:val="24"/>
          <w:szCs w:val="24"/>
        </w:rPr>
        <w:t xml:space="preserve">56,7% общей суммы обслуживания государственного внешнего долга составили платежи по основному долгу, а 43,3% платежей были направлены на обслуживание процентов. В целом подобное распределение категорий платежей не отличается кардинально от предыдущих лет (период с 2005-2011 год). Вместе с тем, ежегодная структура платежей по категориям платежей зависит от таких факторов как объемы освоения новых кредитов, график погашения новых и действующих займов, а также процентная ставка по кредитам. По мере изменения данных факторов в будущем будет изменяться и структура обслуживания государственного внешнего долга.</w:t>
      </w:r>
    </w:p>
    <w:p>
      <w:pPr>
        <w:spacing w:after="120"/>
        <w:jc w:val="both"/>
      </w:pPr>
      <w:r>
        <w:rPr>
          <w:rFonts w:ascii="Arial" w:cs="Arial" w:eastAsia="Arial" w:hAnsi="Arial"/>
          <w:sz w:val="24"/>
          <w:szCs w:val="24"/>
        </w:rPr>
        <w:t xml:space="preserve">Структура обслуживания государственного внешнего долга в 2012 году в разрезе типов кредиторов представлена на диаграмме ниже.</w:t>
      </w:r>
    </w:p>
    <w:p>
      <w:pPr>
        <w:spacing w:after="120"/>
        <w:jc w:val="both"/>
      </w:pPr>
      <w:r>
        <w:rPr>
          <w:rFonts w:ascii="Arial" w:cs="Arial" w:eastAsia="Arial" w:hAnsi="Arial"/>
          <w:sz w:val="24"/>
          <w:szCs w:val="24"/>
        </w:rPr>
        <w:t xml:space="preserve">Удельный вес платежей по двусторонним займам составил в 2012 году 34%. Доля платежей в обслуживание многостороннего долга составила 66%. Данное соотношение объясняется преобладанием удельного веса многосторонних кредитов в структуре государственного внешнего долга Кыргызской Республики. На конец 2010 года доля многостороннего долга в совокупном объеме государственного внешнего долга составила 56,0%. На конец 2011 года многосторонний долг составил 54,2%. Кроме того, преобладание платежей в обслуживании многостороннего долга обусловлено началом платежей основной суммы в рамках многосторонних займов. Так, например, 89,1% всех платежей по погашению основной суммы были произведены по многосторонним займам. В свою очередь, погашение основной суммы по двусторонним кредитам приходится на более поздние периоды. Вместе с тем, удельный вес платежей по двусторонним займам будет постепенно увеличиваться. Это объясняется привлечением значительных заемных ресурсов от двусторонних кредиторов в 2009-2011 годы (в частности в этот период были привлечены кредиты от Российской Федерации и Китая) и началом погашения основной суммы по ряду действующих двусторонних кредитов.</w:t>
      </w:r>
    </w:p>
    <w:p>
      <w:pPr>
        <w:spacing w:after="120"/>
        <w:jc w:val="both"/>
      </w:pPr>
      <w:r>
        <w:rPr>
          <w:rFonts w:ascii="Arial" w:cs="Arial" w:eastAsia="Arial" w:hAnsi="Arial"/>
          <w:sz w:val="24"/>
          <w:szCs w:val="24"/>
        </w:rPr>
        <w:t xml:space="preserve">На диаграмме ниже представлена валютная структура платежей по обслуживанию государственного долга в 2012 году (факт).</w:t>
      </w:r>
    </w:p>
    <w:p>
      <w:pPr>
        <w:spacing w:after="120"/>
        <w:jc w:val="both"/>
      </w:pPr>
      <w:r>
        <w:rPr>
          <w:rFonts w:ascii="Arial" w:cs="Arial" w:eastAsia="Arial" w:hAnsi="Arial"/>
          <w:sz w:val="24"/>
          <w:szCs w:val="24"/>
        </w:rPr>
        <w:t xml:space="preserve">Рис. Валютная структура платежей по государственному долгу в 2012 году</w:t>
      </w:r>
    </w:p>
    <w:p>
      <w:pPr>
        <w:spacing w:after="120"/>
        <w:jc w:val="both"/>
      </w:pPr>
      <w:r>
        <w:rPr>
          <w:rFonts w:ascii="Arial" w:cs="Arial" w:eastAsia="Arial" w:hAnsi="Arial"/>
          <w:sz w:val="24"/>
          <w:szCs w:val="24"/>
        </w:rPr>
        <w:t xml:space="preserve">Порядка 86,8% всех платежей были произведены в долл. США. В долл. США обслуживаются как кредиты, номинированные в данной валюте, так и займы номинированные в условных платежных средствах (СДР, Исламский динар). Оставшаяся часть операций распределена между Японской Йеной, Кувейтским динаром и Евро. Кроме того, в процессе обслуживания государственного внешнего долга имели место операции в кыргызских сомах. Данные транзакции производились в целях корректировки курсовой разницы платежей в иностранной валюте (возврат средств на счета ЦК МФКР или доплата в сторону НБКР в случае образования курсовой разницы).</w:t>
      </w:r>
    </w:p>
    <w:p>
      <w:pPr>
        <w:spacing w:after="120"/>
        <w:jc w:val="both"/>
      </w:pPr>
      <w:r>
        <w:rPr>
          <w:rFonts w:ascii="Arial" w:cs="Arial" w:eastAsia="Arial" w:hAnsi="Arial"/>
          <w:sz w:val="24"/>
          <w:szCs w:val="24"/>
        </w:rPr>
        <w:t xml:space="preserve">В течении 2012 года Правительством Кыргызской Республики были проведены следующие мероприятия по сокращению бремени внешнего долга:</w:t>
      </w:r>
    </w:p>
    <w:p>
      <w:pPr>
        <w:spacing w:after="120"/>
        <w:jc w:val="both"/>
      </w:pPr>
      <w:r>
        <w:rPr>
          <w:rFonts w:ascii="Arial" w:cs="Arial" w:eastAsia="Arial" w:hAnsi="Arial"/>
          <w:sz w:val="24"/>
          <w:szCs w:val="24"/>
        </w:rPr>
        <w:t xml:space="preserve">- произведено списание задолженности Кыргызской Республики перед Эксимбанком Турции по ранее заключенным соглашениям. Сумма списания основного долга составила 49,2 млн. долл. США;</w:t>
      </w:r>
    </w:p>
    <w:p>
      <w:pPr>
        <w:spacing w:after="120"/>
        <w:jc w:val="both"/>
      </w:pPr>
      <w:r>
        <w:rPr>
          <w:rFonts w:ascii="Arial" w:cs="Arial" w:eastAsia="Arial" w:hAnsi="Arial"/>
          <w:sz w:val="24"/>
          <w:szCs w:val="24"/>
        </w:rPr>
        <w:t xml:space="preserve">- в ходе официального визита Президента Российской Федерации в Кыргызскую Республику было подписано Соглашение между Правительством Кыргызской Республики и Правительством Российской Федерации об урегулировании задолженности Кыргызской Республики перед Российской Федерацией. Подписанное Соглашение позволяет единовременно и в полном объеме списать задолженность в размере 188,9 млн. долл. США. Соглашение ратифицировано Кыргызской стороной 14 ноября 2012 года;</w:t>
      </w:r>
    </w:p>
    <w:p>
      <w:pPr>
        <w:spacing w:after="120"/>
        <w:jc w:val="both"/>
      </w:pPr>
      <w:r>
        <w:rPr>
          <w:rFonts w:ascii="Arial" w:cs="Arial" w:eastAsia="Arial" w:hAnsi="Arial"/>
          <w:sz w:val="24"/>
          <w:szCs w:val="24"/>
        </w:rPr>
        <w:t xml:space="preserve">- в рамках официального визита Президента Кыргызской Республики в Федеративную Республику Германия был подписан Договор по Замене долговых обязательств в рамках проекта "Конверсия долга III". Согласно данному Договору сумма подлежащая списанию задолженности Кыргызской Республики перед Федеративной Республикой Германия составляет 8,5 миллионов евро.</w:t>
      </w:r>
    </w:p>
    <w:p>
      <w:pPr>
        <w:spacing w:after="120"/>
        <w:jc w:val="both"/>
      </w:pPr>
      <w:r>
        <w:rPr>
          <w:rFonts w:ascii="Arial" w:cs="Arial" w:eastAsia="Arial" w:hAnsi="Arial"/>
          <w:sz w:val="24"/>
          <w:szCs w:val="24"/>
        </w:rPr>
        <w:t xml:space="preserve">Исполнение бюджета развития</w:t>
      </w:r>
    </w:p>
    <w:p>
      <w:pPr>
        <w:spacing w:after="120"/>
        <w:jc w:val="both"/>
      </w:pPr>
      <w:r>
        <w:rPr>
          <w:rFonts w:ascii="Arial" w:cs="Arial" w:eastAsia="Arial" w:hAnsi="Arial"/>
          <w:sz w:val="24"/>
          <w:szCs w:val="24"/>
        </w:rPr>
        <w:t xml:space="preserve">Объем расходов по инвестиционным проектам (ПГИ) в 2012 году составил 20913,9 млн. сомов. Удельный вес внешнего финансирования инвестиционных проектов в сумме 20360,2 млн. сомов в общем объеме инвестиционных расходов составляет 97,4%. 553,7 млн. сомов (2,6% от общей сумму расходов) было выделено из республиканского бюджета на софинансирование инвестиционных проектов. Исполнение бюджета развития по внешнему финансированию с учетом грантов составило 95,3%, исполнение внутреннего финансирования составило 100,0%.</w:t>
      </w:r>
    </w:p>
    <w:p>
      <w:pPr>
        <w:spacing w:after="120"/>
        <w:jc w:val="both"/>
      </w:pPr>
      <w:r>
        <w:rPr>
          <w:rFonts w:ascii="Arial" w:cs="Arial" w:eastAsia="Arial" w:hAnsi="Arial"/>
          <w:sz w:val="24"/>
          <w:szCs w:val="24"/>
        </w:rPr>
        <w:t xml:space="preserve">В сравнении с показателями республиканского бюджета за 2011 год, внешнее финансирование с учетом грантов увеличилось на 7200,7 млн. сомов или на 35,4%. Показатели софинансирования со стороны Кыргызской Республики по сравнению с фактическими показателями республиканского бюджета 2011 года уменьшились на 72,8 млн. сомов или на 11,6%.</w:t>
      </w:r>
    </w:p>
    <w:p>
      <w:pPr>
        <w:spacing w:after="120"/>
        <w:jc w:val="both"/>
      </w:pPr>
      <w:r>
        <w:rPr>
          <w:rFonts w:ascii="Arial" w:cs="Arial" w:eastAsia="Arial" w:hAnsi="Arial"/>
          <w:sz w:val="24"/>
          <w:szCs w:val="24"/>
        </w:rPr>
        <w:t xml:space="preserve">Наибольшие расходы в этот период пришлись на экономический сектор (транспорт, энергетика, сельское хозяйство, ирригация, сельское водоснабжение) и составили 16945,9 млн. сомов или 81,0% от общих расходов.</w:t>
      </w:r>
    </w:p>
    <w:p>
      <w:pPr>
        <w:spacing w:after="120"/>
        <w:jc w:val="both"/>
      </w:pPr>
      <w:r>
        <w:rPr>
          <w:rFonts w:ascii="Arial" w:cs="Arial" w:eastAsia="Arial" w:hAnsi="Arial"/>
          <w:sz w:val="24"/>
          <w:szCs w:val="24"/>
        </w:rPr>
        <w:t xml:space="preserve">В социальный сектор было направлено 1225,2 млн. сомов или 5,9% от общего объема расходов.</w:t>
      </w:r>
    </w:p>
    <w:p>
      <w:pPr>
        <w:spacing w:after="120"/>
        <w:jc w:val="both"/>
      </w:pPr>
      <w:r>
        <w:rPr>
          <w:rFonts w:ascii="Arial" w:cs="Arial" w:eastAsia="Arial" w:hAnsi="Arial"/>
          <w:sz w:val="24"/>
          <w:szCs w:val="24"/>
        </w:rPr>
        <w:t xml:space="preserve">Наибольшие объемы финансирования в 2012 году пришлись на сектор энергетики - 10390,5 млн. сомов внешнего финансирования.</w:t>
      </w:r>
    </w:p>
    <w:p>
      <w:pPr>
        <w:spacing w:after="120"/>
        <w:jc w:val="both"/>
      </w:pPr>
      <w:r>
        <w:rPr>
          <w:rFonts w:ascii="Arial" w:cs="Arial" w:eastAsia="Arial" w:hAnsi="Arial"/>
          <w:sz w:val="24"/>
          <w:szCs w:val="24"/>
        </w:rPr>
        <w:t xml:space="preserve">Значительный объем расходов по Министерству энергетики и промышленности Кыргызской Республики произошел за счет проектов, финансируемых Китайской Народной Республикой - "Модернизация линий электропередачи на Юге Кыргызстана" (6151,4 млн. сомов), "Строительство ЛЭП 500 кВ "Датка-Кемин" и подстанции 500 кВ "Кемин" (3945,3 млн. сомов).</w:t>
      </w:r>
    </w:p>
    <w:p>
      <w:pPr>
        <w:spacing w:after="120"/>
        <w:jc w:val="both"/>
      </w:pPr>
      <w:r>
        <w:rPr>
          <w:rFonts w:ascii="Arial" w:cs="Arial" w:eastAsia="Arial" w:hAnsi="Arial"/>
          <w:sz w:val="24"/>
          <w:szCs w:val="24"/>
        </w:rPr>
        <w:t xml:space="preserve">Значительный объем расходов по Министерству транспорта и коммуникаций произошел за счет проекта Бишкек-Нарын-Торугарт, финансируемый АБР, ВБ, КНР. Общая сумма финансирования проекта Бишкек-Нарын-Торугарт составила в 2012 году 3481,4 млн. сомов (73,6 млн. сомов внутреннего софинансирования и 3407,8 млн. сомов внешнего финансирования). Кроме этого, реализовывались проекты "Реконструкция автодороги Тараз-Талас-Суусамыр" (ИБР), "Реабилитация автомобильной дороги Ош-Иркештам" (ИБР), "Улучшение регионального коридора" (АБР), "Реабилитация автомобильной дороги Ош-Исфана" (ВБ, ЕБРР).</w:t>
      </w:r>
    </w:p>
    <w:p>
      <w:pPr>
        <w:spacing w:after="120"/>
        <w:jc w:val="both"/>
      </w:pPr>
      <w:r>
        <w:rPr>
          <w:rFonts w:ascii="Arial" w:cs="Arial" w:eastAsia="Arial" w:hAnsi="Arial"/>
          <w:sz w:val="24"/>
          <w:szCs w:val="24"/>
        </w:rPr>
        <w:t xml:space="preserve">Финансовые показатели бюджета развития Министерства сельского хозяйства, реализующего проекты "Контроль птичьего гриппа", "Сельскохозяйственные инвестиции и услуги", "Второй проект внутрихозяйственного орошения" и "Улучшение управления водными ресурсами" составили 954,6 млн. сомов, 8,9% из которых были покрыты за счет софинансирования из республиканского бюджета.</w:t>
      </w:r>
    </w:p>
    <w:p>
      <w:pPr>
        <w:spacing w:after="120"/>
        <w:jc w:val="both"/>
      </w:pPr>
      <w:r>
        <w:rPr>
          <w:rFonts w:ascii="Arial" w:cs="Arial" w:eastAsia="Arial" w:hAnsi="Arial"/>
          <w:sz w:val="24"/>
          <w:szCs w:val="24"/>
        </w:rPr>
        <w:t xml:space="preserve">Инвестиционные расходы сектора образования в 2012 году были на уровне 440,9 млн. сомов. Значительные объемы финансирования произошли за счет реализации двух проектов "Образование для всех 2" (ВБ) и "Профессионально-техническое образование и подготовка рабочих кадров" (АБР).</w:t>
      </w:r>
    </w:p>
    <w:p>
      <w:pPr>
        <w:spacing w:after="120"/>
        <w:jc w:val="both"/>
      </w:pPr>
      <w:r>
        <w:rPr>
          <w:rFonts w:ascii="Arial" w:cs="Arial" w:eastAsia="Arial" w:hAnsi="Arial"/>
          <w:sz w:val="24"/>
          <w:szCs w:val="24"/>
        </w:rPr>
        <w:t xml:space="preserve">Общий объем инвестиционных расходов в 2012 году по Министерству здравоохранения составил 258,7 млн. сомов.</w:t>
      </w:r>
    </w:p>
    <w:p>
      <w:pPr>
        <w:spacing w:after="120"/>
        <w:jc w:val="both"/>
      </w:pPr>
      <w:r>
        <w:rPr>
          <w:rFonts w:ascii="Arial" w:cs="Arial" w:eastAsia="Arial" w:hAnsi="Arial"/>
          <w:sz w:val="24"/>
          <w:szCs w:val="24"/>
        </w:rPr>
        <w:t xml:space="preserve">В рамках проектов - "Сельские инвестиции 2" и "Инфраструктура городов Бишкек и Ош" 1 и 2, "Конверсия долга - коммунальная инфраструктура", "Инфраструктурные услуги на уровне населенных пунктов - 2" и "Сельское водоснабжение и санитария - 2", реализуемых Агентством развития и инвестирования сообществ (АРИС), в 2012 году освоение средств внешнего финансирования произведено на общую сумму 334,9 млн. сомов и внутреннего - на общую сумму 157,3 млн. сомов.</w:t>
      </w:r>
    </w:p>
    <w:p>
      <w:pPr>
        <w:spacing w:after="120"/>
        <w:jc w:val="both"/>
      </w:pPr>
      <w:r>
        <w:rPr>
          <w:rFonts w:ascii="Arial" w:cs="Arial" w:eastAsia="Arial" w:hAnsi="Arial"/>
          <w:sz w:val="24"/>
          <w:szCs w:val="24"/>
        </w:rPr>
        <w:t xml:space="preserve">Кроме того, в 2012 году по Министерству финансов, Министерству экономики и антимонопольной политики, Министерству чрезвычайных ситуаций и другим исполнительным агентствам и ведомствам инвестиционные расходы составили 2738,5 млн. сомов.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 финансов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О.Лаврова</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министра - Директор Центрального Казначейства</w:t>
      </w:r>
      <w:r>
        <w:rPr>
          <w:rFonts w:ascii="Arial" w:cs="Arial" w:eastAsia="Arial" w:hAnsi="Arial"/>
          <w:sz w:val="24"/>
          <w:szCs w:val="24"/>
        </w:rPr>
        <w:t xml:space="preserve">	</w:t>
      </w:r>
      <w:r>
        <w:rPr>
          <w:rFonts w:ascii="Arial" w:cs="Arial" w:eastAsia="Arial" w:hAnsi="Arial"/>
          <w:b/>
          <w:bCs/>
          <w:sz w:val="24"/>
          <w:szCs w:val="24"/>
        </w:rPr>
        <w:t xml:space="preserve">А.Шаикова</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Начальник Главного управления бюджетной политики</w:t>
      </w:r>
      <w:r>
        <w:rPr>
          <w:rFonts w:ascii="Arial" w:cs="Arial" w:eastAsia="Arial" w:hAnsi="Arial"/>
          <w:sz w:val="24"/>
          <w:szCs w:val="24"/>
        </w:rPr>
        <w:t xml:space="preserve">	</w:t>
      </w:r>
      <w:r>
        <w:rPr>
          <w:rFonts w:ascii="Arial" w:cs="Arial" w:eastAsia="Arial" w:hAnsi="Arial"/>
          <w:b/>
          <w:bCs/>
          <w:sz w:val="24"/>
          <w:szCs w:val="24"/>
        </w:rPr>
        <w:t xml:space="preserve">К.Асангулов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cae0n3n9esy6natlxqmv">
      <w:r>
        <w:rPr>
          <w:rFonts w:ascii="Arial" w:cs="Arial" w:eastAsia="Arial" w:hAnsi="Arial"/>
          <w:color w:val="132D3F"/>
          <w:sz w:val="16"/>
          <w:szCs w:val="16"/>
          <w:u w:val="single"/>
        </w:rPr>
        <w:t xml:space="preserve">dalil.kg/document/94358</w:t>
      </w:r>
    </w:hyperlink>
  </w:p>
  <w:p>
    <w:pPr>
      <w:spacing w:after="0" w:before="40"/>
      <w:jc w:val="center"/>
    </w:pPr>
    <w:hyperlink w:history="1" r:id="rId_fplggshdznmk2oxfxgq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q6qksxwhzqcgd2s3qc6i" Type="http://schemas.openxmlformats.org/officeDocument/2006/relationships/hyperlink" Target="https://dalil.kg/document/158975" TargetMode="External"/><Relationship Id="rId4gb1w_k6kxb6knnxe6xtd" Type="http://schemas.openxmlformats.org/officeDocument/2006/relationships/hyperlink" Target="https://dalil.kg/document/202913" TargetMode="External"/><Relationship Id="rIdystigqbrh34_7b9j_slik" Type="http://schemas.openxmlformats.org/officeDocument/2006/relationships/hyperlink" Target="https://dalil.kg/document/94358#&#1088;1" TargetMode="External"/><Relationship Id="rIdkujnmfzqdszo9v9uzrfai" Type="http://schemas.openxmlformats.org/officeDocument/2006/relationships/hyperlink" Target="https://dalil.kg/document/94358" TargetMode="External"/><Relationship Id="rIdqx8vx26xa2hvajvsvbbj8" Type="http://schemas.openxmlformats.org/officeDocument/2006/relationships/hyperlink" Target="https://dalil.kg/document/203430" TargetMode="External"/><Relationship Id="rIdzn7dgymmgn6jfutcmemva" Type="http://schemas.openxmlformats.org/officeDocument/2006/relationships/hyperlink" Target="https://dalil.kg/document/202445" TargetMode="External"/><Relationship Id="rIdpmuahk5p5ki916ls8agj8" Type="http://schemas.openxmlformats.org/officeDocument/2006/relationships/hyperlink" Target="https://dalil.kg/document/93139" TargetMode="External"/><Relationship Id="rIdjhqc8cwgajwpb8pz-mbax" Type="http://schemas.openxmlformats.org/officeDocument/2006/relationships/hyperlink" Target="https://dalil.kg/document/203641" TargetMode="External"/><Relationship Id="rIdhp-whk7brt8nxrw50ur7n" Type="http://schemas.openxmlformats.org/officeDocument/2006/relationships/hyperlink" Target="https://dalil.kg/document/203817" TargetMode="External"/><Relationship Id="rIdgqb369cownw25sigkdtn3" Type="http://schemas.openxmlformats.org/officeDocument/2006/relationships/hyperlink" Target="https://dalil.kg/document/60285" TargetMode="External"/><Relationship Id="rIdg97bjapyerckwu4zttiok" Type="http://schemas.openxmlformats.org/officeDocument/2006/relationships/hyperlink" Target="https://dalil.kg/document/93098" TargetMode="External"/><Relationship Id="rIdodee5vm0mmujvcrldww-z" Type="http://schemas.openxmlformats.org/officeDocument/2006/relationships/hyperlink" Target="https://dalil.kg/document/203641" TargetMode="External"/><Relationship Id="rIdzw0tb9w8brjszvmzmfcv1" Type="http://schemas.openxmlformats.org/officeDocument/2006/relationships/hyperlink" Target="https://dalil.kg/document/95269" TargetMode="External"/><Relationship Id="rIdm5skon-w9rwkxwv0_yfej" Type="http://schemas.openxmlformats.org/officeDocument/2006/relationships/hyperlink" Target="https://dalil.kg/document/95005" TargetMode="External"/><Relationship Id="rIdludsipyxrprwwoe5_anav" Type="http://schemas.openxmlformats.org/officeDocument/2006/relationships/hyperlink" Target="https://dalil.kg/document/92689" TargetMode="External"/><Relationship Id="rId5xzvq7raouq6va6pddzit" Type="http://schemas.openxmlformats.org/officeDocument/2006/relationships/hyperlink" Target="https://dalil.kg/document/205110" TargetMode="External"/><Relationship Id="rIda38q0zi2x-lbkf_pnhd3d" Type="http://schemas.openxmlformats.org/officeDocument/2006/relationships/hyperlink" Target="https://dalil.kg/document/203641" TargetMode="External"/><Relationship Id="rIduhr12ynondj9nsxlhd37l" Type="http://schemas.openxmlformats.org/officeDocument/2006/relationships/hyperlink" Target="https://dalil.kg/document/95237" TargetMode="External"/><Relationship Id="rIdrayurbltv2djpzwaieapv" Type="http://schemas.openxmlformats.org/officeDocument/2006/relationships/hyperlink" Target="https://dalil.kg/document/92158" TargetMode="External"/><Relationship Id="rIdqxgvuwfbn0iiq5nid0dqj" Type="http://schemas.openxmlformats.org/officeDocument/2006/relationships/hyperlink" Target="https://dalil.kg/document/95465" TargetMode="External"/><Relationship Id="rIdgmrofb-obvffm3mtcwnqb" Type="http://schemas.openxmlformats.org/officeDocument/2006/relationships/hyperlink" Target="https://dalil.kg/document/203641" TargetMode="External"/><Relationship Id="rId1gneddciek80jgwez71i0" Type="http://schemas.openxmlformats.org/officeDocument/2006/relationships/hyperlink" Target="https://dalil.kg/document/203641" TargetMode="External"/><Relationship Id="rIdq_zd21wepu9jco-hudj24" Type="http://schemas.openxmlformats.org/officeDocument/2006/relationships/hyperlink" Target="https://dalil.kg/document/203644" TargetMode="External"/><Relationship Id="rIden3ohmxnrrukkuvqhl-ns" Type="http://schemas.openxmlformats.org/officeDocument/2006/relationships/hyperlink" Target="https://dalil.kg/document/203729" TargetMode="External"/><Relationship Id="rIdkzvqqg2skhwddx0d_famn" Type="http://schemas.openxmlformats.org/officeDocument/2006/relationships/hyperlink" Target="https://dalil.kg/document/93557" TargetMode="External"/><Relationship Id="rIdqqsoq11xr6nxwprf0z1kn" Type="http://schemas.openxmlformats.org/officeDocument/2006/relationships/hyperlink" Target="https://dalil.kg/document/203817" TargetMode="External"/><Relationship Id="rIdlgouwhmh7-9ybodnq6sdi" Type="http://schemas.openxmlformats.org/officeDocument/2006/relationships/hyperlink" Target="https://dalil.kg/document/203641" TargetMode="External"/><Relationship Id="rIdqjxkdd5qbscvhuzh1b5yi" Type="http://schemas.openxmlformats.org/officeDocument/2006/relationships/hyperlink" Target="https://dalil.kg/document/203641" TargetMode="External"/><Relationship Id="rId8" Type="http://schemas.openxmlformats.org/officeDocument/2006/relationships/image" Target="media/8de64316e95979c063c17bcd5380dc052a2594e9.png"/><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cae0n3n9esy6natlxqmv" Type="http://schemas.openxmlformats.org/officeDocument/2006/relationships/hyperlink" Target="https://dalil.kg/document/94358" TargetMode="External"/><Relationship Id="rId_fplggshdznmk2oxfxgq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2026-09-24T23:34:34.615Z</dcterms:created>
  <dcterms:modified xsi:type="dcterms:W3CDTF">2026-09-24T23:34:34.615Z</dcterms:modified>
</cp:coreProperties>
</file>

<file path=docProps/custom.xml><?xml version="1.0" encoding="utf-8"?>
<Properties xmlns="http://schemas.openxmlformats.org/officeDocument/2006/custom-properties" xmlns:vt="http://schemas.openxmlformats.org/officeDocument/2006/docPropsVTypes"/>
</file>