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2010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Асаналиеве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Асаналиева Эрика Акматбаевича </w:t>
      </w:r>
      <w:r>
        <w:rPr>
          <w:rFonts w:ascii="Arial" w:cs="Arial" w:eastAsia="Arial" w:hAnsi="Arial"/>
          <w:sz w:val="24"/>
          <w:szCs w:val="24"/>
        </w:rPr>
        <w:t xml:space="preserve">Чрезвычайным и Полномочным Послом Кыргызской Республики в Республике Беларусь и постоянным и полномочным представителем Кыргызской Республики при Уставных органах Содружества Независимых Государств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mpiek4una65qpuve2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dalil.kg/document/94408</w:t>
      </w:r>
    </w:hyperlink>
  </w:p>
  <w:p>
    <w:pPr>
      <w:spacing w:after="0" w:before="40"/>
      <w:jc w:val="center"/>
    </w:pPr>
    <w:hyperlink w:history="1" r:id="rIdlj3vfgt0zx6xssnkw5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mpiek4una65qpuve2od" Type="http://schemas.openxmlformats.org/officeDocument/2006/relationships/hyperlink" Target="https://dalil.kg/document/94408" TargetMode="External"/><Relationship Id="rIdlj3vfgt0zx6xssnkw5h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2026-09-28T01:08:26.961Z</dcterms:created>
  <dcterms:modified xsi:type="dcterms:W3CDTF">2026-09-28T01:08:26.961Z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