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dqjr9izex6tutcvxfhip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мая 2013 года № 307</w:t>
      </w:r>
    </w:p>
    <w:p>
      <w:pPr>
        <w:spacing w:after="120"/>
        <w:jc w:val="both"/>
      </w:pPr>
      <w:r>
        <w:rPr>
          <w:rFonts w:ascii="Arial" w:cs="Arial" w:eastAsia="Arial" w:hAnsi="Arial"/>
          <w:sz w:val="24"/>
          <w:szCs w:val="24"/>
        </w:rPr>
        <w:t xml:space="preserve">О заключении Правительства Кыргызской Республики на проекты законов Кыргызской Республики "О благотворительных организациях и благотворительной деятельности" 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80 </w:t>
      </w:r>
      <w:hyperlink w:history="1" r:id="rIdbtdtfy4dqvstgjikdqei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31 </w:t>
      </w:r>
      <w:hyperlink w:history="1" r:id="rIdbu4gbhsn0bsuq3mihk82b">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vrd1kkn2mhnb4ainj3lgu">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проекты законов Кыргызской Республики "О благотворительных организациях и благотворительной деятельности" и "О внесении изменений и дополнений в некоторые законодательные акты Кыргызской Республики", инициированные депутатами Жогорку Кенеша Кыргызской Республики Э.Эрматовым, Т.З.Зулпукаровым, А.А.Сасыкбаевой, Н.В.Никитенко.</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w:t>
      </w:r>
      <w:r>
        <w:rPr>
          <w:rFonts w:ascii="Arial" w:cs="Arial" w:eastAsia="Arial" w:hAnsi="Arial"/>
          <w:sz w:val="24"/>
          <w:szCs w:val="24"/>
        </w:rPr>
        <w:t xml:space="preserve"> </w:t>
      </w:r>
      <w:hyperlink w:history="1" r:id="rIdjqzyipoboaofpnfql18p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мая 2013 года № 307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на проекты законов Кыргызской Республики "О благотворительных
 организациях и благотворительной деятельности" 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в соответствии со статьей 31 </w:t>
      </w:r>
      <w:hyperlink w:history="1" r:id="rIdqg4jc1mbmjozpe-gteutp">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проекты законов Кыргызской Республики "О благотворительных организациях и благотворительной деятельности" и "О внесении изменений и дополнений в некоторые законодательные акты Кыргызской Республики", инициированные депутатами Жогорку Кенеша Кыргызской Республики Э.Эрматовым, Т.З.Зулпукаровым, А.А.Сасыкбаевой, Н.В.Никитенко, и поступившие по ним замечания и предложения от министерств и ведомств, приходит к следующему заключению.</w:t>
      </w:r>
    </w:p>
    <w:p>
      <w:pPr>
        <w:spacing w:after="120"/>
        <w:jc w:val="both"/>
      </w:pPr>
      <w:r>
        <w:rPr>
          <w:rFonts w:ascii="Arial" w:cs="Arial" w:eastAsia="Arial" w:hAnsi="Arial"/>
          <w:sz w:val="24"/>
          <w:szCs w:val="24"/>
        </w:rPr>
        <w:t xml:space="preserve">По проекту Закона Кыргызской Республики "О благотворительных организациях и благотворительной деятельности" (далее - законопроект).</w:t>
      </w:r>
    </w:p>
    <w:p>
      <w:pPr>
        <w:spacing w:after="120"/>
        <w:jc w:val="both"/>
      </w:pPr>
      <w:r>
        <w:rPr>
          <w:rFonts w:ascii="Arial" w:cs="Arial" w:eastAsia="Arial" w:hAnsi="Arial"/>
          <w:sz w:val="24"/>
          <w:szCs w:val="24"/>
        </w:rPr>
        <w:t xml:space="preserve">Оглавление к законопроекту считаем необходимым исключить, так как оно не носит правовой нагрузки. Кроме этого, поскольку в соответствии со статьей 12 </w:t>
      </w:r>
      <w:hyperlink w:history="1" r:id="rIdvcro5pjneidnmip0jfdb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включение в преамбулу нормативных предписаний не допускается, предлагаем второе предложение преамбулы законопроекта, которое определяет предмет и цель регулирования нормативного правового акта, оформить в виде отдельной статьи.</w:t>
      </w:r>
    </w:p>
    <w:p>
      <w:pPr>
        <w:spacing w:after="120"/>
        <w:jc w:val="both"/>
      </w:pPr>
      <w:r>
        <w:rPr>
          <w:rFonts w:ascii="Arial" w:cs="Arial" w:eastAsia="Arial" w:hAnsi="Arial"/>
          <w:sz w:val="24"/>
          <w:szCs w:val="24"/>
        </w:rPr>
        <w:t xml:space="preserve">В части первой статьи 1 изложено, что "благотворительная деятельность - деятельность, которая осуществляется для достижения общественно-полезных целей в одной или нескольких сферах, …". Учитывая, что основной сутью благотворительности являются бескорыстие, безвозмездность, а также добровольность, полагаем целесообразным часть 1 статьи 1 изложить близкой к редакции, изложенной в </w:t>
      </w:r>
      <w:hyperlink w:history="1" r:id="rIdpmuiahakc2fzde0zvtdsh">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меценатстве и благотворительной деятельности" от 6 ноября 1999 года № 119, а именно:</w:t>
      </w:r>
    </w:p>
    <w:p>
      <w:pPr>
        <w:spacing w:after="120"/>
        <w:jc w:val="both"/>
      </w:pPr>
      <w:r>
        <w:rPr>
          <w:rFonts w:ascii="Arial" w:cs="Arial" w:eastAsia="Arial" w:hAnsi="Arial"/>
          <w:sz w:val="24"/>
          <w:szCs w:val="24"/>
        </w:rPr>
        <w:t xml:space="preserve">"Благотворительная деятельность - осуществление гражданами и некоммерческими организациями добровольной деятельности по бескорыстной (безвозмездной или на льготных условиях) передаче гражданам или юридическим лицам имущества, в том числе денежных средств, бескорыстному выполнению работ, предоставлению услуг в одной или нескольких сферах, перечисленных ниже:", и далее по тексту.</w:t>
      </w:r>
    </w:p>
    <w:p>
      <w:pPr>
        <w:spacing w:after="120"/>
        <w:jc w:val="both"/>
      </w:pPr>
      <w:r>
        <w:rPr>
          <w:rFonts w:ascii="Arial" w:cs="Arial" w:eastAsia="Arial" w:hAnsi="Arial"/>
          <w:sz w:val="24"/>
          <w:szCs w:val="24"/>
        </w:rPr>
        <w:t xml:space="preserve">По пунктам 1, 8, 11, 15, 22, 25 статьи 1 отмечаем об отсутствии в законодательстве Кыргызской Республики четких понятий таких критериев как "развитие демократии", "общественное согласие", "ликвидация бедности". При этом целесообразно вести речь не о ликвидации, а о сокращении бедности. Что касается противодействия коррупции, то борьбу с коррупцией осуществляют уполномоченные правоохранительные органы, при этом благотворительные организации могут оказывать содействие в противодействии коррупции.</w:t>
      </w:r>
    </w:p>
    <w:p>
      <w:pPr>
        <w:spacing w:after="120"/>
        <w:jc w:val="both"/>
      </w:pPr>
      <w:r>
        <w:rPr>
          <w:rFonts w:ascii="Arial" w:cs="Arial" w:eastAsia="Arial" w:hAnsi="Arial"/>
          <w:sz w:val="24"/>
          <w:szCs w:val="24"/>
        </w:rPr>
        <w:t xml:space="preserve">Аналогичные замечания по пункту 4 части 1 статьи 5, по части 4 статьи 18, по части 2 статьи 27, по пункту 8 статьи 36 и по пункту 5 статьи 45.</w:t>
      </w:r>
    </w:p>
    <w:p>
      <w:pPr>
        <w:spacing w:after="120"/>
        <w:jc w:val="both"/>
      </w:pPr>
      <w:r>
        <w:rPr>
          <w:rFonts w:ascii="Arial" w:cs="Arial" w:eastAsia="Arial" w:hAnsi="Arial"/>
          <w:sz w:val="24"/>
          <w:szCs w:val="24"/>
        </w:rPr>
        <w:t xml:space="preserve">Принимая во внимание, что средства из республиканского бюджета, выделяемые для развития физической культуры и спорта в Кыргызской Республике в должной мере недостаточны для продвижения спорта и участия спортсменов в международных состязаниях (олимпийские игры, чемпионаты мира и Азии и т.д.), считаем необходимым в пункте 1 статьи 1 слово "любительский" заменить словами "физическая культура и".</w:t>
      </w:r>
    </w:p>
    <w:p>
      <w:pPr>
        <w:spacing w:after="120"/>
        <w:jc w:val="both"/>
      </w:pPr>
      <w:r>
        <w:rPr>
          <w:rFonts w:ascii="Arial" w:cs="Arial" w:eastAsia="Arial" w:hAnsi="Arial"/>
          <w:sz w:val="24"/>
          <w:szCs w:val="24"/>
        </w:rPr>
        <w:t xml:space="preserve">Статьей 4 данного законопроекта предлагается статус благотворительной организации как некоммерческой организации предоставлять путем ее сертификации. В этой связи следует отметить, что законы Кыргызской Республики "</w:t>
      </w:r>
      <w:hyperlink w:history="1" r:id="rIdrtpvavrh4tbkzqucdpwtd">
        <w:r>
          <w:rPr>
            <w:rFonts w:ascii="Arial" w:cs="Arial" w:eastAsia="Arial" w:hAnsi="Arial"/>
            <w:color w:val="1D4ED8"/>
            <w:sz w:val="24"/>
            <w:szCs w:val="24"/>
            <w:u w:val="single"/>
          </w:rPr>
          <w:t xml:space="preserve">О некоммерческих организациях</w:t>
        </w:r>
      </w:hyperlink>
      <w:r>
        <w:rPr>
          <w:rFonts w:ascii="Arial" w:cs="Arial" w:eastAsia="Arial" w:hAnsi="Arial"/>
          <w:sz w:val="24"/>
          <w:szCs w:val="24"/>
        </w:rPr>
        <w:t xml:space="preserve">", "</w:t>
      </w:r>
      <w:hyperlink w:history="1" r:id="rIdbvaeuztlapy6y7gpvcgvn">
        <w:r>
          <w:rPr>
            <w:rFonts w:ascii="Arial" w:cs="Arial" w:eastAsia="Arial" w:hAnsi="Arial"/>
            <w:color w:val="1D4ED8"/>
            <w:sz w:val="24"/>
            <w:szCs w:val="24"/>
            <w:u w:val="single"/>
          </w:rPr>
          <w:t xml:space="preserve">О государственной регистрации юридических лиц, филиалов (представительств)</w:t>
        </w:r>
      </w:hyperlink>
      <w:r>
        <w:rPr>
          <w:rFonts w:ascii="Arial" w:cs="Arial" w:eastAsia="Arial" w:hAnsi="Arial"/>
          <w:sz w:val="24"/>
          <w:szCs w:val="24"/>
        </w:rPr>
        <w:t xml:space="preserve">" не содержат нормы по сертификации благотворительных организаций, созданных в форме общественных объединений, фондов, учреждений или объединений юридических лиц (ассоциаций и союзов).</w:t>
      </w:r>
    </w:p>
    <w:p>
      <w:pPr>
        <w:spacing w:after="120"/>
        <w:jc w:val="both"/>
      </w:pPr>
      <w:r>
        <w:rPr>
          <w:rFonts w:ascii="Arial" w:cs="Arial" w:eastAsia="Arial" w:hAnsi="Arial"/>
          <w:sz w:val="24"/>
          <w:szCs w:val="24"/>
        </w:rPr>
        <w:t xml:space="preserve">Кроме этого, под термином "сертификация" в соответствии с </w:t>
      </w:r>
      <w:hyperlink w:history="1" r:id="rIdzfxonpms3oouyx4n7zdv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понимается форма подтверждения соответствия, в ходе которого орган по сертификации документально удостоверяет, что продукция или процессы проектирования, производства, строительства и так далее соответствуют установленным требованиям технических регламентов, положениям стандартов, сводам правил или условиям договора. То есть, термин "сертификация" применим к процедуре соответствия определенным требованиям продукции или процессов производства, а также предоставления услуг.</w:t>
      </w:r>
    </w:p>
    <w:p>
      <w:pPr>
        <w:spacing w:after="120"/>
        <w:jc w:val="both"/>
      </w:pPr>
      <w:r>
        <w:rPr>
          <w:rFonts w:ascii="Arial" w:cs="Arial" w:eastAsia="Arial" w:hAnsi="Arial"/>
          <w:sz w:val="24"/>
          <w:szCs w:val="24"/>
        </w:rPr>
        <w:t xml:space="preserve">В этой связи считаем, что введение процедуры сертификации усложнит процедуру создания некоммерческих организаций в форме общественных объединений, фондов, учреждений или объединений юридических лиц (ассоциаций и союзов).</w:t>
      </w:r>
    </w:p>
    <w:p>
      <w:pPr>
        <w:spacing w:after="120"/>
        <w:jc w:val="both"/>
      </w:pPr>
      <w:r>
        <w:rPr>
          <w:rFonts w:ascii="Arial" w:cs="Arial" w:eastAsia="Arial" w:hAnsi="Arial"/>
          <w:sz w:val="24"/>
          <w:szCs w:val="24"/>
        </w:rPr>
        <w:t xml:space="preserve">Кроме этого, данная процедура наделит Государственную налоговую службу при Правительстве Кыргызской Республики несвойственными для нее функциями - по сертификации благотворительных организаций и секретариата Комиссии по благотворительности, по надзору за их основной деятельностью и ведению Реестра благотворительных организаций. При этом, возложение функций по ведению Реестра противоречит Закону Кыргызской Республики "</w:t>
      </w:r>
      <w:hyperlink w:history="1" r:id="rIdmk-30d_iznubizxassutt">
        <w:r>
          <w:rPr>
            <w:rFonts w:ascii="Arial" w:cs="Arial" w:eastAsia="Arial" w:hAnsi="Arial"/>
            <w:color w:val="1D4ED8"/>
            <w:sz w:val="24"/>
            <w:szCs w:val="24"/>
            <w:u w:val="single"/>
          </w:rPr>
          <w:t xml:space="preserve">О некоммерческих организациях</w:t>
        </w:r>
      </w:hyperlink>
      <w:r>
        <w:rPr>
          <w:rFonts w:ascii="Arial" w:cs="Arial" w:eastAsia="Arial" w:hAnsi="Arial"/>
          <w:sz w:val="24"/>
          <w:szCs w:val="24"/>
        </w:rPr>
        <w:t xml:space="preserve">", "</w:t>
      </w:r>
      <w:hyperlink w:history="1" r:id="rIdwuc5_vslbuuixjqfdvu49">
        <w:r>
          <w:rPr>
            <w:rFonts w:ascii="Arial" w:cs="Arial" w:eastAsia="Arial" w:hAnsi="Arial"/>
            <w:color w:val="1D4ED8"/>
            <w:sz w:val="24"/>
            <w:szCs w:val="24"/>
            <w:u w:val="single"/>
          </w:rPr>
          <w:t xml:space="preserve">О государственной регистрации юридических лиц, филиалов (представительств)</w:t>
        </w:r>
      </w:hyperlink>
      <w:r>
        <w:rPr>
          <w:rFonts w:ascii="Arial" w:cs="Arial" w:eastAsia="Arial" w:hAnsi="Arial"/>
          <w:sz w:val="24"/>
          <w:szCs w:val="24"/>
        </w:rPr>
        <w:t xml:space="preserve">", поскольку регистрация и ведение Реестра юридических лиц, филиалов (представительств), в том числе некоммерческих организаций, осуществляется Министерством юстиции Кыргызской Республики, а уполномоченным налоговым органом, согласно статье 95 Налогового кодекса Кыргызской Республики, ведется Государственный реестр налогоплательщиков.</w:t>
      </w:r>
    </w:p>
    <w:p>
      <w:pPr>
        <w:spacing w:after="120"/>
        <w:jc w:val="both"/>
      </w:pPr>
      <w:r>
        <w:rPr>
          <w:rFonts w:ascii="Arial" w:cs="Arial" w:eastAsia="Arial" w:hAnsi="Arial"/>
          <w:sz w:val="24"/>
          <w:szCs w:val="24"/>
        </w:rPr>
        <w:t xml:space="preserve">В пункте 2 части 1 статьи 5 проекта Закона предлагаем слово "преимущественно" исключить, так как согласно статье 1 данного законопроекта под благотворительной деятельностью предлагается понимать деятельность, которая осуществляется для достижения общественно полезной цели в одной или нескольких перечисленных сферах.</w:t>
      </w:r>
    </w:p>
    <w:p>
      <w:pPr>
        <w:spacing w:after="120"/>
        <w:jc w:val="both"/>
      </w:pPr>
      <w:r>
        <w:rPr>
          <w:rFonts w:ascii="Arial" w:cs="Arial" w:eastAsia="Arial" w:hAnsi="Arial"/>
          <w:sz w:val="24"/>
          <w:szCs w:val="24"/>
        </w:rPr>
        <w:t xml:space="preserve">Частью 2 статьи 5 предлагается установить, что признание осуществляемой деятельности благотворительной организации требует наличия, в том числе таких фактов, как отдача не менее 50% своих доходов и не менее 50% рабочего времени на осуществление благотворительной деятельности.</w:t>
      </w:r>
    </w:p>
    <w:p>
      <w:pPr>
        <w:spacing w:after="120"/>
        <w:jc w:val="both"/>
      </w:pPr>
      <w:r>
        <w:rPr>
          <w:rFonts w:ascii="Arial" w:cs="Arial" w:eastAsia="Arial" w:hAnsi="Arial"/>
          <w:sz w:val="24"/>
          <w:szCs w:val="24"/>
        </w:rPr>
        <w:t xml:space="preserve">В связи с чем, принимая во внимание положения части 3 данной статьи проекта, где предлагается установить обязательство документального подтверждения обозначенных выше фактов, отмечаем об отсутствии в законопроекте механизма реализации предложенных мероприятий.</w:t>
      </w:r>
    </w:p>
    <w:p>
      <w:pPr>
        <w:spacing w:after="120"/>
        <w:jc w:val="both"/>
      </w:pPr>
      <w:r>
        <w:rPr>
          <w:rFonts w:ascii="Arial" w:cs="Arial" w:eastAsia="Arial" w:hAnsi="Arial"/>
          <w:sz w:val="24"/>
          <w:szCs w:val="24"/>
        </w:rPr>
        <w:t xml:space="preserve">В части 2 статьи 6 проекта Закона слова "об организационно-правовой форме, наименовании" предлагаем заменить словами "о наименовании", поскольку согласно статье 89 Гражданского </w:t>
      </w:r>
      <w:hyperlink w:history="1" r:id="rIdtjjbdafcjjhedlfksqtm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юридическое лицо имеет свое наименование, содержащее указание на его вид, организационно-правовую форму и характер его деятельности.</w:t>
      </w:r>
    </w:p>
    <w:p>
      <w:pPr>
        <w:spacing w:after="120"/>
        <w:jc w:val="both"/>
      </w:pPr>
      <w:r>
        <w:rPr>
          <w:rFonts w:ascii="Arial" w:cs="Arial" w:eastAsia="Arial" w:hAnsi="Arial"/>
          <w:sz w:val="24"/>
          <w:szCs w:val="24"/>
        </w:rPr>
        <w:t xml:space="preserve">Частью 3 статьи 9 законопроекта предлагается предоставить возможность благотворительным организациям в пятидневный срок устранять недостатки, связанные с несоответствием документов требованиям Закона Кыргызской Республики "О благотворительных организациях и благотворительной деятельности".</w:t>
      </w:r>
    </w:p>
    <w:p>
      <w:pPr>
        <w:spacing w:after="120"/>
        <w:jc w:val="both"/>
      </w:pPr>
      <w:r>
        <w:rPr>
          <w:rFonts w:ascii="Arial" w:cs="Arial" w:eastAsia="Arial" w:hAnsi="Arial"/>
          <w:sz w:val="24"/>
          <w:szCs w:val="24"/>
        </w:rPr>
        <w:t xml:space="preserve">В этой связи, следует отметить, что данным проектом Закона не устанавливаются требования к документам.</w:t>
      </w:r>
    </w:p>
    <w:p>
      <w:pPr>
        <w:spacing w:after="120"/>
        <w:jc w:val="both"/>
      </w:pPr>
      <w:r>
        <w:rPr>
          <w:rFonts w:ascii="Arial" w:cs="Arial" w:eastAsia="Arial" w:hAnsi="Arial"/>
          <w:sz w:val="24"/>
          <w:szCs w:val="24"/>
        </w:rPr>
        <w:t xml:space="preserve">Часть 6 статьи 10 законопроекта предлагается изложить в следующей редакции:</w:t>
      </w:r>
    </w:p>
    <w:p>
      <w:pPr>
        <w:spacing w:after="120"/>
        <w:jc w:val="both"/>
      </w:pPr>
      <w:r>
        <w:rPr>
          <w:rFonts w:ascii="Arial" w:cs="Arial" w:eastAsia="Arial" w:hAnsi="Arial"/>
          <w:sz w:val="24"/>
          <w:szCs w:val="24"/>
        </w:rPr>
        <w:t xml:space="preserve">"6. В случае отказа в предоставлении статуса благотворительной организации, уполномоченный налоговый орган выдает представителю некоммерческой организации копию решения Комиссии по благотворительности (под расписку, с указанием даты вручения), не позднее 10 рабочих дней со дня его получения от Комиссии по благотворительности.".</w:t>
      </w:r>
    </w:p>
    <w:p>
      <w:pPr>
        <w:spacing w:after="120"/>
        <w:jc w:val="both"/>
      </w:pPr>
      <w:r>
        <w:rPr>
          <w:rFonts w:ascii="Arial" w:cs="Arial" w:eastAsia="Arial" w:hAnsi="Arial"/>
          <w:sz w:val="24"/>
          <w:szCs w:val="24"/>
        </w:rPr>
        <w:t xml:space="preserve">Аналогичное замечание по абзацу третьему части 1 статьи 11 законопроекта, устанавливающему, что одним из оснований для отказа в предоставлении некоммерческим организациям статуса благотворительной организации является предоставление документов, не соответствующих требованиям обозначенного Закона.</w:t>
      </w:r>
    </w:p>
    <w:p>
      <w:pPr>
        <w:spacing w:after="120"/>
        <w:jc w:val="both"/>
      </w:pPr>
      <w:r>
        <w:rPr>
          <w:rFonts w:ascii="Arial" w:cs="Arial" w:eastAsia="Arial" w:hAnsi="Arial"/>
          <w:sz w:val="24"/>
          <w:szCs w:val="24"/>
        </w:rPr>
        <w:t xml:space="preserve">Частью 1 статьи 12 законопроекта предлагается установить, что письмо об обжаловании решения Комиссии по благотворительности должно включать в себя, например, информацию, свидетельствующую об устранении оснований, послуживших причиной отказа. Однако, устранение оснований, вызвавших отказ в предоставлении статуса "благотворительная организация", не может быть поводом для обжалования решения Комиссии, а является основанием для повторной подачи документов для рассмотрения вопроса о предоставлении обозначенного выше статуса. В связи с чем, предлагаем в части 1 слова "и/или свидетельствует об устранении таких оснований" исключить.</w:t>
      </w:r>
    </w:p>
    <w:p>
      <w:pPr>
        <w:spacing w:after="120"/>
        <w:jc w:val="both"/>
      </w:pPr>
      <w:r>
        <w:rPr>
          <w:rFonts w:ascii="Arial" w:cs="Arial" w:eastAsia="Arial" w:hAnsi="Arial"/>
          <w:sz w:val="24"/>
          <w:szCs w:val="24"/>
        </w:rPr>
        <w:t xml:space="preserve">Частью 2 статьи 12 законопроекта предлагается установить, что по результатам рассмотрения письма некоммерческой организации об обжаловании решения Комиссии по благотворительности, обозначенная Комиссия вправе принимать решение о предоставлении или отказе в предоставлении ей статуса благотворительной организации.</w:t>
      </w:r>
    </w:p>
    <w:p>
      <w:pPr>
        <w:spacing w:after="120"/>
        <w:jc w:val="both"/>
      </w:pPr>
      <w:r>
        <w:rPr>
          <w:rFonts w:ascii="Arial" w:cs="Arial" w:eastAsia="Arial" w:hAnsi="Arial"/>
          <w:sz w:val="24"/>
          <w:szCs w:val="24"/>
        </w:rPr>
        <w:t xml:space="preserve">Вместе с тем, поскольку предметом регулирования статьи 12 законопроекта является определение порядка обжалования решений Комиссии по благотворительности, полагаем целесообразным в данном случае вести речь об отмене предыдущего решения об отказе и предоставлении статуса либо о подтверждении ранее вынесенного решения Комиссии по благотворительности.</w:t>
      </w:r>
    </w:p>
    <w:p>
      <w:pPr>
        <w:spacing w:after="120"/>
        <w:jc w:val="both"/>
      </w:pPr>
      <w:r>
        <w:rPr>
          <w:rFonts w:ascii="Arial" w:cs="Arial" w:eastAsia="Arial" w:hAnsi="Arial"/>
          <w:sz w:val="24"/>
          <w:szCs w:val="24"/>
        </w:rPr>
        <w:t xml:space="preserve">Часть 3 статьи 12 законопроекта предлагаем исключить, поскольку предложение первое по своему содержанию дублирует часть 4 статьи 10 проекта Закона.</w:t>
      </w:r>
    </w:p>
    <w:p>
      <w:pPr>
        <w:spacing w:after="120"/>
        <w:jc w:val="both"/>
      </w:pPr>
      <w:r>
        <w:rPr>
          <w:rFonts w:ascii="Arial" w:cs="Arial" w:eastAsia="Arial" w:hAnsi="Arial"/>
          <w:sz w:val="24"/>
          <w:szCs w:val="24"/>
        </w:rPr>
        <w:t xml:space="preserve">В части 7 статьи 18 проекта Закона, в целях исключения неясностей, полагаем целесообразным определить круг лиц, подпадающих под термины "близкие родственники", "друзья" и "иные лица".</w:t>
      </w:r>
    </w:p>
    <w:p>
      <w:pPr>
        <w:spacing w:after="120"/>
        <w:jc w:val="both"/>
      </w:pPr>
      <w:r>
        <w:rPr>
          <w:rFonts w:ascii="Arial" w:cs="Arial" w:eastAsia="Arial" w:hAnsi="Arial"/>
          <w:sz w:val="24"/>
          <w:szCs w:val="24"/>
        </w:rPr>
        <w:t xml:space="preserve">Статьей 22 проекта Закона предусматривается выдача специальной доверенности для лиц, осуществляющих сбор пожертвований от имени благотворительной организации, которая в соответствии с пунктом 3 должна содержать обозначенную в данном пункте информацию. Однако вопросы доверенности полностью отрегулированы Гражданским </w:t>
      </w:r>
      <w:hyperlink w:history="1" r:id="rIdtylxlf2yflz0gmlug5jdh">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что требует исключения части 3 статьи 22, как несоответствующей указанному Кодексу.</w:t>
      </w:r>
    </w:p>
    <w:p>
      <w:pPr>
        <w:spacing w:after="120"/>
        <w:jc w:val="both"/>
      </w:pPr>
      <w:r>
        <w:rPr>
          <w:rFonts w:ascii="Arial" w:cs="Arial" w:eastAsia="Arial" w:hAnsi="Arial"/>
          <w:sz w:val="24"/>
          <w:szCs w:val="24"/>
        </w:rPr>
        <w:t xml:space="preserve">Часть 1 статьи 24 законопроекта предлагаем исключить, поскольку статьей 23 данного проекта Закона уже предусматривается ежегодная описательная и финансовая отчетность о деятельности благотворительной организации в прошедшем году.</w:t>
      </w:r>
    </w:p>
    <w:p>
      <w:pPr>
        <w:spacing w:after="120"/>
        <w:jc w:val="both"/>
      </w:pPr>
      <w:r>
        <w:rPr>
          <w:rFonts w:ascii="Arial" w:cs="Arial" w:eastAsia="Arial" w:hAnsi="Arial"/>
          <w:sz w:val="24"/>
          <w:szCs w:val="24"/>
        </w:rPr>
        <w:t xml:space="preserve">Частью 5 обозначенной статьи предлагается установить, что министерства, ведомства и другие государственные органы, по запросу Комиссии по благотворительности, обязаны предоставить экспертов из своего штата для участия в проведении проверок деятельности благотворительных организаций. Вместе с тем, учитывая положения части 1 статьи 34 представленного проекта Закона, согласно которым в состав Комиссии по благотворительности уже входя 10 представителей от соответствующих уполномоченных государственных органов, предлагаем часть 5 статьи 24 законопроекта исключить.</w:t>
      </w:r>
    </w:p>
    <w:p>
      <w:pPr>
        <w:spacing w:after="120"/>
        <w:jc w:val="both"/>
      </w:pPr>
      <w:r>
        <w:rPr>
          <w:rFonts w:ascii="Arial" w:cs="Arial" w:eastAsia="Arial" w:hAnsi="Arial"/>
          <w:sz w:val="24"/>
          <w:szCs w:val="24"/>
        </w:rPr>
        <w:t xml:space="preserve">Также следует отметить, что проверки хозяйствующих субъектов проводятся в порядке и по основаниям, установленным </w:t>
      </w:r>
      <w:hyperlink w:history="1" r:id="rIdpniyabatqrd-l9zrzbw_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 Благотворительная организация не является хозяйствующим субъектом, соответственно вышеназванный Закон не распространяется на сферу благотворительности. В связи с чем, часть 6 предлагаем исключить.</w:t>
      </w:r>
    </w:p>
    <w:p>
      <w:pPr>
        <w:spacing w:after="120"/>
        <w:jc w:val="both"/>
      </w:pPr>
      <w:r>
        <w:rPr>
          <w:rFonts w:ascii="Arial" w:cs="Arial" w:eastAsia="Arial" w:hAnsi="Arial"/>
          <w:sz w:val="24"/>
          <w:szCs w:val="24"/>
        </w:rPr>
        <w:t xml:space="preserve">Частью 7 статьи 24 законопроекта предлагается установить, что методика проведения проверок благотворительных организаций будет определяться Комиссией по благотворительности. Однако документ, который будет регламентировать вышеупомянутый вопрос, будет обладать характеристиками нормативного правового акта, так как последним, в соответствии со статьей 2 </w:t>
      </w:r>
      <w:hyperlink w:history="1" r:id="rId65fn_xiup_3vipejskci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признается документ установленной формы, принятый в пределах компетенции субъекта, направленный на установление, изменение или отмену норм права. При этом под нормой права понимается общеобязательные правила поведения, рассчитанные на неопределенный круг лиц и неоднократное применение.</w:t>
      </w:r>
    </w:p>
    <w:p>
      <w:pPr>
        <w:spacing w:after="120"/>
        <w:jc w:val="both"/>
      </w:pPr>
      <w:r>
        <w:rPr>
          <w:rFonts w:ascii="Arial" w:cs="Arial" w:eastAsia="Arial" w:hAnsi="Arial"/>
          <w:sz w:val="24"/>
          <w:szCs w:val="24"/>
        </w:rPr>
        <w:t xml:space="preserve">Таким образом, вышеуказанная норма будет противоречить требованиям статьи 5 </w:t>
      </w:r>
      <w:hyperlink w:history="1" r:id="rIdxgyhz3prov8nchl5au6i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где определен исчерпывающий перечень субъектов, обладающих правом принятия нормативных правовых актов.</w:t>
      </w:r>
    </w:p>
    <w:p>
      <w:pPr>
        <w:spacing w:after="120"/>
        <w:jc w:val="both"/>
      </w:pPr>
      <w:r>
        <w:rPr>
          <w:rFonts w:ascii="Arial" w:cs="Arial" w:eastAsia="Arial" w:hAnsi="Arial"/>
          <w:sz w:val="24"/>
          <w:szCs w:val="24"/>
        </w:rPr>
        <w:t xml:space="preserve">Аналогичные замечания по пункту 10 части 1 статьи 37 и по части 3 статьи 44 проекта Закона.</w:t>
      </w:r>
    </w:p>
    <w:p>
      <w:pPr>
        <w:spacing w:after="120"/>
        <w:jc w:val="both"/>
      </w:pPr>
      <w:r>
        <w:rPr>
          <w:rFonts w:ascii="Arial" w:cs="Arial" w:eastAsia="Arial" w:hAnsi="Arial"/>
          <w:sz w:val="24"/>
          <w:szCs w:val="24"/>
        </w:rPr>
        <w:t xml:space="preserve">Частью 3 статьи 29 проекта Закона предлагается определить, что статус благотворительной организации некоммерческой организации прекращает свое действие со дня принятия налоговым органом заявления некоммерческой организации о добровольном отказе. Однако отмечаем, что правом предоставления статуса благотворительной организации, согласно статье 10 данного проекта Закона, обладает Комиссия по благотворительности.</w:t>
      </w:r>
    </w:p>
    <w:p>
      <w:pPr>
        <w:spacing w:after="120"/>
        <w:jc w:val="both"/>
      </w:pPr>
      <w:r>
        <w:rPr>
          <w:rFonts w:ascii="Arial" w:cs="Arial" w:eastAsia="Arial" w:hAnsi="Arial"/>
          <w:sz w:val="24"/>
          <w:szCs w:val="24"/>
        </w:rPr>
        <w:t xml:space="preserve">Кроме этого, предлагаем пересмотреть редакцию части 4 статьи 30 представленного проекта Закона, устанавливающей сроки обжалования решения Комиссии по благотворительности в суде, поскольку процессуальные сроки регламентируются Гражданским процессуальным </w:t>
      </w:r>
      <w:hyperlink w:history="1" r:id="rIdgrptefhwjjvqw3ucx0fqg">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Такое же замечание по пункту 3 части 1 статьи 37 проекта Закона, предлагающему возложить на Комиссию по благотворительности полномочие о направлении уведомления соответствующему уполномоченному государственному органу о привлечении благотворительной организации к административной или уголовной ответственности, так как данный вопрос является предметом регулирования </w:t>
      </w:r>
      <w:hyperlink w:history="1" r:id="rIdqtfuuytb6ak3f91pqcqp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Статьи 38 и 39 проекта Закона предлагаем исключить, так как согласно пункту 10 части 1 статьи 37 данного законопроекта Комиссию по благотворительности предлагается наделить правом по утверждению регламента работы Комиссии.</w:t>
      </w:r>
    </w:p>
    <w:p>
      <w:pPr>
        <w:spacing w:after="120"/>
        <w:jc w:val="both"/>
      </w:pPr>
      <w:r>
        <w:rPr>
          <w:rFonts w:ascii="Arial" w:cs="Arial" w:eastAsia="Arial" w:hAnsi="Arial"/>
          <w:sz w:val="24"/>
          <w:szCs w:val="24"/>
        </w:rPr>
        <w:t xml:space="preserve">В статье 45 законопроекта предлагается регулировать вопрос государственной поддержки благотворительных организаций, в том числе, путем установления налоговых льгот при осуществлении последними экономической деятельности и освобождения получателей помощи от благотворительных организаций от налоговых и других обязательных платежей. Однако данная норма противоречит действующему законодательству. В частности, статьи 13 </w:t>
      </w:r>
      <w:hyperlink w:history="1" r:id="rIddk6ea85epdhv_acyzld5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которой на территории Кыргызской Республики действует единая налоговая система, при этом право установления налогов принадлежит Жогорку Кенешу Кыргызской Республики. Кроме того, статьей 5 Налогового </w:t>
      </w:r>
      <w:hyperlink w:history="1" r:id="rId3cfmhzbrqdn49alsvhwx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запрещается включать в законодательство, не являющееся налоговым законодательством Кыргызской Республики, нормы, регулирующие налоговые правоотношения, кроме случаев, предусмотренных обозначенным Кодексом.</w:t>
      </w:r>
    </w:p>
    <w:p>
      <w:pPr>
        <w:spacing w:after="120"/>
        <w:jc w:val="both"/>
      </w:pPr>
      <w:r>
        <w:rPr>
          <w:rFonts w:ascii="Arial" w:cs="Arial" w:eastAsia="Arial" w:hAnsi="Arial"/>
          <w:sz w:val="24"/>
          <w:szCs w:val="24"/>
        </w:rPr>
        <w:t xml:space="preserve">Одновременно, по части 6 статьи 46 представленного законопроекта отмечаем о необходимости указания в справке-обосновании к проекту Закона перечня нормативных правовых актов Правительства Кыргызской Республики, подлежащих приведению в соответствие с положениями Закона, в случае его принятия Жогорку Кенешем Кыргызской Республики.</w:t>
      </w:r>
    </w:p>
    <w:p>
      <w:pPr>
        <w:spacing w:after="120"/>
        <w:jc w:val="both"/>
      </w:pPr>
      <w:r>
        <w:rPr>
          <w:rFonts w:ascii="Arial" w:cs="Arial" w:eastAsia="Arial" w:hAnsi="Arial"/>
          <w:sz w:val="24"/>
          <w:szCs w:val="24"/>
        </w:rPr>
        <w:t xml:space="preserve">Кроме этого, отмечаем, что действие данного законопроекта будет направлено на деятельность религиозных организаций. В этой связи необходимо отметить, что благотворительность является одной из основных форм функционирования религиозных организаций.</w:t>
      </w:r>
    </w:p>
    <w:p>
      <w:pPr>
        <w:spacing w:after="120"/>
        <w:jc w:val="both"/>
      </w:pPr>
      <w:r>
        <w:rPr>
          <w:rFonts w:ascii="Arial" w:cs="Arial" w:eastAsia="Arial" w:hAnsi="Arial"/>
          <w:sz w:val="24"/>
          <w:szCs w:val="24"/>
        </w:rPr>
        <w:t xml:space="preserve">Так, в статье 18 </w:t>
      </w:r>
      <w:hyperlink w:history="1" r:id="rIdhwdoyeiiwhmbz_v4bybg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свободе вероисповедания и религиозных организациях в Кыргызской Республике" отмечается, что благотворительная деятельность религиозных организаций и миссий должна быть направлена на оказание материальной помощи людям, находящимся в тяжелых жизненных бытовых условиях, опеку над стариками и немощными, нетрудоспособными и так далее. Государство может оказывать содействие и поддержку благотворительной деятельности религиозных организаций и миссий, а также в реализации ими общественно значимых культурно-просветительских программ и мероприятий.</w:t>
      </w:r>
    </w:p>
    <w:p>
      <w:pPr>
        <w:spacing w:after="120"/>
        <w:jc w:val="both"/>
      </w:pPr>
      <w:r>
        <w:rPr>
          <w:rFonts w:ascii="Arial" w:cs="Arial" w:eastAsia="Arial" w:hAnsi="Arial"/>
          <w:sz w:val="24"/>
          <w:szCs w:val="24"/>
        </w:rPr>
        <w:t xml:space="preserve">Следовательно, благотворительная деятельность является религиозной сутью деятельности религиозных организаций и поддерживается государством, без каких-либо барьеров.</w:t>
      </w:r>
    </w:p>
    <w:p>
      <w:pPr>
        <w:spacing w:after="120"/>
        <w:jc w:val="both"/>
      </w:pPr>
      <w:r>
        <w:rPr>
          <w:rFonts w:ascii="Arial" w:cs="Arial" w:eastAsia="Arial" w:hAnsi="Arial"/>
          <w:sz w:val="24"/>
          <w:szCs w:val="24"/>
        </w:rPr>
        <w:t xml:space="preserve">Вместе с тем, данным законопроектом, для организаций, занимающихся благотворительностью, предлагается введение барьеров. К ним относятся: создание перечня направлений благотворительной деятельности, системы сертификации благотворительных организаций, категории для получения статуса благотворительной организации, платы за сертификацию, образование специальной комиссии по благотворительности, которая к уже имеющейся системе регистрации в уполномоченном государственном органе по делам религий в органах юстиции, будет осуществлять очередную (третью) форму регистрации в виде сертификации, в чем возможно в последующем, будет прослеживаться коррупционная составляющая.</w:t>
      </w:r>
    </w:p>
    <w:p>
      <w:pPr>
        <w:spacing w:after="120"/>
        <w:jc w:val="both"/>
      </w:pPr>
      <w:r>
        <w:rPr>
          <w:rFonts w:ascii="Arial" w:cs="Arial" w:eastAsia="Arial" w:hAnsi="Arial"/>
          <w:sz w:val="24"/>
          <w:szCs w:val="24"/>
        </w:rPr>
        <w:t xml:space="preserve">В этой связи, считаем необходимым по данному законопроекту провести антикоррупционную и специализированную теологическую экспертизу и с учетом результатов данной экспертизы рассмотреть целесообразность исключения из сферы регулирования предлагаемого законопроекта благотворительной деятельности религиозных организаций.</w:t>
      </w:r>
    </w:p>
    <w:p>
      <w:pPr>
        <w:spacing w:after="120"/>
        <w:jc w:val="both"/>
      </w:pPr>
      <w:r>
        <w:rPr>
          <w:rFonts w:ascii="Arial" w:cs="Arial" w:eastAsia="Arial" w:hAnsi="Arial"/>
          <w:sz w:val="24"/>
          <w:szCs w:val="24"/>
        </w:rPr>
        <w:t xml:space="preserve">Кроме этого, считаем недостатком, что в законопроекте отсутствует понятие "меценатство", так как наука, искусство и культура в приоритетном порядке нуждаются в меценатстве, а не в благотворительности.</w:t>
      </w:r>
    </w:p>
    <w:p>
      <w:pPr>
        <w:spacing w:after="120"/>
        <w:jc w:val="both"/>
      </w:pPr>
      <w:r>
        <w:rPr>
          <w:rFonts w:ascii="Arial" w:cs="Arial" w:eastAsia="Arial" w:hAnsi="Arial"/>
          <w:sz w:val="24"/>
          <w:szCs w:val="24"/>
        </w:rPr>
        <w:t xml:space="preserve">Также отмечаем, что в справке-обосновании утверждается, что существенным недостатком действующего Закона является ограничение права благотворительных организаций на осуществление предпринимательской деятельности. В то же время, согласно статье 7 Закона Кыргызской Республики "О меценатстве и благотворительной деятельности" благотворительная организация вправе осуществлять предпринимательскую деятельность только для достижения целей, ради которых она создана, и соответствующую этим целям. В соответствии со статьями 9 и 18 вышеуказанного Закона организация вправе самостоятельно определить предмет и цели деятельности благотворительной организации, а также хозяйственную, в том числе, производственную деятельность, соответствующую целям, для достижения которых она создана.</w:t>
      </w:r>
    </w:p>
    <w:p>
      <w:pPr>
        <w:spacing w:after="120"/>
        <w:jc w:val="both"/>
      </w:pPr>
      <w:r>
        <w:rPr>
          <w:rFonts w:ascii="Arial" w:cs="Arial" w:eastAsia="Arial" w:hAnsi="Arial"/>
          <w:sz w:val="24"/>
          <w:szCs w:val="24"/>
        </w:rPr>
        <w:t xml:space="preserve">По проекту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По статье 2 законопроекта.</w:t>
      </w:r>
    </w:p>
    <w:p>
      <w:pPr>
        <w:spacing w:after="120"/>
        <w:jc w:val="both"/>
      </w:pPr>
      <w:r>
        <w:rPr>
          <w:rFonts w:ascii="Arial" w:cs="Arial" w:eastAsia="Arial" w:hAnsi="Arial"/>
          <w:sz w:val="24"/>
          <w:szCs w:val="24"/>
        </w:rPr>
        <w:t xml:space="preserve">В </w:t>
      </w:r>
      <w:hyperlink w:history="1" r:id="rIdvqx1k8v3_b6br8ypeahxw">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 некоммерческих организациях" разработчиком предлагается исключить часть 1 статьи 18. В то же время отмечаем, что данное исключение несущественно, так как сохраняется аналогичная норма в статье 161 Гражданского </w:t>
      </w:r>
      <w:hyperlink w:history="1" r:id="rIdqzieqwk_nup-gsrumwdk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 статье 3 законопроекта.</w:t>
      </w:r>
    </w:p>
    <w:p>
      <w:pPr>
        <w:spacing w:after="120"/>
        <w:jc w:val="both"/>
      </w:pPr>
      <w:r>
        <w:rPr>
          <w:rFonts w:ascii="Arial" w:cs="Arial" w:eastAsia="Arial" w:hAnsi="Arial"/>
          <w:sz w:val="24"/>
          <w:szCs w:val="24"/>
        </w:rPr>
        <w:t xml:space="preserve">Предлагаемые изменения в статьях 324 и 330 Налогового </w:t>
      </w:r>
      <w:hyperlink w:history="1" r:id="rIdlpddithmneyc5tsc4uo97">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будут нарушать установленный принцип отнесения имущества к 1 группе и значительно усложнят определение и отнесение налогооблагаемого имущества к соответствующей группе. Кроме этого, предлагаемые изменения в статьях 330 и 343, в части предоставления льгот по уплате налога на имущество и земельного налога для благотворительных организаций, считаем нецелесообразным, поскольку Стратегией устойчивого развития Кыргызской Республики на период 2013-2017 годы, утвержденной Указом Президента Кыргызской Республики от 21 января 2013 года № 11, отдельным направлением политики в области повышения доходного потенциала налоговой системы станет оптимизация существующей системы налоговых преференций, запрет на необоснованные льготы и освобождения, а также ликвидация имеющихся возможностей для уклонения от налогообложения.</w:t>
      </w:r>
    </w:p>
    <w:p>
      <w:pPr>
        <w:spacing w:after="120"/>
        <w:jc w:val="both"/>
      </w:pPr>
      <w:r>
        <w:rPr>
          <w:rFonts w:ascii="Arial" w:cs="Arial" w:eastAsia="Arial" w:hAnsi="Arial"/>
          <w:sz w:val="24"/>
          <w:szCs w:val="24"/>
        </w:rPr>
        <w:t xml:space="preserve">По абзацу 2 статьи 6 законопроекта.</w:t>
      </w:r>
    </w:p>
    <w:p>
      <w:pPr>
        <w:spacing w:after="120"/>
        <w:jc w:val="both"/>
      </w:pPr>
      <w:r>
        <w:rPr>
          <w:rFonts w:ascii="Arial" w:cs="Arial" w:eastAsia="Arial" w:hAnsi="Arial"/>
          <w:sz w:val="24"/>
          <w:szCs w:val="24"/>
        </w:rPr>
        <w:t xml:space="preserve">Отмечаем о необходимости указания в справке-обосновании к проекту Закона перечня нормативных правовых актов Правительства Кыргызской Республики, подлежащих приведению в соответствие с положениями Закона, в случае его принятия Жогорку Кенешем Кыргызской Республики.</w:t>
      </w:r>
    </w:p>
    <w:p>
      <w:pPr>
        <w:spacing w:after="120"/>
        <w:jc w:val="both"/>
      </w:pPr>
      <w:r>
        <w:rPr>
          <w:rFonts w:ascii="Arial" w:cs="Arial" w:eastAsia="Arial" w:hAnsi="Arial"/>
          <w:sz w:val="24"/>
          <w:szCs w:val="24"/>
        </w:rPr>
        <w:t xml:space="preserve">По статье 5 законопроекта.</w:t>
      </w:r>
    </w:p>
    <w:p>
      <w:pPr>
        <w:spacing w:after="120"/>
        <w:jc w:val="both"/>
      </w:pPr>
      <w:r>
        <w:rPr>
          <w:rFonts w:ascii="Arial" w:cs="Arial" w:eastAsia="Arial" w:hAnsi="Arial"/>
          <w:sz w:val="24"/>
          <w:szCs w:val="24"/>
        </w:rPr>
        <w:t xml:space="preserve">В </w:t>
      </w:r>
      <w:hyperlink w:history="1" r:id="rIdwsdbiltguft56nfm-nua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 предлагается внести поправки, согласно которым за нарушение требований законодательства о благотворительных организациях, благотворительная организация облагается административным штрафом в размере от 20 до 30 расчетных показателей.</w:t>
      </w:r>
    </w:p>
    <w:p>
      <w:pPr>
        <w:spacing w:after="120"/>
        <w:jc w:val="both"/>
      </w:pPr>
      <w:r>
        <w:rPr>
          <w:rFonts w:ascii="Arial" w:cs="Arial" w:eastAsia="Arial" w:hAnsi="Arial"/>
          <w:sz w:val="24"/>
          <w:szCs w:val="24"/>
        </w:rPr>
        <w:t xml:space="preserve">Следует отметить, что данное положение противоречит нормам статьи 30 обозначенного Кодекса, согласно которым минимальный размер штрафа, налагаемого на юридическое лицо, не может быть менее ста расчетных показателей, максимальный размер штрафа не может превышать одной тысячи расчетных показателей, или не может превышать двадцати процентов от стоимости выполненных работ, произведенных в нарушение действующих нормативов или законодательных актов.</w:t>
      </w:r>
    </w:p>
    <w:p>
      <w:pPr>
        <w:spacing w:after="120"/>
        <w:jc w:val="both"/>
      </w:pPr>
      <w:r>
        <w:rPr>
          <w:rFonts w:ascii="Arial" w:cs="Arial" w:eastAsia="Arial" w:hAnsi="Arial"/>
          <w:sz w:val="24"/>
          <w:szCs w:val="24"/>
        </w:rPr>
        <w:t xml:space="preserve">На основании вышеизложенного Правительство Кыргызской Республики считает нецелесообразным принятие в представленной редакции проектов законов Кыргызской Республики "О благотворительных организациях и благотворительной деятельности", "О внесении изменений и дополнений в некоторые законодательные акты Кыргызской Республики", инициированных депутатами Жогорку Кенеша Кыргызской Республики Э.Эрматовым, Т.З.Зулпукаровым, А.А.Сасыкбаевой, Н.В.Никитенко.</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oy4fyupuclvgx2hadesg">
      <w:r>
        <w:rPr>
          <w:rFonts w:ascii="Arial" w:cs="Arial" w:eastAsia="Arial" w:hAnsi="Arial"/>
          <w:color w:val="132D3F"/>
          <w:sz w:val="16"/>
          <w:szCs w:val="16"/>
          <w:u w:val="single"/>
        </w:rPr>
        <w:t xml:space="preserve">dalil.kg/document/94421</w:t>
      </w:r>
    </w:hyperlink>
  </w:p>
  <w:p>
    <w:pPr>
      <w:spacing w:after="0" w:before="40"/>
      <w:jc w:val="center"/>
    </w:pPr>
    <w:hyperlink w:history="1" r:id="rIdcjzlo6ggau_6hypzfofh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qjr9izex6tutcvxfhipr" Type="http://schemas.openxmlformats.org/officeDocument/2006/relationships/hyperlink" Target="https://dalil.kg/document/159126" TargetMode="External"/><Relationship Id="rIdbtdtfy4dqvstgjikdqeiv" Type="http://schemas.openxmlformats.org/officeDocument/2006/relationships/hyperlink" Target="https://dalil.kg/document/202913" TargetMode="External"/><Relationship Id="rIdbu4gbhsn0bsuq3mihk82b" Type="http://schemas.openxmlformats.org/officeDocument/2006/relationships/hyperlink" Target="https://dalil.kg/document/203685" TargetMode="External"/><Relationship Id="rIdvrd1kkn2mhnb4ainj3lgu" Type="http://schemas.openxmlformats.org/officeDocument/2006/relationships/hyperlink" Target="https://dalil.kg/document/94421#&#1088;1" TargetMode="External"/><Relationship Id="rIdjqzyipoboaofpnfql18px" Type="http://schemas.openxmlformats.org/officeDocument/2006/relationships/hyperlink" Target="https://dalil.kg/document/94421" TargetMode="External"/><Relationship Id="rIdqg4jc1mbmjozpe-gteutp" Type="http://schemas.openxmlformats.org/officeDocument/2006/relationships/hyperlink" Target="https://dalil.kg/document/203685" TargetMode="External"/><Relationship Id="rIdvcro5pjneidnmip0jfdb2" Type="http://schemas.openxmlformats.org/officeDocument/2006/relationships/hyperlink" Target="https://dalil.kg/document/202591" TargetMode="External"/><Relationship Id="rIdpmuiahakc2fzde0zvtdsh" Type="http://schemas.openxmlformats.org/officeDocument/2006/relationships/hyperlink" Target="https://dalil.kg/document/282" TargetMode="External"/><Relationship Id="rIdrtpvavrh4tbkzqucdpwtd" Type="http://schemas.openxmlformats.org/officeDocument/2006/relationships/hyperlink" Target="https://dalil.kg/document/274" TargetMode="External"/><Relationship Id="rIdbvaeuztlapy6y7gpvcgvn" Type="http://schemas.openxmlformats.org/officeDocument/2006/relationships/hyperlink" Target="https://dalil.kg/document/202621" TargetMode="External"/><Relationship Id="rIdzfxonpms3oouyx4n7zdvt" Type="http://schemas.openxmlformats.org/officeDocument/2006/relationships/hyperlink" Target="https://dalil.kg/document/1453" TargetMode="External"/><Relationship Id="rIdmk-30d_iznubizxassutt" Type="http://schemas.openxmlformats.org/officeDocument/2006/relationships/hyperlink" Target="https://dalil.kg/document/274" TargetMode="External"/><Relationship Id="rIdwuc5_vslbuuixjqfdvu49" Type="http://schemas.openxmlformats.org/officeDocument/2006/relationships/hyperlink" Target="https://dalil.kg/document/202621" TargetMode="External"/><Relationship Id="rIdtjjbdafcjjhedlfksqtm5" Type="http://schemas.openxmlformats.org/officeDocument/2006/relationships/hyperlink" Target="https://dalil.kg/document/4" TargetMode="External"/><Relationship Id="rIdtylxlf2yflz0gmlug5jdh" Type="http://schemas.openxmlformats.org/officeDocument/2006/relationships/hyperlink" Target="https://dalil.kg/document/4" TargetMode="External"/><Relationship Id="rIdpniyabatqrd-l9zrzbw_d" Type="http://schemas.openxmlformats.org/officeDocument/2006/relationships/hyperlink" Target="https://dalil.kg/document/202105" TargetMode="External"/><Relationship Id="rId65fn_xiup_3vipejskcic" Type="http://schemas.openxmlformats.org/officeDocument/2006/relationships/hyperlink" Target="https://dalil.kg/document/202591" TargetMode="External"/><Relationship Id="rIdxgyhz3prov8nchl5au6ix" Type="http://schemas.openxmlformats.org/officeDocument/2006/relationships/hyperlink" Target="https://dalil.kg/document/202591" TargetMode="External"/><Relationship Id="rIdgrptefhwjjvqw3ucx0fqg" Type="http://schemas.openxmlformats.org/officeDocument/2006/relationships/hyperlink" Target="https://dalil.kg/document/12" TargetMode="External"/><Relationship Id="rIdqtfuuytb6ak3f91pqcqp1" Type="http://schemas.openxmlformats.org/officeDocument/2006/relationships/hyperlink" Target="https://dalil.kg/document/6" TargetMode="External"/><Relationship Id="rIddk6ea85epdhv_acyzld5v" Type="http://schemas.openxmlformats.org/officeDocument/2006/relationships/hyperlink" Target="https://dalil.kg/document/202913" TargetMode="External"/><Relationship Id="rId3cfmhzbrqdn49alsvhwxf" Type="http://schemas.openxmlformats.org/officeDocument/2006/relationships/hyperlink" Target="https://dalil.kg/document/202445" TargetMode="External"/><Relationship Id="rIdhwdoyeiiwhmbz_v4bybgb" Type="http://schemas.openxmlformats.org/officeDocument/2006/relationships/hyperlink" Target="https://dalil.kg/document/202498" TargetMode="External"/><Relationship Id="rIdvqx1k8v3_b6br8ypeahxw" Type="http://schemas.openxmlformats.org/officeDocument/2006/relationships/hyperlink" Target="https://dalil.kg/document/274" TargetMode="External"/><Relationship Id="rIdqzieqwk_nup-gsrumwdkl" Type="http://schemas.openxmlformats.org/officeDocument/2006/relationships/hyperlink" Target="https://dalil.kg/document/4" TargetMode="External"/><Relationship Id="rIdlpddithmneyc5tsc4uo97" Type="http://schemas.openxmlformats.org/officeDocument/2006/relationships/hyperlink" Target="https://dalil.kg/document/202445" TargetMode="External"/><Relationship Id="rIdwsdbiltguft56nfm-nuak"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oy4fyupuclvgx2hadesg" Type="http://schemas.openxmlformats.org/officeDocument/2006/relationships/hyperlink" Target="https://dalil.kg/document/94421" TargetMode="External"/><Relationship Id="rIdcjzlo6ggau_6hypzfofh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2026-09-23T19:19:41.328Z</dcterms:created>
  <dcterms:modified xsi:type="dcterms:W3CDTF">2026-09-23T19:19:41.328Z</dcterms:modified>
</cp:coreProperties>
</file>

<file path=docProps/custom.xml><?xml version="1.0" encoding="utf-8"?>
<Properties xmlns="http://schemas.openxmlformats.org/officeDocument/2006/custom-properties" xmlns:vt="http://schemas.openxmlformats.org/officeDocument/2006/docPropsVTypes"/>
</file>