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_2voqujbty1fxfc2rirvz">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26 июня 2013 года № 377</w:t>
      </w:r>
    </w:p>
    <w:p>
      <w:pPr>
        <w:spacing w:after="120"/>
        <w:jc w:val="both"/>
      </w:pPr>
      <w:r>
        <w:rPr>
          <w:rFonts w:ascii="Arial" w:cs="Arial" w:eastAsia="Arial" w:hAnsi="Arial"/>
          <w:sz w:val="24"/>
          <w:szCs w:val="24"/>
        </w:rPr>
        <w:t xml:space="preserve">Об Отчете об исполнении бюджета Социального фонда Кыргызской Республики за 2012 год</w:t>
      </w:r>
    </w:p>
    <w:p>
      <w:pPr>
        <w:spacing w:after="120"/>
        <w:jc w:val="both"/>
      </w:pPr>
      <w:r>
        <w:rPr>
          <w:rFonts w:ascii="Arial" w:cs="Arial" w:eastAsia="Arial" w:hAnsi="Arial"/>
          <w:sz w:val="24"/>
          <w:szCs w:val="24"/>
        </w:rPr>
        <w:t xml:space="preserve">В соответствии со статьей 5 </w:t>
      </w:r>
      <w:hyperlink w:history="1" r:id="rIda9tweil5qpfetgj-aazy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Отчет об исполнении бюджета Социального фонда Кыргызской Республики за 2012 год согласно приложениям 1-4.</w:t>
      </w:r>
    </w:p>
    <w:p>
      <w:pPr>
        <w:spacing w:after="120"/>
        <w:jc w:val="both"/>
      </w:pPr>
      <w:r>
        <w:rPr>
          <w:rFonts w:ascii="Arial" w:cs="Arial" w:eastAsia="Arial" w:hAnsi="Arial"/>
          <w:sz w:val="24"/>
          <w:szCs w:val="24"/>
        </w:rPr>
        <w:t xml:space="preserve">2. Направить вышеуказанный Отчет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Социального фонда Кыргызской Республики официальным представителем Правительства Кыргызской Республики при рассмотрении в Жогорку Кенеше Кыргызской Республики Отчета об исполнении бюджета Социального фонда Кыргызской Республики за 2012 год.</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w:t>
      </w:r>
      <w:r>
        <w:rPr>
          <w:rFonts w:ascii="Arial" w:cs="Arial" w:eastAsia="Arial" w:hAnsi="Arial"/>
          <w:sz w:val="24"/>
          <w:szCs w:val="24"/>
        </w:rPr>
        <w:t xml:space="preserve">
 к постановлению Правительства Кыргызской Республики </w:t>
      </w:r>
      <w:hyperlink w:history="1" r:id="rIdgekyouroh-xd-5wixbm7y">
        <w:r>
          <w:rPr>
            <w:rFonts w:ascii="Arial" w:cs="Arial" w:eastAsia="Arial" w:hAnsi="Arial"/>
            <w:color w:val="1D4ED8"/>
            <w:sz w:val="24"/>
            <w:szCs w:val="24"/>
            <w:u w:val="single"/>
          </w:rPr>
          <w:t xml:space="preserve">от 26 июня 2013 года № 377</w:t>
        </w:r>
      </w:hyperlink>
    </w:p>
    <w:p>
      <w:pPr>
        <w:spacing w:after="120"/>
        <w:jc w:val="both"/>
      </w:pPr>
      <w:r>
        <w:rPr>
          <w:rFonts w:ascii="Arial" w:cs="Arial" w:eastAsia="Arial" w:hAnsi="Arial"/>
          <w:sz w:val="24"/>
          <w:szCs w:val="24"/>
        </w:rPr>
        <w:t xml:space="preserve">ОТЧЕТ </w:t>
      </w:r>
      <w:r>
        <w:rPr>
          <w:rFonts w:ascii="Arial" w:cs="Arial" w:eastAsia="Arial" w:hAnsi="Arial"/>
          <w:sz w:val="24"/>
          <w:szCs w:val="24"/>
        </w:rPr>
        <w:t xml:space="preserve">
 об исполнении бюджета Социального фонда Кыргызской Республики за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доходы Социального фонда Кыргызской Республики (далее - Социальный фонд) в 2012 году, с учетом остатка на начало года, составили 33907786,5 тыс. сомов (11,1% к ВВП), что на 100,7 процента больше уточненного бюджета, в том числе страховых взносов поступило 18793316,2 тыс. сомов при плане 18606860,1 тыс. сомов или выполнение плана составило 101,0 процента. Из общей суммы страховых взносов 17605762,7 тыс. сомов являются текущими платежами и 1187553,5 тыс. сомов поступлением просроченной задолженности за прошлые годы.</w:t>
      </w:r>
    </w:p>
    <w:p>
      <w:pPr>
        <w:spacing w:after="120"/>
        <w:jc w:val="both"/>
      </w:pPr>
      <w:r>
        <w:rPr>
          <w:rFonts w:ascii="Arial" w:cs="Arial" w:eastAsia="Arial" w:hAnsi="Arial"/>
          <w:sz w:val="24"/>
          <w:szCs w:val="24"/>
        </w:rPr>
        <w:t xml:space="preserve">Увеличение поступления страховых взносов против 2011 года составило 115,9 процента или на 2584277,5 тыс. сомов больше. Рост сбора страховых взносов по сравнению с прошлым годом был обеспечен за счет увеличения поступлений от хозяйствующих субъектов и бюджетных организаций. Такие положительные результаты по сбору страховых взносов были достигнуты в результате целенаправленной работы с плательщиками по сбору текущих страховых взносов и принятых действенных мер по взысканию просроченной задолженности по страховым взносам.</w:t>
      </w:r>
    </w:p>
    <w:p>
      <w:pPr>
        <w:spacing w:after="120"/>
        <w:jc w:val="both"/>
      </w:pPr>
      <w:r>
        <w:rPr>
          <w:rFonts w:ascii="Arial" w:cs="Arial" w:eastAsia="Arial" w:hAnsi="Arial"/>
          <w:sz w:val="24"/>
          <w:szCs w:val="24"/>
        </w:rPr>
        <w:t xml:space="preserve">Обязательные ассигнования из республиканского бюджета на пенсионные выплаты военнослужащим, выплаты льготных пенсий и надбавок к пенсиям, компенсационные выплаты за электрическую энергию поступили в полном объеме согласно уточненному бюджету на 2012 год в сумме 10652290,0 тыс. сомов.</w:t>
      </w:r>
    </w:p>
    <w:p>
      <w:pPr>
        <w:spacing w:after="120"/>
        <w:jc w:val="both"/>
      </w:pPr>
      <w:r>
        <w:rPr>
          <w:rFonts w:ascii="Arial" w:cs="Arial" w:eastAsia="Arial" w:hAnsi="Arial"/>
          <w:sz w:val="24"/>
          <w:szCs w:val="24"/>
        </w:rPr>
        <w:t xml:space="preserve">В 2012 году Социальным фондом от размещения свободных денежных средств на срочные депозитные счета в коммерческих банках Кыргызской Республики, в государственные казначейские векселя, а также ценные бумаги, выпущенные Национальным банком Кыргызской Республики, и от других источников получен доход в сумме 256282,8 тыс. сомов или на 10267,0 тыс. сомов больше предусмотренного бюджетом.</w:t>
      </w:r>
    </w:p>
    <w:p>
      <w:pPr>
        <w:spacing w:after="120"/>
        <w:jc w:val="both"/>
      </w:pPr>
      <w:r>
        <w:rPr>
          <w:rFonts w:ascii="Arial" w:cs="Arial" w:eastAsia="Arial" w:hAnsi="Arial"/>
          <w:sz w:val="24"/>
          <w:szCs w:val="24"/>
        </w:rPr>
        <w:t xml:space="preserve">Расходы Социального фонда в 2012 году составили 32800391,5 тыс. сомов, в том числе:</w:t>
      </w:r>
    </w:p>
    <w:p>
      <w:pPr>
        <w:spacing w:after="120"/>
        <w:jc w:val="both"/>
      </w:pPr>
      <w:r>
        <w:rPr>
          <w:rFonts w:ascii="Arial" w:cs="Arial" w:eastAsia="Arial" w:hAnsi="Arial"/>
          <w:sz w:val="24"/>
          <w:szCs w:val="24"/>
        </w:rPr>
        <w:t xml:space="preserve">- Пенсионного фонда - 28266794,0 тыс. сомов;</w:t>
      </w:r>
    </w:p>
    <w:p>
      <w:pPr>
        <w:spacing w:after="120"/>
        <w:jc w:val="both"/>
      </w:pPr>
      <w:r>
        <w:rPr>
          <w:rFonts w:ascii="Arial" w:cs="Arial" w:eastAsia="Arial" w:hAnsi="Arial"/>
          <w:sz w:val="24"/>
          <w:szCs w:val="24"/>
        </w:rPr>
        <w:t xml:space="preserve">- Фонда обязательного медицинского страхования - 1209970 тыс. сомов;</w:t>
      </w:r>
    </w:p>
    <w:p>
      <w:pPr>
        <w:spacing w:after="120"/>
        <w:jc w:val="both"/>
      </w:pPr>
      <w:r>
        <w:rPr>
          <w:rFonts w:ascii="Arial" w:cs="Arial" w:eastAsia="Arial" w:hAnsi="Arial"/>
          <w:sz w:val="24"/>
          <w:szCs w:val="24"/>
        </w:rPr>
        <w:t xml:space="preserve">- Фонда оздоровления трудящихся - 152000,0 тыс. сомов;</w:t>
      </w:r>
    </w:p>
    <w:p>
      <w:pPr>
        <w:spacing w:after="120"/>
        <w:jc w:val="both"/>
      </w:pPr>
      <w:r>
        <w:rPr>
          <w:rFonts w:ascii="Arial" w:cs="Arial" w:eastAsia="Arial" w:hAnsi="Arial"/>
          <w:sz w:val="24"/>
          <w:szCs w:val="24"/>
        </w:rPr>
        <w:t xml:space="preserve">- Государственного накопительного пенсионного фонда - 3171627,5 тыс. сомов.</w:t>
      </w:r>
    </w:p>
    <w:p>
      <w:pPr>
        <w:spacing w:after="120"/>
        <w:jc w:val="both"/>
      </w:pPr>
      <w:r>
        <w:rPr>
          <w:rFonts w:ascii="Arial" w:cs="Arial" w:eastAsia="Arial" w:hAnsi="Arial"/>
          <w:sz w:val="24"/>
          <w:szCs w:val="24"/>
        </w:rPr>
        <w:t xml:space="preserve">В 2012 году за счет повышения размера пенсий и пособий расходы Пенсионного фонда против 2011 года возросли на 5718867,0 тыс. сомов и составили 28266794,0 тыс. сомов.</w:t>
      </w:r>
    </w:p>
    <w:p>
      <w:pPr>
        <w:spacing w:after="120"/>
        <w:jc w:val="both"/>
      </w:pPr>
      <w:r>
        <w:rPr>
          <w:rFonts w:ascii="Arial" w:cs="Arial" w:eastAsia="Arial" w:hAnsi="Arial"/>
          <w:sz w:val="24"/>
          <w:szCs w:val="24"/>
        </w:rPr>
        <w:t xml:space="preserve">В 2012 году было осуществлено двухэтапное повышение пенсий.</w:t>
      </w:r>
    </w:p>
    <w:p>
      <w:pPr>
        <w:spacing w:after="120"/>
        <w:jc w:val="both"/>
      </w:pPr>
      <w:r>
        <w:rPr>
          <w:rFonts w:ascii="Arial" w:cs="Arial" w:eastAsia="Arial" w:hAnsi="Arial"/>
          <w:sz w:val="24"/>
          <w:szCs w:val="24"/>
        </w:rPr>
        <w:t xml:space="preserve">На основании </w:t>
      </w:r>
      <w:hyperlink w:history="1" r:id="rIdgjk5ejeylmdvtqv_tbbz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повышении страховых частей пенсий с 1 мая 2012 года" от 23 марта 2012 года № 199 с 1 мая 2012 года было произведено повышение страховых частей пенсии. При этом низкие пенсии были повышены крайне незначительно, в то время как высокие пенсии были повышены существенно. Пенсии свыше 10,0 тыс. сомов после майского 2012 года повышения возросли на 5% от 800 до 1500 сомов, то есть уже повышены на уровень выше запланированного уровня инфляции. В связи с чем с 1 ноября 2012 года пенсии свыше 10 тыс. сомов не были повышены.</w:t>
      </w:r>
    </w:p>
    <w:p>
      <w:pPr>
        <w:spacing w:after="120"/>
        <w:jc w:val="both"/>
      </w:pPr>
      <w:r>
        <w:rPr>
          <w:rFonts w:ascii="Arial" w:cs="Arial" w:eastAsia="Arial" w:hAnsi="Arial"/>
          <w:sz w:val="24"/>
          <w:szCs w:val="24"/>
        </w:rPr>
        <w:t xml:space="preserve">В условиях роста цен на продуктовые товары с 1 ноября 2012 года было осуществлено повышение пенсий на основании </w:t>
      </w:r>
      <w:hyperlink w:history="1" r:id="rId24qls9gdyata3zqawftq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повышении страховых частей пенсий с 1 ноября 2012 года" от 3 октября 2012 года № 676, в соответствии с которым дифференцированно (от 150 сомов до 300 сомов) повышены страховые части пенсий, размеры которых не достигают 10,0 тыс. сомов.</w:t>
      </w:r>
    </w:p>
    <w:p>
      <w:pPr>
        <w:spacing w:after="120"/>
        <w:jc w:val="both"/>
      </w:pPr>
      <w:r>
        <w:rPr>
          <w:rFonts w:ascii="Arial" w:cs="Arial" w:eastAsia="Arial" w:hAnsi="Arial"/>
          <w:sz w:val="24"/>
          <w:szCs w:val="24"/>
        </w:rPr>
        <w:t xml:space="preserve">Двухэтапное повышение пенсий позволило увеличить средний размер пенсии по сравнению с прошлым годом с 3760 сомов до 4192 сомов (рост составил 432 сома или 111,5%).</w:t>
      </w:r>
    </w:p>
    <w:p>
      <w:pPr>
        <w:spacing w:after="120"/>
        <w:jc w:val="both"/>
      </w:pPr>
      <w:r>
        <w:rPr>
          <w:rFonts w:ascii="Arial" w:cs="Arial" w:eastAsia="Arial" w:hAnsi="Arial"/>
          <w:sz w:val="24"/>
          <w:szCs w:val="24"/>
        </w:rPr>
        <w:t xml:space="preserve">По итогам 2012 года средний размер пенсии составил 108,6% от уровня прожиточного минимума пенсионера в 2012 году (3858,3 сом.).</w:t>
      </w:r>
    </w:p>
    <w:p>
      <w:pPr>
        <w:spacing w:after="120"/>
        <w:jc w:val="both"/>
      </w:pPr>
      <w:r>
        <w:rPr>
          <w:rFonts w:ascii="Arial" w:cs="Arial" w:eastAsia="Arial" w:hAnsi="Arial"/>
          <w:sz w:val="24"/>
          <w:szCs w:val="24"/>
        </w:rPr>
        <w:t xml:space="preserve">Повышение размеров пенсий в 2012 году позволило сократить количество пенсионеров, получающих пенсии ниже прожиточного минимума, с 70,2% до 60%.</w:t>
      </w:r>
    </w:p>
    <w:p>
      <w:pPr>
        <w:spacing w:after="120"/>
        <w:jc w:val="both"/>
      </w:pPr>
      <w:r>
        <w:rPr>
          <w:rFonts w:ascii="Arial" w:cs="Arial" w:eastAsia="Arial" w:hAnsi="Arial"/>
          <w:sz w:val="24"/>
          <w:szCs w:val="24"/>
        </w:rPr>
        <w:t xml:space="preserve">По состоянию на 1 января 2013 года, количество получателей пенсий по республике составляет 565,4 тыс. человек, из них через Государственное предприятие "Кыргызпочтасы" при Министерстве транспорта и коммуникаций Кыргызской Республики (далее - ГП "Кыргыз почтасы") - 427,9 тыс. человек или 75,7% от общего количества, через коммерческие банки республики - 137,5 тыс. человек или 24,3%.</w:t>
      </w:r>
    </w:p>
    <w:p>
      <w:pPr>
        <w:spacing w:after="120"/>
        <w:jc w:val="both"/>
      </w:pPr>
      <w:r>
        <w:rPr>
          <w:rFonts w:ascii="Arial" w:cs="Arial" w:eastAsia="Arial" w:hAnsi="Arial"/>
          <w:sz w:val="24"/>
          <w:szCs w:val="24"/>
        </w:rPr>
        <w:t xml:space="preserve">На протяжении 2012 года задолженности по выплате пенсий не допущено. Так, по состоянию на 1 января 2013 года, вся потребная сумма на выплату пенсий, с учетом компенсационных выплат за электроэнергию, в объеме 26051525,8 тыс. сомов профинансирована полностью.</w:t>
      </w:r>
    </w:p>
    <w:p>
      <w:pPr>
        <w:spacing w:after="120"/>
        <w:jc w:val="both"/>
      </w:pPr>
      <w:r>
        <w:rPr>
          <w:rFonts w:ascii="Arial" w:cs="Arial" w:eastAsia="Arial" w:hAnsi="Arial"/>
          <w:sz w:val="24"/>
          <w:szCs w:val="24"/>
        </w:rPr>
        <w:t xml:space="preserve">В соответствии с </w:t>
      </w:r>
      <w:hyperlink w:history="1" r:id="rIduuxz6zzdzsgncexjm9p8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в 2012 году пособия на погребение пенсионеров выплачены в сумме 324417,8 тыс. сомов.</w:t>
      </w:r>
    </w:p>
    <w:p>
      <w:pPr>
        <w:spacing w:after="120"/>
        <w:jc w:val="both"/>
      </w:pPr>
      <w:r>
        <w:rPr>
          <w:rFonts w:ascii="Arial" w:cs="Arial" w:eastAsia="Arial" w:hAnsi="Arial"/>
          <w:sz w:val="24"/>
          <w:szCs w:val="24"/>
        </w:rPr>
        <w:t xml:space="preserve">В 2012 году финансирование Фонда обязательного медицинского страхования в сумме 1209970,0 тыс. сомов, Фонда оздоровления трудящихся в сумме 152000,0 тыс. сомов было осуществлено в соответствии с утвержденным </w:t>
      </w:r>
      <w:hyperlink w:history="1" r:id="rId3b3-_rl8ijopwu0a34kv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бюджете Социального фонда на 2012 год.</w:t>
      </w:r>
    </w:p>
    <w:p>
      <w:pPr>
        <w:spacing w:after="120"/>
        <w:jc w:val="both"/>
      </w:pPr>
      <w:r>
        <w:rPr>
          <w:rFonts w:ascii="Arial" w:cs="Arial" w:eastAsia="Arial" w:hAnsi="Arial"/>
          <w:sz w:val="24"/>
          <w:szCs w:val="24"/>
        </w:rPr>
        <w:t xml:space="preserve">В соответствии с </w:t>
      </w:r>
      <w:hyperlink w:history="1" r:id="rIdivwqfhs1xljbzlhvjytj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уплата страховых взносов в Государственный накопительный пенсионный фонд установлена в размере 2 процентов. К концу 2012 года на счете Государственного накопительного пенсионного фонда были аккумулированы средства, с учетом средств, накопленных в 2010, 2011 годах, в сумме 3310630,4 тыс. сомов.</w:t>
      </w:r>
    </w:p>
    <w:p>
      <w:pPr>
        <w:spacing w:after="120"/>
        <w:jc w:val="both"/>
      </w:pPr>
      <w:r>
        <w:rPr>
          <w:rFonts w:ascii="Arial" w:cs="Arial" w:eastAsia="Arial" w:hAnsi="Arial"/>
          <w:sz w:val="24"/>
          <w:szCs w:val="24"/>
        </w:rPr>
        <w:t xml:space="preserve">Законом, регламентирующим правоотношения в области инвестирования, является </w:t>
      </w:r>
      <w:hyperlink w:history="1" r:id="rIdt5osumisfkt9v2rwdrsp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w:t>
      </w:r>
    </w:p>
    <w:p>
      <w:pPr>
        <w:spacing w:after="120"/>
        <w:jc w:val="both"/>
      </w:pPr>
      <w:hyperlink w:history="1" r:id="rIdhaqormk8hvx-yxr6esei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реализации </w:t>
      </w:r>
      <w:hyperlink w:history="1" r:id="rId_tgjfqaeszbnnnpv5bu-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от 23 августа 2011 года № 490 утверждены Временные правила инвестирования средств пенсионных накоплений Социальным фондом и Положение о порядке проведения Социальным фондом Кыргызской Республики депозитных аукционов, согласно которым Социальный фонд осуществляет инвестирование пенсионных накоплений до 31 декабря 2012 года и проводит депозитные аукционы.</w:t>
      </w:r>
    </w:p>
    <w:p>
      <w:pPr>
        <w:spacing w:after="120"/>
        <w:jc w:val="both"/>
      </w:pPr>
      <w:r>
        <w:rPr>
          <w:rFonts w:ascii="Arial" w:cs="Arial" w:eastAsia="Arial" w:hAnsi="Arial"/>
          <w:sz w:val="24"/>
          <w:szCs w:val="24"/>
        </w:rPr>
        <w:t xml:space="preserve">В связи с этим из общей суммы средств Государственного накопительного пенсионного фонда 3310630,4 тыс. сомов с августа 2011 года было инвестировано в государственные ценные бумаги 238544,2 тыс. сомов и вложено в депозиты коммерческих банков 785000,0 тыс. сомов.</w:t>
      </w:r>
    </w:p>
    <w:p>
      <w:pPr>
        <w:spacing w:after="120"/>
        <w:jc w:val="both"/>
      </w:pPr>
      <w:r>
        <w:rPr>
          <w:rFonts w:ascii="Arial" w:cs="Arial" w:eastAsia="Arial" w:hAnsi="Arial"/>
          <w:sz w:val="24"/>
          <w:szCs w:val="24"/>
        </w:rPr>
        <w:t xml:space="preserve">Всего за 2012 год инвестировано из средств Государственного накопительного пенсионного фонда 1376369,1 тыс. сомов.</w:t>
      </w:r>
    </w:p>
    <w:p>
      <w:pPr>
        <w:spacing w:after="120"/>
        <w:jc w:val="both"/>
      </w:pPr>
      <w:r>
        <w:rPr>
          <w:rFonts w:ascii="Arial" w:cs="Arial" w:eastAsia="Arial" w:hAnsi="Arial"/>
          <w:sz w:val="24"/>
          <w:szCs w:val="24"/>
        </w:rPr>
        <w:t xml:space="preserve">В 2012 году доходы по инвестированию средств Государственного накопительного пенсионного фонда составили в сумме 344360,0 тыс. сомов, что выше предусмотренного бюджетом на 33559,8 тыс. сомов.</w:t>
      </w:r>
    </w:p>
    <w:p>
      <w:pPr>
        <w:spacing w:after="120"/>
        <w:jc w:val="both"/>
      </w:pPr>
      <w:r>
        <w:rPr>
          <w:rFonts w:ascii="Arial" w:cs="Arial" w:eastAsia="Arial" w:hAnsi="Arial"/>
          <w:sz w:val="24"/>
          <w:szCs w:val="24"/>
        </w:rPr>
        <w:t xml:space="preserve">Также, в 2012 году в целях расширения страховой базы проводилась активная работа по постановке на персонифицированный учет всех трудоспособных граждан, присвоению им идентификационных номеров и открытию личных страховых счетов. Количество граждан, состоящих на учете в системе персонифицированного учета на 1 января 2013 года, составило 4907,3 тыс. человек или 93,3 процента от общего числа населения, из них трудозанятые граждане составляют 1666,8 тыс. человек или 95,1 процента от экономически активного населения Кыргызской Республики.</w:t>
      </w:r>
    </w:p>
    <w:p>
      <w:pPr>
        <w:spacing w:after="120"/>
        <w:jc w:val="both"/>
      </w:pPr>
      <w:r>
        <w:rPr>
          <w:rFonts w:ascii="Arial" w:cs="Arial" w:eastAsia="Arial" w:hAnsi="Arial"/>
          <w:sz w:val="24"/>
          <w:szCs w:val="24"/>
        </w:rPr>
        <w:t xml:space="preserve">В 2012 зарегистрировано в системе персонифицированного учета 111208 человек.</w:t>
      </w:r>
    </w:p>
    <w:p>
      <w:pPr>
        <w:spacing w:after="120"/>
        <w:jc w:val="both"/>
      </w:pPr>
      <w:r>
        <w:rPr>
          <w:rFonts w:ascii="Arial" w:cs="Arial" w:eastAsia="Arial" w:hAnsi="Arial"/>
          <w:sz w:val="24"/>
          <w:szCs w:val="24"/>
        </w:rPr>
        <w:t xml:space="preserve">Бюджет Социального фонда на 2012 год был утвержден с профицитом в сумме 45344,4 тыс. сомов. По итогам исполнения бюджета 2012 года профицит бюджета составил в сумме 1107395,0 тыс. сомов, в том числе средства Государственного накопительного пенсионного фонда 139002,9 тыс. сомов.</w:t>
      </w:r>
    </w:p>
    <w:p>
      <w:pPr>
        <w:spacing w:after="120"/>
        <w:jc w:val="both"/>
      </w:pPr>
      <w:r>
        <w:rPr>
          <w:rFonts w:ascii="Arial" w:cs="Arial" w:eastAsia="Arial" w:hAnsi="Arial"/>
          <w:sz w:val="24"/>
          <w:szCs w:val="24"/>
        </w:rPr>
        <w:t xml:space="preserve">В 2012 году имелись факты нецелевого использования и незаконного списания пенсионных средств филиалами ГП "Кыргызпочтасы" при выплате пенсий. Так, по результатам проверок выявлены финансовые нарушения на сумму 13792,5 тыс. сомов. Все выявленные нарушения устранены и суммы восстановлены полностью.</w:t>
      </w:r>
    </w:p>
    <w:p>
      <w:pPr>
        <w:spacing w:after="120"/>
        <w:jc w:val="both"/>
      </w:pPr>
      <w:r>
        <w:rPr>
          <w:rFonts w:ascii="Arial" w:cs="Arial" w:eastAsia="Arial" w:hAnsi="Arial"/>
          <w:sz w:val="24"/>
          <w:szCs w:val="24"/>
        </w:rPr>
        <w:t xml:space="preserve">Руководители и специалисты органов Социального фонда, допустившие недостатки в работе по исполнению бюджета, по фактам финансовых нарушений привлечены к ответственности.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w:t>
      </w:r>
      <w:r>
        <w:rPr>
          <w:rFonts w:ascii="Arial" w:cs="Arial" w:eastAsia="Arial" w:hAnsi="Arial"/>
          <w:sz w:val="24"/>
          <w:szCs w:val="24"/>
        </w:rPr>
        <w:t xml:space="preserve">
 к постановлению Правительства Кыргызской Республики </w:t>
      </w:r>
      <w:hyperlink w:history="1" r:id="rIdh_ocudiggiru05dbjucq4">
        <w:r>
          <w:rPr>
            <w:rFonts w:ascii="Arial" w:cs="Arial" w:eastAsia="Arial" w:hAnsi="Arial"/>
            <w:color w:val="1D4ED8"/>
            <w:sz w:val="24"/>
            <w:szCs w:val="24"/>
            <w:u w:val="single"/>
          </w:rPr>
          <w:t xml:space="preserve">от 26 июня 2013 года № 377</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Социального фонда Кыргызской Республики за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Бюджет на  │ Исполнение  │</w:t>
      </w:r>
    </w:p>
    <w:p>
      <w:pPr>
        <w:spacing w:after="120"/>
        <w:jc w:val="both"/>
      </w:pPr>
      <w:r>
        <w:rPr>
          <w:rFonts w:ascii="Arial" w:cs="Arial" w:eastAsia="Arial" w:hAnsi="Arial"/>
          <w:sz w:val="24"/>
          <w:szCs w:val="24"/>
        </w:rPr>
        <w:t xml:space="preserve">│                                   │пози-│  2012 год   │ бюджета за  │</w:t>
      </w:r>
    </w:p>
    <w:p>
      <w:pPr>
        <w:spacing w:after="120"/>
        <w:jc w:val="both"/>
      </w:pPr>
      <w:r>
        <w:rPr>
          <w:rFonts w:ascii="Arial" w:cs="Arial" w:eastAsia="Arial" w:hAnsi="Arial"/>
          <w:sz w:val="24"/>
          <w:szCs w:val="24"/>
        </w:rPr>
        <w:t xml:space="preserve">│                                   │ ции │             │  2012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  1  │  33674710,4 │  33907786,5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ВВП                          │  2  │        11,0 │        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Пенсионный фонд с учетом остатка │  3  │  29035359,3 │  29162208,2 │</w:t>
      </w:r>
    </w:p>
    <w:p>
      <w:pPr>
        <w:spacing w:after="120"/>
        <w:jc w:val="both"/>
      </w:pPr>
      <w:r>
        <w:rPr>
          <w:rFonts w:ascii="Arial" w:cs="Arial" w:eastAsia="Arial" w:hAnsi="Arial"/>
          <w:sz w:val="24"/>
          <w:szCs w:val="24"/>
        </w:rPr>
        <w:t xml:space="preserve">│на начало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Государственный накопительный    │  4  │   3208431,1 │   3310630,4 │</w:t>
      </w:r>
    </w:p>
    <w:p>
      <w:pPr>
        <w:spacing w:after="120"/>
        <w:jc w:val="both"/>
      </w:pPr>
      <w:r>
        <w:rPr>
          <w:rFonts w:ascii="Arial" w:cs="Arial" w:eastAsia="Arial" w:hAnsi="Arial"/>
          <w:sz w:val="24"/>
          <w:szCs w:val="24"/>
        </w:rPr>
        <w:t xml:space="preserve">│пенсионный фонд с учетом остатка   │     │             │             │</w:t>
      </w:r>
    </w:p>
    <w:p>
      <w:pPr>
        <w:spacing w:after="120"/>
        <w:jc w:val="both"/>
      </w:pPr>
      <w:r>
        <w:rPr>
          <w:rFonts w:ascii="Arial" w:cs="Arial" w:eastAsia="Arial" w:hAnsi="Arial"/>
          <w:sz w:val="24"/>
          <w:szCs w:val="24"/>
        </w:rPr>
        <w:t xml:space="preserve">│на начало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обязательного медицинского  │  5  │   1269080,0 │   1273065,0 │</w:t>
      </w:r>
    </w:p>
    <w:p>
      <w:pPr>
        <w:spacing w:after="120"/>
        <w:jc w:val="both"/>
      </w:pPr>
      <w:r>
        <w:rPr>
          <w:rFonts w:ascii="Arial" w:cs="Arial" w:eastAsia="Arial" w:hAnsi="Arial"/>
          <w:sz w:val="24"/>
          <w:szCs w:val="24"/>
        </w:rPr>
        <w:t xml:space="preserve">│страхования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оздоровления трудящихся     │  6  │    161840,0 │    161882,9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Страховые взносы, всего         │  7  │  18606860,1 │  18793316,2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Пенсионный фонд                  │  8  │  16312892,1 │  16429474,1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Государственный накопительный    │  9  │    863048,0 │    928894,2 │</w:t>
      </w:r>
    </w:p>
    <w:p>
      <w:pPr>
        <w:spacing w:after="120"/>
        <w:jc w:val="both"/>
      </w:pPr>
      <w:r>
        <w:rPr>
          <w:rFonts w:ascii="Arial" w:cs="Arial" w:eastAsia="Arial" w:hAnsi="Arial"/>
          <w:sz w:val="24"/>
          <w:szCs w:val="24"/>
        </w:rPr>
        <w:t xml:space="preserve">│пенсионный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обязательного медицинского  │ 10  │   1269080,0 │   1273065,0 │</w:t>
      </w:r>
    </w:p>
    <w:p>
      <w:pPr>
        <w:spacing w:after="120"/>
        <w:jc w:val="both"/>
      </w:pPr>
      <w:r>
        <w:rPr>
          <w:rFonts w:ascii="Arial" w:cs="Arial" w:eastAsia="Arial" w:hAnsi="Arial"/>
          <w:sz w:val="24"/>
          <w:szCs w:val="24"/>
        </w:rPr>
        <w:t xml:space="preserve">│страхования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Фонд оздоровления трудящихся     │ 11  │    161840,0 │    161882,9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Страховые взносы промышленных и │ 12  │  10643747,2 │   9714464,6 │</w:t>
      </w:r>
    </w:p>
    <w:p>
      <w:pPr>
        <w:spacing w:after="120"/>
        <w:jc w:val="both"/>
      </w:pPr>
      <w:r>
        <w:rPr>
          <w:rFonts w:ascii="Arial" w:cs="Arial" w:eastAsia="Arial" w:hAnsi="Arial"/>
          <w:sz w:val="24"/>
          <w:szCs w:val="24"/>
        </w:rPr>
        <w:t xml:space="preserve">│других предприятий и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13  │   9207236,6 │   8451268,0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14  │    576220,6 │    472735,2 │</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15  │    764650,0 │    699772,8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16  │     95640,0 │     90688,6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Страховые взносы бюджетных      │ 17  │   6295380,7 │   7386977,2 │</w:t>
      </w:r>
    </w:p>
    <w:p>
      <w:pPr>
        <w:spacing w:after="120"/>
        <w:jc w:val="both"/>
      </w:pPr>
      <w:r>
        <w:rPr>
          <w:rFonts w:ascii="Arial" w:cs="Arial" w:eastAsia="Arial" w:hAnsi="Arial"/>
          <w:sz w:val="24"/>
          <w:szCs w:val="24"/>
        </w:rPr>
        <w:t xml:space="preserve">│организаций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18  │   5508715,8 │   6438533,6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19  │    276834,9 │    345597,8 │</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20  │    453180,0 │    538493,4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21  │     56650,0 │     64352,4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Страховые взносы организованного│ 22  │     43100,7 │     35484,2 │</w:t>
      </w:r>
    </w:p>
    <w:p>
      <w:pPr>
        <w:spacing w:after="120"/>
        <w:jc w:val="both"/>
      </w:pPr>
      <w:r>
        <w:rPr>
          <w:rFonts w:ascii="Arial" w:cs="Arial" w:eastAsia="Arial" w:hAnsi="Arial"/>
          <w:sz w:val="24"/>
          <w:szCs w:val="24"/>
        </w:rPr>
        <w:t xml:space="preserve">│сектора сельского хозяйства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23  │     37900,5 │     31580,2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24  │      1710,2 │       947,9 │</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25  │      3100,0 │      2630,6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26  │       390,0 │       325,5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Страховые взносы фермерских,    │ 27  │    181500,0 │    111747,5 │</w:t>
      </w:r>
    </w:p>
    <w:p>
      <w:pPr>
        <w:spacing w:after="120"/>
        <w:jc w:val="both"/>
      </w:pPr>
      <w:r>
        <w:rPr>
          <w:rFonts w:ascii="Arial" w:cs="Arial" w:eastAsia="Arial" w:hAnsi="Arial"/>
          <w:sz w:val="24"/>
          <w:szCs w:val="24"/>
        </w:rPr>
        <w:t xml:space="preserve">│крестьянских хозяйств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28  │    166950,0 │    102637,8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29  │     13000,0 │      8118,2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30  │      1550,0 │       991,5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Страховые взносы занятых        │ 31  │    334729,3 │    349613,4 │</w:t>
      </w:r>
    </w:p>
    <w:p>
      <w:pPr>
        <w:spacing w:after="120"/>
        <w:jc w:val="both"/>
      </w:pPr>
      <w:r>
        <w:rPr>
          <w:rFonts w:ascii="Arial" w:cs="Arial" w:eastAsia="Arial" w:hAnsi="Arial"/>
          <w:sz w:val="24"/>
          <w:szCs w:val="24"/>
        </w:rPr>
        <w:t xml:space="preserve">│индивидуальной трудовой            │     │             │             │</w:t>
      </w:r>
    </w:p>
    <w:p>
      <w:pPr>
        <w:spacing w:after="120"/>
        <w:jc w:val="both"/>
      </w:pPr>
      <w:r>
        <w:rPr>
          <w:rFonts w:ascii="Arial" w:cs="Arial" w:eastAsia="Arial" w:hAnsi="Arial"/>
          <w:sz w:val="24"/>
          <w:szCs w:val="24"/>
        </w:rPr>
        <w:t xml:space="preserve">│деятельностью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32  │    284112,2 │    311584,7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33  │      7957,1 │      8496,3 │</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34  │     35150,0 │     24050,0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35  │      7510,0 │      5482,4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Страховые взносы организаций    │ 36  │      8402,2 │      7475,8 │</w:t>
      </w:r>
    </w:p>
    <w:p>
      <w:pPr>
        <w:spacing w:after="120"/>
        <w:jc w:val="both"/>
      </w:pPr>
      <w:r>
        <w:rPr>
          <w:rFonts w:ascii="Arial" w:cs="Arial" w:eastAsia="Arial" w:hAnsi="Arial"/>
          <w:sz w:val="24"/>
          <w:szCs w:val="24"/>
        </w:rPr>
        <w:t xml:space="preserve">│по льготным тарифам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37  │      7977,0 │      6952,9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38  │       325,2 │       480,4 │</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39  │             │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40  │       100,0 │        42,5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поступлений страховых взносов│ 41  │  17506860,1 │  17605762,7 │</w:t>
      </w:r>
    </w:p>
    <w:p>
      <w:pPr>
        <w:spacing w:after="120"/>
        <w:jc w:val="both"/>
      </w:pPr>
      <w:r>
        <w:rPr>
          <w:rFonts w:ascii="Arial" w:cs="Arial" w:eastAsia="Arial" w:hAnsi="Arial"/>
          <w:sz w:val="24"/>
          <w:szCs w:val="24"/>
        </w:rPr>
        <w:t xml:space="preserve">│за 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Пенсионный фонд       │ 42  │  15212892,1 │  15342557,2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Государственный       │ 43  │    863048,0 │    828257,6 │</w:t>
      </w:r>
    </w:p>
    <w:p>
      <w:pPr>
        <w:spacing w:after="120"/>
        <w:jc w:val="both"/>
      </w:pPr>
      <w:r>
        <w:rPr>
          <w:rFonts w:ascii="Arial" w:cs="Arial" w:eastAsia="Arial" w:hAnsi="Arial"/>
          <w:sz w:val="24"/>
          <w:szCs w:val="24"/>
        </w:rPr>
        <w:t xml:space="preserve">│накопительный 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обязательного    │ 44  │   1269080,0 │   1273065,0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│отчисления в Фонд оздоровления     │ 45  │    161840,0 │    161882,9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│Поступление задолженности по       │ 46  │   1100000,0 │   1187553,5 │</w:t>
      </w:r>
    </w:p>
    <w:p>
      <w:pPr>
        <w:spacing w:after="120"/>
        <w:jc w:val="both"/>
      </w:pPr>
      <w:r>
        <w:rPr>
          <w:rFonts w:ascii="Arial" w:cs="Arial" w:eastAsia="Arial" w:hAnsi="Arial"/>
          <w:sz w:val="24"/>
          <w:szCs w:val="24"/>
        </w:rPr>
        <w:t xml:space="preserve">│страховым взносам прошлых лет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Прочие доходы (дивиденды и др.)│ 47  │    246015,8 │    256282,8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Поступления из                │ 48  │  10652290,1 │  10652290,0 │</w:t>
      </w:r>
    </w:p>
    <w:p>
      <w:pPr>
        <w:spacing w:after="120"/>
        <w:jc w:val="both"/>
      </w:pPr>
      <w:r>
        <w:rPr>
          <w:rFonts w:ascii="Arial" w:cs="Arial" w:eastAsia="Arial" w:hAnsi="Arial"/>
          <w:sz w:val="24"/>
          <w:szCs w:val="24"/>
        </w:rPr>
        <w:t xml:space="preserve">│республиканского бюджета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│базовая часть пенсии               │ 49  │   5232355,5 │   5232355,5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│компенсация на электроэнергию      │ 50  │   1771536,4 │   1771536,4 │</w:t>
      </w:r>
    </w:p>
    <w:p>
      <w:pPr>
        <w:spacing w:after="120"/>
        <w:jc w:val="both"/>
      </w:pPr>
      <w:r>
        <w:rPr>
          <w:rFonts w:ascii="Arial" w:cs="Arial" w:eastAsia="Arial" w:hAnsi="Arial"/>
          <w:sz w:val="24"/>
          <w:szCs w:val="24"/>
        </w:rPr>
        <w:t xml:space="preserve">│с учетом доставки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военнослужащих              │ 51  │   1022500,0 │   1022500,0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│единовременное пособие по          │ 52  │     17500,0 │     17500,0 │</w:t>
      </w:r>
    </w:p>
    <w:p>
      <w:pPr>
        <w:spacing w:after="120"/>
        <w:jc w:val="both"/>
      </w:pPr>
      <w:r>
        <w:rPr>
          <w:rFonts w:ascii="Arial" w:cs="Arial" w:eastAsia="Arial" w:hAnsi="Arial"/>
          <w:sz w:val="24"/>
          <w:szCs w:val="24"/>
        </w:rPr>
        <w:t xml:space="preserve">│страховому случаю военнослужащих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и надбавки к пенсиям        │ 53  │   2608398,2 │   2608398,1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Доходы от инвестирования       │ 54  │    310800,2 │    344360,0 │</w:t>
      </w:r>
    </w:p>
    <w:p>
      <w:pPr>
        <w:spacing w:after="120"/>
        <w:jc w:val="both"/>
      </w:pPr>
      <w:r>
        <w:rPr>
          <w:rFonts w:ascii="Arial" w:cs="Arial" w:eastAsia="Arial" w:hAnsi="Arial"/>
          <w:sz w:val="24"/>
          <w:szCs w:val="24"/>
        </w:rPr>
        <w:t xml:space="preserve">│(от средств ГНПФ)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55  │  33629366,0 │  32800391,5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ВВП                          │ 56  │        11,0 │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 По пенсионным средствам         │ 57  │  28990014,9 │  28266794,0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 58  │  24880238,0 │  24307413,6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│компенсации на электроэнергию      │ 59  │   1748802,0 │   1744112,2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доставке                │ 60  │    284654,8 │    275183,8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банковское обслуживание │ 61  │     67176,4 │     60727,4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│пенсии военнослужащих              │ 62  │   1022500,0 │   1016202,6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│единовременное пособие по          │ 63  │     17500,0 │     14075,2 │</w:t>
      </w:r>
    </w:p>
    <w:p>
      <w:pPr>
        <w:spacing w:after="120"/>
        <w:jc w:val="both"/>
      </w:pPr>
      <w:r>
        <w:rPr>
          <w:rFonts w:ascii="Arial" w:cs="Arial" w:eastAsia="Arial" w:hAnsi="Arial"/>
          <w:sz w:val="24"/>
          <w:szCs w:val="24"/>
        </w:rPr>
        <w:t xml:space="preserve">│страховому случаю военнослужащих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│пособие на погребение              │ 64  │    327000,0 │    324417,8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персонифицированному    │ 65  │     10600,0 │       947,2 │</w:t>
      </w:r>
    </w:p>
    <w:p>
      <w:pPr>
        <w:spacing w:after="120"/>
        <w:jc w:val="both"/>
      </w:pPr>
      <w:r>
        <w:rPr>
          <w:rFonts w:ascii="Arial" w:cs="Arial" w:eastAsia="Arial" w:hAnsi="Arial"/>
          <w:sz w:val="24"/>
          <w:szCs w:val="24"/>
        </w:rPr>
        <w:t xml:space="preserve">│учету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│административные расходы           │ 66  │    489763,0 │    489763,0 │</w:t>
      </w:r>
    </w:p>
    <w:p>
      <w:pPr>
        <w:spacing w:after="120"/>
        <w:jc w:val="both"/>
      </w:pPr>
      <w:r>
        <w:rPr>
          <w:rFonts w:ascii="Arial" w:cs="Arial" w:eastAsia="Arial" w:hAnsi="Arial"/>
          <w:sz w:val="24"/>
          <w:szCs w:val="24"/>
        </w:rPr>
        <w:t xml:space="preserve">│Социального фонда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расходы                     │ 67  │     70000,0 │     33951,2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погашение задолженности │ 68  │     62109,3 │             │</w:t>
      </w:r>
    </w:p>
    <w:p>
      <w:pPr>
        <w:spacing w:after="120"/>
        <w:jc w:val="both"/>
      </w:pPr>
      <w:r>
        <w:rPr>
          <w:rFonts w:ascii="Arial" w:cs="Arial" w:eastAsia="Arial" w:hAnsi="Arial"/>
          <w:sz w:val="24"/>
          <w:szCs w:val="24"/>
        </w:rPr>
        <w:t xml:space="preserve">│перед ФОМС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погашение задолженности │ 69  │      9671,4 │             │</w:t>
      </w:r>
    </w:p>
    <w:p>
      <w:pPr>
        <w:spacing w:after="120"/>
        <w:jc w:val="both"/>
      </w:pPr>
      <w:r>
        <w:rPr>
          <w:rFonts w:ascii="Arial" w:cs="Arial" w:eastAsia="Arial" w:hAnsi="Arial"/>
          <w:sz w:val="24"/>
          <w:szCs w:val="24"/>
        </w:rPr>
        <w:t xml:space="preserve">│перед ФОТ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 В Государственный накопительный│ 70  │   3208431,1 │   3171627,5 │</w:t>
      </w:r>
    </w:p>
    <w:p>
      <w:pPr>
        <w:spacing w:after="120"/>
        <w:jc w:val="both"/>
      </w:pPr>
      <w:r>
        <w:rPr>
          <w:rFonts w:ascii="Arial" w:cs="Arial" w:eastAsia="Arial" w:hAnsi="Arial"/>
          <w:sz w:val="24"/>
          <w:szCs w:val="24"/>
        </w:rPr>
        <w:t xml:space="preserve">│пенсионный фонд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инвестированию и        │ 71  │      2131,0 │      1583,3 │</w:t>
      </w:r>
    </w:p>
    <w:p>
      <w:pPr>
        <w:spacing w:after="120"/>
        <w:jc w:val="both"/>
      </w:pPr>
      <w:r>
        <w:rPr>
          <w:rFonts w:ascii="Arial" w:cs="Arial" w:eastAsia="Arial" w:hAnsi="Arial"/>
          <w:sz w:val="24"/>
          <w:szCs w:val="24"/>
        </w:rPr>
        <w:t xml:space="preserve">│администрированию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выплату пенсий                  │ 72  │     33124,7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│пенсионные накопления, направляемые│ 73  │   3173175,4 │   3170044,2 │</w:t>
      </w:r>
    </w:p>
    <w:p>
      <w:pPr>
        <w:spacing w:after="120"/>
        <w:jc w:val="both"/>
      </w:pPr>
      <w:r>
        <w:rPr>
          <w:rFonts w:ascii="Arial" w:cs="Arial" w:eastAsia="Arial" w:hAnsi="Arial"/>
          <w:sz w:val="24"/>
          <w:szCs w:val="24"/>
        </w:rPr>
        <w:t xml:space="preserve">│на инвестирование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 В Фонд обязательного          │ 74  │   1269080,0 │   1209970,0 │</w:t>
      </w:r>
    </w:p>
    <w:p>
      <w:pPr>
        <w:spacing w:after="120"/>
        <w:jc w:val="both"/>
      </w:pPr>
      <w:r>
        <w:rPr>
          <w:rFonts w:ascii="Arial" w:cs="Arial" w:eastAsia="Arial" w:hAnsi="Arial"/>
          <w:sz w:val="24"/>
          <w:szCs w:val="24"/>
        </w:rPr>
        <w:t xml:space="preserve">│медицинского 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│VIII. В Фонд оздоровления          │ 75  │    161840,0 │    152000,0 │</w:t>
      </w:r>
    </w:p>
    <w:p>
      <w:pPr>
        <w:spacing w:after="120"/>
        <w:jc w:val="both"/>
      </w:pPr>
      <w:r>
        <w:rPr>
          <w:rFonts w:ascii="Arial" w:cs="Arial" w:eastAsia="Arial" w:hAnsi="Arial"/>
          <w:sz w:val="24"/>
          <w:szCs w:val="24"/>
        </w:rPr>
        <w:t xml:space="preserve">│трудящихся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профицит (+)          │ 76  │     45344,4 │   1107395,0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│Пенсионного фонда                  │ 77  │     45344,4 │    895414,2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│Государственного накопительного    │ 78  │             │    139002,9 │</w:t>
      </w:r>
    </w:p>
    <w:p>
      <w:pPr>
        <w:spacing w:after="120"/>
        <w:jc w:val="both"/>
      </w:pPr>
      <w:r>
        <w:rPr>
          <w:rFonts w:ascii="Arial" w:cs="Arial" w:eastAsia="Arial" w:hAnsi="Arial"/>
          <w:sz w:val="24"/>
          <w:szCs w:val="24"/>
        </w:rPr>
        <w:t xml:space="preserve">│пенсионного фонда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│Фонда обязательного медицинского   │ 79  │             │     63095,0 │</w:t>
      </w:r>
    </w:p>
    <w:p>
      <w:pPr>
        <w:spacing w:after="120"/>
        <w:jc w:val="both"/>
      </w:pPr>
      <w:r>
        <w:rPr>
          <w:rFonts w:ascii="Arial" w:cs="Arial" w:eastAsia="Arial" w:hAnsi="Arial"/>
          <w:sz w:val="24"/>
          <w:szCs w:val="24"/>
        </w:rPr>
        <w:t xml:space="preserve">│страхования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│Фонда оздоровления трудящихся      │ 80  │             │      9882,9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81  │ 305487300,0 │ 304350100,0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постановлению Правительства Кыргызской Республики </w:t>
      </w:r>
      <w:hyperlink w:history="1" r:id="rIde6frsgtjapwla7my7kbwp">
        <w:r>
          <w:rPr>
            <w:rFonts w:ascii="Arial" w:cs="Arial" w:eastAsia="Arial" w:hAnsi="Arial"/>
            <w:color w:val="1D4ED8"/>
            <w:sz w:val="24"/>
            <w:szCs w:val="24"/>
            <w:u w:val="single"/>
          </w:rPr>
          <w:t xml:space="preserve">от 26 июня 2013 года № 377</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w:t>
      </w:r>
    </w:p>
    <w:p>
      <w:pPr>
        <w:spacing w:after="120"/>
        <w:jc w:val="both"/>
      </w:pPr>
      <w:r>
        <w:rPr>
          <w:rFonts w:ascii="Arial" w:cs="Arial" w:eastAsia="Arial" w:hAnsi="Arial"/>
          <w:sz w:val="24"/>
          <w:szCs w:val="24"/>
        </w:rPr>
        <w:t xml:space="preserve">Фонда обязательного медицинского страхования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Бюджет на  │ Исполнение  │</w:t>
      </w:r>
    </w:p>
    <w:p>
      <w:pPr>
        <w:spacing w:after="120"/>
        <w:jc w:val="both"/>
      </w:pPr>
      <w:r>
        <w:rPr>
          <w:rFonts w:ascii="Arial" w:cs="Arial" w:eastAsia="Arial" w:hAnsi="Arial"/>
          <w:sz w:val="24"/>
          <w:szCs w:val="24"/>
        </w:rPr>
        <w:t xml:space="preserve">│                                   │пози-│  2012 год   │ бюджета за  │</w:t>
      </w:r>
    </w:p>
    <w:p>
      <w:pPr>
        <w:spacing w:after="120"/>
        <w:jc w:val="both"/>
      </w:pPr>
      <w:r>
        <w:rPr>
          <w:rFonts w:ascii="Arial" w:cs="Arial" w:eastAsia="Arial" w:hAnsi="Arial"/>
          <w:sz w:val="24"/>
          <w:szCs w:val="24"/>
        </w:rPr>
        <w:t xml:space="preserve">│                                   │ ции │             │  2012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   1 │   1331189,3 │   1273065,0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│поступление страховых взносов      │   2 │   1269080,0 │   1273065,0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промышленных и других           │   3 │    764650,0 │    699772,8 │</w:t>
      </w:r>
    </w:p>
    <w:p>
      <w:pPr>
        <w:spacing w:after="120"/>
        <w:jc w:val="both"/>
      </w:pPr>
      <w:r>
        <w:rPr>
          <w:rFonts w:ascii="Arial" w:cs="Arial" w:eastAsia="Arial" w:hAnsi="Arial"/>
          <w:sz w:val="24"/>
          <w:szCs w:val="24"/>
        </w:rPr>
        <w:t xml:space="preserve">│предприятий и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бюджетных организаций           │   4 │    453180,0 │    538493,4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организованного сектора         │   5 │      3100,0 │      2630,6 │</w:t>
      </w:r>
    </w:p>
    <w:p>
      <w:pPr>
        <w:spacing w:after="120"/>
        <w:jc w:val="both"/>
      </w:pPr>
      <w:r>
        <w:rPr>
          <w:rFonts w:ascii="Arial" w:cs="Arial" w:eastAsia="Arial" w:hAnsi="Arial"/>
          <w:sz w:val="24"/>
          <w:szCs w:val="24"/>
        </w:rPr>
        <w:t xml:space="preserve">│сельского хозяйства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фермерских, крестьянских        │   6 │     13000,0 │      8118,2 │</w:t>
      </w:r>
    </w:p>
    <w:p>
      <w:pPr>
        <w:spacing w:after="120"/>
        <w:jc w:val="both"/>
      </w:pPr>
      <w:r>
        <w:rPr>
          <w:rFonts w:ascii="Arial" w:cs="Arial" w:eastAsia="Arial" w:hAnsi="Arial"/>
          <w:sz w:val="24"/>
          <w:szCs w:val="24"/>
        </w:rPr>
        <w:t xml:space="preserve">│хозяйств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занятых индивидуальной трудовой │   7 │     35150,0 │     24050,0 │</w:t>
      </w:r>
    </w:p>
    <w:p>
      <w:pPr>
        <w:spacing w:after="120"/>
        <w:jc w:val="both"/>
      </w:pPr>
      <w:r>
        <w:rPr>
          <w:rFonts w:ascii="Arial" w:cs="Arial" w:eastAsia="Arial" w:hAnsi="Arial"/>
          <w:sz w:val="24"/>
          <w:szCs w:val="24"/>
        </w:rPr>
        <w:t xml:space="preserve">│деятельностью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задолженности за прошлые │   8 │     62109,3 │             │</w:t>
      </w:r>
    </w:p>
    <w:p>
      <w:pPr>
        <w:spacing w:after="120"/>
        <w:jc w:val="both"/>
      </w:pPr>
      <w:r>
        <w:rPr>
          <w:rFonts w:ascii="Arial" w:cs="Arial" w:eastAsia="Arial" w:hAnsi="Arial"/>
          <w:sz w:val="24"/>
          <w:szCs w:val="24"/>
        </w:rPr>
        <w:t xml:space="preserve">│годы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9 │   1331189,3 │   1209970,0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медицинских услуг   │  10 │   1234289,3 │   1113070,0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│административные расходы           │  11 │     90400,0 │     90400,0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информационное          │  12 │      6500,0 │      6500,0 │</w:t>
      </w:r>
    </w:p>
    <w:p>
      <w:pPr>
        <w:spacing w:after="120"/>
        <w:jc w:val="both"/>
      </w:pPr>
      <w:r>
        <w:rPr>
          <w:rFonts w:ascii="Arial" w:cs="Arial" w:eastAsia="Arial" w:hAnsi="Arial"/>
          <w:sz w:val="24"/>
          <w:szCs w:val="24"/>
        </w:rPr>
        <w:t xml:space="preserve">│обеспечение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 поддержки здравоохранения     │  13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профицит (+) бюджета  │  14 │             │     63095,0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71"/>
        <w:gridCol w:w="2207"/>
      </w:tblGrid>
      <w:tr>
        <w:tc>
          <w:tcPr>
            <w:tcW w:type="dxa" w:w="797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Приложение 4 </w:t>
            </w:r>
            <w:r>
              <w:rPr>
                <w:rFonts w:ascii="Arial" w:cs="Arial" w:eastAsia="Arial" w:hAnsi="Arial"/>
                <w:sz w:val="24"/>
                <w:szCs w:val="24"/>
              </w:rPr>
              <w:t xml:space="preserve">к постановлению Правительства Кыргызской Республики </w:t>
            </w:r>
            <w:hyperlink w:history="1" r:id="rId8fniirltqge149xe78lol">
              <w:r>
                <w:rPr>
                  <w:rFonts w:ascii="Arial" w:cs="Arial" w:eastAsia="Arial" w:hAnsi="Arial"/>
                  <w:color w:val="1D4ED8"/>
                  <w:sz w:val="24"/>
                  <w:szCs w:val="24"/>
                  <w:u w:val="single"/>
                </w:rPr>
                <w:t xml:space="preserve">от 26 июня 2013 года № 377</w:t>
              </w:r>
            </w:hyperlink>
          </w:p>
        </w:tc>
      </w:tr>
    </w:tbl>
    <w:p>
      <w:pPr>
        <w:spacing w:after="120"/>
        <w:jc w:val="both"/>
      </w:pPr>
      <w:r>
        <w:rPr>
          <w:rFonts w:ascii="Arial" w:cs="Arial" w:eastAsia="Arial" w:hAnsi="Arial"/>
          <w:sz w:val="24"/>
          <w:szCs w:val="24"/>
        </w:rPr>
        <w:t xml:space="preserve">ИСПОЛНЕНИЕ БЮДЖЕТА</w:t>
      </w:r>
    </w:p>
    <w:p>
      <w:pPr>
        <w:spacing w:after="120"/>
        <w:jc w:val="both"/>
      </w:pPr>
      <w:r>
        <w:rPr>
          <w:rFonts w:ascii="Arial" w:cs="Arial" w:eastAsia="Arial" w:hAnsi="Arial"/>
          <w:sz w:val="24"/>
          <w:szCs w:val="24"/>
        </w:rPr>
        <w:t xml:space="preserve">Фонда оздоровления трудящихся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Бюджет на  │ Исполнение  │</w:t>
      </w:r>
    </w:p>
    <w:p>
      <w:pPr>
        <w:spacing w:after="120"/>
        <w:jc w:val="both"/>
      </w:pPr>
      <w:r>
        <w:rPr>
          <w:rFonts w:ascii="Arial" w:cs="Arial" w:eastAsia="Arial" w:hAnsi="Arial"/>
          <w:sz w:val="24"/>
          <w:szCs w:val="24"/>
        </w:rPr>
        <w:t xml:space="preserve">│                                   │пози-│  2012 год   │ бюджета за  │</w:t>
      </w:r>
    </w:p>
    <w:p>
      <w:pPr>
        <w:spacing w:after="120"/>
        <w:jc w:val="both"/>
      </w:pPr>
      <w:r>
        <w:rPr>
          <w:rFonts w:ascii="Arial" w:cs="Arial" w:eastAsia="Arial" w:hAnsi="Arial"/>
          <w:sz w:val="24"/>
          <w:szCs w:val="24"/>
        </w:rPr>
        <w:t xml:space="preserve">│                                   │ ции │             │  2012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   1 │    171511,4 │    161882,9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│поступление страховых взносов      │   2 │    161840,0 │    161882,9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промышленных и других           │   3 │     95640,0 │     90688,6 │</w:t>
      </w:r>
    </w:p>
    <w:p>
      <w:pPr>
        <w:spacing w:after="120"/>
        <w:jc w:val="both"/>
      </w:pPr>
      <w:r>
        <w:rPr>
          <w:rFonts w:ascii="Arial" w:cs="Arial" w:eastAsia="Arial" w:hAnsi="Arial"/>
          <w:sz w:val="24"/>
          <w:szCs w:val="24"/>
        </w:rPr>
        <w:t xml:space="preserve">│предприятий и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бюджетных организаций           │   4 │     56650,0 │     64352,4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организованного сектора         │   5 │       390,0 │       325,5 │</w:t>
      </w:r>
    </w:p>
    <w:p>
      <w:pPr>
        <w:spacing w:after="120"/>
        <w:jc w:val="both"/>
      </w:pPr>
      <w:r>
        <w:rPr>
          <w:rFonts w:ascii="Arial" w:cs="Arial" w:eastAsia="Arial" w:hAnsi="Arial"/>
          <w:sz w:val="24"/>
          <w:szCs w:val="24"/>
        </w:rPr>
        <w:t xml:space="preserve">│сельского хозяйства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фермерских, крестьянских        │   6 │      1550,0 │       991,5 │</w:t>
      </w:r>
    </w:p>
    <w:p>
      <w:pPr>
        <w:spacing w:after="120"/>
        <w:jc w:val="both"/>
      </w:pPr>
      <w:r>
        <w:rPr>
          <w:rFonts w:ascii="Arial" w:cs="Arial" w:eastAsia="Arial" w:hAnsi="Arial"/>
          <w:sz w:val="24"/>
          <w:szCs w:val="24"/>
        </w:rPr>
        <w:t xml:space="preserve">│хозяйств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занятых индивидуальной трудовой │     │      7510,0 │      5482,4 │</w:t>
      </w:r>
    </w:p>
    <w:p>
      <w:pPr>
        <w:spacing w:after="120"/>
        <w:jc w:val="both"/>
      </w:pPr>
      <w:r>
        <w:rPr>
          <w:rFonts w:ascii="Arial" w:cs="Arial" w:eastAsia="Arial" w:hAnsi="Arial"/>
          <w:sz w:val="24"/>
          <w:szCs w:val="24"/>
        </w:rPr>
        <w:t xml:space="preserve">│деятельностью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│страховые взносы организаций по    │   8 │       100,0 │        42,5 │</w:t>
      </w:r>
    </w:p>
    <w:p>
      <w:pPr>
        <w:spacing w:after="120"/>
        <w:jc w:val="both"/>
      </w:pPr>
      <w:r>
        <w:rPr>
          <w:rFonts w:ascii="Arial" w:cs="Arial" w:eastAsia="Arial" w:hAnsi="Arial"/>
          <w:sz w:val="24"/>
          <w:szCs w:val="24"/>
        </w:rPr>
        <w:t xml:space="preserve">│льготным тарифам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задолженности за прошлые │   9 │      9671,4 │             │</w:t>
      </w:r>
    </w:p>
    <w:p>
      <w:pPr>
        <w:spacing w:after="120"/>
        <w:jc w:val="both"/>
      </w:pPr>
      <w:r>
        <w:rPr>
          <w:rFonts w:ascii="Arial" w:cs="Arial" w:eastAsia="Arial" w:hAnsi="Arial"/>
          <w:sz w:val="24"/>
          <w:szCs w:val="24"/>
        </w:rPr>
        <w:t xml:space="preserve">│годы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10 │    171511,4 │    152000,0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│санаторно-курортное лечение и отдых│  11 │    116750,5 │     99911,0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│оздоровление в                     │  12 │      8575,6 │      7600,0 │</w:t>
      </w:r>
    </w:p>
    <w:p>
      <w:pPr>
        <w:spacing w:after="120"/>
        <w:jc w:val="both"/>
      </w:pPr>
      <w:r>
        <w:rPr>
          <w:rFonts w:ascii="Arial" w:cs="Arial" w:eastAsia="Arial" w:hAnsi="Arial"/>
          <w:sz w:val="24"/>
          <w:szCs w:val="24"/>
        </w:rPr>
        <w:t xml:space="preserve">│санаториях-профилакториях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│оздоровление в детских             │  13 │     41040,0 │     41040,0 │</w:t>
      </w:r>
    </w:p>
    <w:p>
      <w:pPr>
        <w:spacing w:after="120"/>
        <w:jc w:val="both"/>
      </w:pPr>
      <w:r>
        <w:rPr>
          <w:rFonts w:ascii="Arial" w:cs="Arial" w:eastAsia="Arial" w:hAnsi="Arial"/>
          <w:sz w:val="24"/>
          <w:szCs w:val="24"/>
        </w:rPr>
        <w:t xml:space="preserve">│оздоровительных центрах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│организационно-административные    │  14 │      5145,3 │     3449,0  │</w:t>
      </w:r>
    </w:p>
    <w:p>
      <w:pPr>
        <w:spacing w:after="120"/>
        <w:jc w:val="both"/>
      </w:pPr>
      <w:r>
        <w:rPr>
          <w:rFonts w:ascii="Arial" w:cs="Arial" w:eastAsia="Arial" w:hAnsi="Arial"/>
          <w:sz w:val="24"/>
          <w:szCs w:val="24"/>
        </w:rPr>
        <w:t xml:space="preserve">│расходы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профицит (+) бюджета  │  15 │             │     9882,9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2voqujbty1fxfc2rirvz" Type="http://schemas.openxmlformats.org/officeDocument/2006/relationships/hyperlink" Target="http://kodeks.duckdns.org/document/158975" TargetMode="External"/><Relationship Id="rIda9tweil5qpfetgj-aazy8" Type="http://schemas.openxmlformats.org/officeDocument/2006/relationships/hyperlink" Target="http://kodeks.duckdns.org/document/1502" TargetMode="External"/><Relationship Id="rIdgekyouroh-xd-5wixbm7y" Type="http://schemas.openxmlformats.org/officeDocument/2006/relationships/hyperlink" Target="http://kodeks.duckdns.org/document/94516" TargetMode="External"/><Relationship Id="rIdgjk5ejeylmdvtqv_tbbzw" Type="http://schemas.openxmlformats.org/officeDocument/2006/relationships/hyperlink" Target="http://kodeks.duckdns.org/document/92982" TargetMode="External"/><Relationship Id="rId24qls9gdyata3zqawftq8" Type="http://schemas.openxmlformats.org/officeDocument/2006/relationships/hyperlink" Target="http://kodeks.duckdns.org/document/93099" TargetMode="External"/><Relationship Id="rIduuxz6zzdzsgncexjm9p8w" Type="http://schemas.openxmlformats.org/officeDocument/2006/relationships/hyperlink" Target="http://kodeks.duckdns.org/document/557" TargetMode="External"/><Relationship Id="rId3b3-_rl8ijopwu0a34kvh" Type="http://schemas.openxmlformats.org/officeDocument/2006/relationships/hyperlink" Target="http://kodeks.duckdns.org/document/203672" TargetMode="External"/><Relationship Id="rIdivwqfhs1xljbzlhvjytji" Type="http://schemas.openxmlformats.org/officeDocument/2006/relationships/hyperlink" Target="http://kodeks.duckdns.org/document/1393" TargetMode="External"/><Relationship Id="rIdt5osumisfkt9v2rwdrsp1" Type="http://schemas.openxmlformats.org/officeDocument/2006/relationships/hyperlink" Target="http://kodeks.duckdns.org/document/203321" TargetMode="External"/><Relationship Id="rIdhaqormk8hvx-yxr6eseid" Type="http://schemas.openxmlformats.org/officeDocument/2006/relationships/hyperlink" Target="http://kodeks.duckdns.org/document/92793" TargetMode="External"/><Relationship Id="rId_tgjfqaeszbnnnpv5bu-c" Type="http://schemas.openxmlformats.org/officeDocument/2006/relationships/hyperlink" Target="http://kodeks.duckdns.org/document/203321" TargetMode="External"/><Relationship Id="rIdh_ocudiggiru05dbjucq4" Type="http://schemas.openxmlformats.org/officeDocument/2006/relationships/hyperlink" Target="http://kodeks.duckdns.org/document/94516" TargetMode="External"/><Relationship Id="rIde6frsgtjapwla7my7kbwp" Type="http://schemas.openxmlformats.org/officeDocument/2006/relationships/hyperlink" Target="http://kodeks.duckdns.org/document/94516" TargetMode="External"/><Relationship Id="rId8fniirltqge149xe78lol" Type="http://schemas.openxmlformats.org/officeDocument/2006/relationships/hyperlink" Target="http://kodeks.duckdns.org/document/94516"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2026-09-23T11:10:17.653Z</dcterms:created>
  <dcterms:modified xsi:type="dcterms:W3CDTF">2026-09-23T11:10:17.653Z</dcterms:modified>
</cp:coreProperties>
</file>

<file path=docProps/custom.xml><?xml version="1.0" encoding="utf-8"?>
<Properties xmlns="http://schemas.openxmlformats.org/officeDocument/2006/custom-properties" xmlns:vt="http://schemas.openxmlformats.org/officeDocument/2006/docPropsVTypes"/>
</file>