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hyperlink w:history="1" r:id="rIdfjazbukkjw2ito1vkbji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30 мая 2013 года N 302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формирования и исполнения расходов общеобразовательных организаций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y7rjkrpncg53yelpwm72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июня 2014 года № 315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csvkldxq6tjwazoydce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июля 2018 года № 342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формирования и исполнения расходов общеобразовательных организаций Кыргызской Республики (далее - Порядок) определяет механизм финансирования расходов общеобразовательных организаций из средств республиканского и местных бюджетов.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Общие процедуры по срокам составления и утверждения смет расходов общеобразовательных организаций определяются в соответствии с </w:t>
      </w:r>
      <w:hyperlink w:history="1" r:id="rIddzjfe4ocmrutdg6xvizu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основных принципах бюджетного права в Кыргызской Республике", по единой бюджетной классификации, утверждаемой Министерством финансов Кыргызской Республики (далее - Минфин).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Определение общих расходов общеобразовательных организаций в разрезе районов (городов) на основе норматива и численности учащихся является функцией Министерства образования и науки Кыргызской Республики (далее - МОН), а составление и утверждение смет расходов организаций в пределах бюджета, определенного МОН, является функцией районных (городских) отделов (управлений) образования (далее - Р(Г)ОО) и общеобразовательных организаций.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Разграничение полномочий финансирования общеобразовательных организаций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МОН через Р(Г)ОО из средств республиканского бюджета финансирует расходы общеобразовательных организаций, связанные с обеспечением учебного процесса, по следующим статьям экономической классификации расходов: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652"/>
        <w:gridCol w:w="7526"/>
      </w:tblGrid>
      <w:tr>
        <w:tc>
          <w:tcPr>
            <w:tcW w:type="dxa" w:w="265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Коды экономической классификации расходов</w:t>
            </w:r>
          </w:p>
        </w:tc>
        <w:tc>
          <w:tcPr>
            <w:tcW w:type="dxa" w:w="75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расходов</w:t>
            </w:r>
          </w:p>
        </w:tc>
      </w:tr>
      <w:tr>
        <w:tc>
          <w:tcPr>
            <w:tcW w:type="dxa" w:w="2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2111</w:t>
            </w:r>
          </w:p>
        </w:tc>
        <w:tc>
          <w:tcPr>
            <w:tcW w:type="dxa" w:w="7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Заработная плата</w:t>
            </w:r>
          </w:p>
        </w:tc>
      </w:tr>
      <w:tr>
        <w:tc>
          <w:tcPr>
            <w:tcW w:type="dxa" w:w="2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2121</w:t>
            </w:r>
          </w:p>
        </w:tc>
        <w:tc>
          <w:tcPr>
            <w:tcW w:type="dxa" w:w="7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 в Социальный фонд</w:t>
            </w:r>
          </w:p>
        </w:tc>
      </w:tr>
      <w:tr>
        <w:tc>
          <w:tcPr>
            <w:tcW w:type="dxa" w:w="2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2211</w:t>
            </w:r>
          </w:p>
        </w:tc>
        <w:tc>
          <w:tcPr>
            <w:tcW w:type="dxa" w:w="7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служебные поездки</w:t>
            </w:r>
          </w:p>
        </w:tc>
      </w:tr>
      <w:tr>
        <w:tc>
          <w:tcPr>
            <w:tcW w:type="dxa" w:w="2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2213</w:t>
            </w:r>
          </w:p>
        </w:tc>
        <w:tc>
          <w:tcPr>
            <w:tcW w:type="dxa" w:w="7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Арендная плата</w:t>
            </w:r>
          </w:p>
        </w:tc>
      </w:tr>
      <w:tr>
        <w:tc>
          <w:tcPr>
            <w:tcW w:type="dxa" w:w="2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2214</w:t>
            </w:r>
          </w:p>
        </w:tc>
        <w:tc>
          <w:tcPr>
            <w:tcW w:type="dxa" w:w="7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Транспортные услуги</w:t>
            </w:r>
          </w:p>
        </w:tc>
      </w:tr>
      <w:tr>
        <w:tc>
          <w:tcPr>
            <w:tcW w:type="dxa" w:w="2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</w:t>
            </w:r>
          </w:p>
        </w:tc>
        <w:tc>
          <w:tcPr>
            <w:tcW w:type="dxa" w:w="7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прочих товаров и услуг</w:t>
            </w:r>
          </w:p>
        </w:tc>
      </w:tr>
      <w:tr>
        <w:tc>
          <w:tcPr>
            <w:tcW w:type="dxa" w:w="2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22151</w:t>
            </w:r>
          </w:p>
        </w:tc>
        <w:tc>
          <w:tcPr>
            <w:tcW w:type="dxa" w:w="7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прочих услуг</w:t>
            </w:r>
          </w:p>
        </w:tc>
      </w:tr>
      <w:tr>
        <w:tc>
          <w:tcPr>
            <w:tcW w:type="dxa" w:w="2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22152</w:t>
            </w:r>
          </w:p>
        </w:tc>
        <w:tc>
          <w:tcPr>
            <w:tcW w:type="dxa" w:w="7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Текущий ремонт имущества</w:t>
            </w:r>
          </w:p>
        </w:tc>
      </w:tr>
      <w:tr>
        <w:tc>
          <w:tcPr>
            <w:tcW w:type="dxa" w:w="2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22155</w:t>
            </w:r>
          </w:p>
        </w:tc>
        <w:tc>
          <w:tcPr>
            <w:tcW w:type="dxa" w:w="7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предметов и материалов для текущих хозяйственных целей</w:t>
            </w:r>
          </w:p>
        </w:tc>
      </w:tr>
      <w:tr>
        <w:tc>
          <w:tcPr>
            <w:tcW w:type="dxa" w:w="2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22156</w:t>
            </w:r>
          </w:p>
        </w:tc>
        <w:tc>
          <w:tcPr>
            <w:tcW w:type="dxa" w:w="7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связанные с оплатой прочих услуг</w:t>
            </w:r>
          </w:p>
        </w:tc>
      </w:tr>
      <w:tr>
        <w:tc>
          <w:tcPr>
            <w:tcW w:type="dxa" w:w="2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2217</w:t>
            </w:r>
          </w:p>
        </w:tc>
        <w:tc>
          <w:tcPr>
            <w:tcW w:type="dxa" w:w="7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медикаментов и изделий медицинского назначения</w:t>
            </w:r>
          </w:p>
        </w:tc>
      </w:tr>
      <w:tr>
        <w:tc>
          <w:tcPr>
            <w:tcW w:type="dxa" w:w="2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2218</w:t>
            </w:r>
          </w:p>
        </w:tc>
        <w:tc>
          <w:tcPr>
            <w:tcW w:type="dxa" w:w="7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продуктов питания</w:t>
            </w:r>
          </w:p>
        </w:tc>
      </w:tr>
      <w:tr>
        <w:tc>
          <w:tcPr>
            <w:tcW w:type="dxa" w:w="2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2821</w:t>
            </w:r>
          </w:p>
        </w:tc>
        <w:tc>
          <w:tcPr>
            <w:tcW w:type="dxa" w:w="7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Текущие различные прочие расходы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Из местного бюджета финансируются текущие расходы на содержание зданий общеобразовательных организаций: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652"/>
        <w:gridCol w:w="7526"/>
      </w:tblGrid>
      <w:tr>
        <w:tc>
          <w:tcPr>
            <w:tcW w:type="dxa" w:w="265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Коды экономической классификации расходов</w:t>
            </w:r>
          </w:p>
        </w:tc>
        <w:tc>
          <w:tcPr>
            <w:tcW w:type="dxa" w:w="75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расходов</w:t>
            </w:r>
          </w:p>
        </w:tc>
      </w:tr>
      <w:tr>
        <w:tc>
          <w:tcPr>
            <w:tcW w:type="dxa" w:w="2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2212</w:t>
            </w:r>
          </w:p>
        </w:tc>
        <w:tc>
          <w:tcPr>
            <w:tcW w:type="dxa" w:w="7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Коммунальные услуги и услуги связи</w:t>
            </w:r>
          </w:p>
        </w:tc>
      </w:tr>
      <w:tr>
        <w:tc>
          <w:tcPr>
            <w:tcW w:type="dxa" w:w="2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22152</w:t>
            </w:r>
          </w:p>
        </w:tc>
        <w:tc>
          <w:tcPr>
            <w:tcW w:type="dxa" w:w="7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Текущий ремонт имущества</w:t>
            </w:r>
          </w:p>
        </w:tc>
      </w:tr>
      <w:tr>
        <w:tc>
          <w:tcPr>
            <w:tcW w:type="dxa" w:w="2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22155500</w:t>
            </w:r>
          </w:p>
        </w:tc>
        <w:tc>
          <w:tcPr>
            <w:tcW w:type="dxa" w:w="7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угля</w:t>
            </w:r>
          </w:p>
        </w:tc>
      </w:tr>
      <w:tr>
        <w:tc>
          <w:tcPr>
            <w:tcW w:type="dxa" w:w="2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22155600</w:t>
            </w:r>
          </w:p>
        </w:tc>
        <w:tc>
          <w:tcPr>
            <w:tcW w:type="dxa" w:w="7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прочих видов топлива</w:t>
            </w:r>
          </w:p>
        </w:tc>
      </w:tr>
      <w:tr>
        <w:tc>
          <w:tcPr>
            <w:tcW w:type="dxa" w:w="2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22153</w:t>
            </w:r>
          </w:p>
        </w:tc>
        <w:tc>
          <w:tcPr>
            <w:tcW w:type="dxa" w:w="7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по содержанию состояния имущества</w:t>
            </w:r>
          </w:p>
        </w:tc>
      </w:tr>
      <w:tr>
        <w:tc>
          <w:tcPr>
            <w:tcW w:type="dxa" w:w="2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3111</w:t>
            </w:r>
          </w:p>
        </w:tc>
        <w:tc>
          <w:tcPr>
            <w:tcW w:type="dxa" w:w="7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Здания и сооружения</w:t>
            </w:r>
          </w:p>
        </w:tc>
      </w:tr>
      <w:tr>
        <w:tc>
          <w:tcPr>
            <w:tcW w:type="dxa" w:w="2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3112</w:t>
            </w:r>
          </w:p>
        </w:tc>
        <w:tc>
          <w:tcPr>
            <w:tcW w:type="dxa" w:w="7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 и оборудование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Из средств местного бюджета по решению местных кенешей могут финансироваться расходы общеобразовательных организаций, помимо указанных в пункте 5 настоящего 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Расходы на капитальные вложения производятся из средств республиканского и местных бюджетов при осуществлении соответствующих целевых программ.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Расходы на образование города Бишкек финансируются из средств местного бюджета города Бишкек.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Формирование бюджета общеобразовательных организаций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Расходы общеобразовательных организаций рассчитываются на основе двух методик: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всех общеобразовательных организаций - на основе нормативного принципа финансирования, исходя из численности учащихся и типового норматива бюджетного финансирования общеобразовательных организаций Кыргызской Республики (далее - норматив), утвержденной Правительством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общеобразовательных организаций, на которые не распространяется нормативный принцип финансирования, исходя из действующих процедур путем расчета расходов по всем статьям затрат.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wbabxcjqtiwxltnuqt6d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июля 2018 года № 342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1. Формирование проекта смет расходов общеобразовательных организаций на предстоящий год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Функции Р(Г)ОО: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10.1. Для общеобразовательных организаций рассчитывается потребность в средствах республиканского бюджета на основе норматива, утвержденного Правительством Кыргызской Республики на предстоящий год, а также численности учащихся на начало учебного года, по типам организаций и ступеням обучения, по формуле: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- потребность в средствах республиканского бюджета на обеспечение норматива на предстоящий год по 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-той общеобразовательной организации;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- расходы на оплату труда в нормативе общеобразовательных организаций на предстоящий год по </w:t>
      </w:r>
      <w:r>
        <w:rPr>
          <w:rFonts w:ascii="Arial" w:cs="Arial" w:eastAsia="Arial" w:hAnsi="Arial"/>
          <w:sz w:val="24"/>
          <w:szCs w:val="24"/>
        </w:rPr>
        <w:t xml:space="preserve">j</w:t>
      </w:r>
      <w:r>
        <w:rPr>
          <w:rFonts w:ascii="Arial" w:cs="Arial" w:eastAsia="Arial" w:hAnsi="Arial"/>
          <w:sz w:val="24"/>
          <w:szCs w:val="24"/>
        </w:rPr>
        <w:t xml:space="preserve">-той ступени;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- численность учащихся 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-той общеобразовательной организации j-той ступени на начало учебного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- коэффициент доплат к заработной плате персонала общеобразовательных организаций за работу в условиях высокогорья и отдаленности в соответствии с </w:t>
      </w:r>
      <w:hyperlink w:history="1" r:id="rIdnmp_yanmeorkmdycwznf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оказании государственной поддержки лицам, проживающим и работающим в высокогорных и отдаленных зонах Кыргызской Республики" от 25 июня 1997 года № 377;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- коэффициент масштаба для 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-той общеобразовательной организации к нормативу общеобразовательных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- надбавка за стаж работы в условиях высокогорья и отдаленности к должностным окладам работников общеобразовательных организаций в соответствии с </w:t>
      </w:r>
      <w:hyperlink w:history="1" r:id="rIdcm7zfhi4bdwnyfzwx8vm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оказании государственной поддержки лицам, проживающим и работающим в высокогорных и отдаленных зонах Кыргызской Республики" от 25 июня 1997 года № 377;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- расходы на питание учащихся I ступени в нормативе общеобразовательных организаций на предстоящий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- повышающий коэффициент 1,43 для расходов на питание учащихся I ступени общеобразовательных организаций, расположенных в высокогорных и отдаленных зонах Кыргызской Республики, устанавливается в соответствии с </w:t>
      </w:r>
      <w:hyperlink w:history="1" r:id="rIdmczwa1503tktyf4dduto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дополнительных мерах государственной поддержки лиц, проживающих в тяжелых, неблагоприятных природно-климатических условиях высокогорья и отдаленных труднодоступных зонах" от 2 апреля 2010 года № 206;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- численность учащихся I ступени 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-той общеобразовательной организации на начало учебного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- остальные расходы, за исключением расходов на оплату труда, проведение текущего ремонта и питание учащихся I ступени, в нормативе общеобразовательных организаций на предстоящий год по </w:t>
      </w:r>
      <w:r>
        <w:rPr>
          <w:rFonts w:ascii="Arial" w:cs="Arial" w:eastAsia="Arial" w:hAnsi="Arial"/>
          <w:sz w:val="24"/>
          <w:szCs w:val="24"/>
        </w:rPr>
        <w:t xml:space="preserve">j</w:t>
      </w:r>
      <w:r>
        <w:rPr>
          <w:rFonts w:ascii="Arial" w:cs="Arial" w:eastAsia="Arial" w:hAnsi="Arial"/>
          <w:sz w:val="24"/>
          <w:szCs w:val="24"/>
        </w:rPr>
        <w:t xml:space="preserve">-той ступени.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10.2. Расчет потребности финансирования общеобразовательной организации по нормативу, имеющей филиал, производится в отдельности по головной организации и филиалу, с применением соответствующих поправочных коэффициентов.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10.3. Суммарная по району (городу) потребность в средствах республиканского бюджета на обеспечение норматива на предстоящий год представляется в МОН в разрезе основных направлений расходов: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расходы на оплату труда;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расходы на питание учащихся;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остальные расходы (за исключением расходов на оплату труда и питание учащихся).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10.4. Для общеобразовательных организаций, на которые не распространяется нормативный принцип финансирования, проект сметы расходов по бюджетным средствам на предстоящий год формируется по направлениям расходов: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расходы на фонд оплаты труда - в соответствии с тарификационными списками и штатным расписанием на начало учебного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расходы на питание - в соответствии с денежными нормами питания, утверждаемыми Правительством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остальные расходы (за исключением расходов на оплату труда и питание учащихся) - по потребности, с учетом действующих норм.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10.5. Сводный по району (городу) проект сметы расходов по бюджетным средствам общеобразовательных организаций, на которые не распространяется нормативный принцип финансирования, представляется в МОН.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Сводные по республике проекты смет расходов общеобразовательных организаций, на которые не распространяется нормативный принцип финансирования, и потребность общеобразовательных организаций по нормативу в разрезе основных направлений расходов, указанных в пункте 10.3. настоящего Порядка, представляются МОН в Минфин в сроки согласно календарному плану, утверждаемому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Минфин в сроки согласно календарному плану, утверждаемому Правительством Кыргызской Республики, доводит до МОН контрольные показатели по расходам общеобразовательных организаций на предстоящий год, разделенные на заработную плату, отчисления в Социальный фонд Кыргызской Республики и другие текущие расходы.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2. Формирование и утверждение сметы расходов по бюджетным средствам общеобразовательных организаций на предстоящий год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Функции МОН: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13.1. После утверждения республиканского бюджета МОН определяет контрольные показатели по бюджетным расходам общеобразовательных организаций на предстоящий год по районам (городам), исходя из потребности по нормативу в разрезе основных направлений расходов, указанных в пункте 10.3. настоящего 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13.2. При этом бюджетные расходы на питание учащихся I ступени определяются в полном объеме потребности по нормативу, на оплату труда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соответствии с потребностью по нормативу, с учетом переходных положений в соответствии с пунктами 40 и 41 настоящего Порядка, на остальные расходы - с учетом норматива покрытия потребности, рассчитанного в соответствии с пунктом 13.3. настоящего 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13.3. Единый для общеобразовательных организаций республики норматив покрытия потребности по нормативу остальных расходов (за исключением расходов на оплату труда и питание учащихся) утверждается МОН и рассчитывается по формуле: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p </w:t>
      </w:r>
      <w:r>
        <w:rPr>
          <w:rFonts w:ascii="Arial" w:cs="Arial" w:eastAsia="Arial" w:hAnsi="Arial"/>
          <w:sz w:val="24"/>
          <w:szCs w:val="24"/>
        </w:rPr>
        <w:t xml:space="preserve">- единый по республике норматив покрытия потребности по нормативу остальных расходов (за исключением расходов на оплату труда и питание учащихся);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- контрольные показатели по остальным расходам (за исключением расходов на оплату труда и питание учащихся) общеобразовательных организаций на предстоящий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- сводная по республике потребность общеобразовательных организаций в средствах республиканского бюджета по нормативу остальных расходов (за исключением расходов на оплату труда и питание учащихся).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13.4. Для общеобразовательных организаций отдельных районов (городов), имеющих финансовые риски, МОН на трехлетний период определяет дотации в соответствии с пунктами 39 и 40 настоящего 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 финансовыми рисками понимается дефицит бюджета общеобразовательных организаций, рассчитанного по нормативу, в сравнении с фактической потребностью в средствах.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13.5. Контрольные показатели по бюджетным расходам общеобразовательных организаций, на которые не распространяется нормативный метод финансирования, на предстоящий год определяются по районам (городам) в соответствии с экономической классификацией расходов.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Функции Р(Г)ОО: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14.1. Р(Г)ОО осуществляет роспись контрольных показателей по бюджетным расходам по каждой общеобразовательной организации. При этом бюджетные расходы на оплату труда и питание учащихся I ступени определяются в полном объеме потребности по нормативу, бюджетные расходы по остальным расходам - с учетом норматива покрытия потребности.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14.2. Для общеобразовательных организаций, имеющих финансовые риски, Р(Г)ОО распределяет дотации, выделенные МОН для района (города), в соответствии с пунктами 39 и 40 настоящего 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14.3. Р(Г)ОО формирует сметы расходов в пределах контрольных показателей на предстоящий год по каждой общеобразовательной организации согласно их заявке. Сметы общеобразовательных организаций по бюджетным средствам на предстоящий год утверждаются руководителем Р(Г)ОО.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14.4. Общеобразовательные организации, имеющие счета в системе Казначейства, сметы расходов формируют самостоятельно.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14.5. Сводная смета расходов района (города) по бюджетным средствам согласно бюджетной классификации утверждается руководителем Р(Г)ОО и передается в МОН.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14.6. Сметы общеобразовательных организаций и сводные сметы расходов района (города) по бюджетным средствам передаются в Казначейство.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Исполнение бюджета общеобразовательных организаций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МОН ежемесячно, до 25 числа текущего месяца, подает заявку в Минфин на финансирование общеобразовательных организаций в пределах квартального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Минфин на основе заявки МОН утверждает план финансирования, который передается в Центральное казначейство.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МОН распределяет средства по Р(Г)ОО в соответствии с планом финансирования и оформляет документы на финансирование.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Казначейство открывает счета Р(Г)ОО для осуществления финансирования организаций 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Р(Г)ОО распределяют бюджетные средства по организациям 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По общеобразовательным организациям, имеющим счета в системе Казначейства, суммы финансирования зачисляются на эти счета в соответствии с заявкой. По остальным организациям образования финансирование учитывается на казначейских счетах Р(Г)ОО.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При этом централизованные бухгалтерии при Р(Г)ОО ведут учет расходов по каждой общеобразовательной организации в отдельности для последующего составления отчета об исполнении сметы расходов.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Централизованные бухгалтерии при Р(Г)ОО представляют в региональные отделения Казначейства переводные поручения по отчислениям подоходного налога с налогоплательщиков по органам местного самоуправления.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Уточнение бюджета общеобразовательных организаций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При увеличении или уменьшении объемов утвержденной сметы расходов общеобразовательной организации новая смета определяется как уточненный план финансирования на соответствующий период. Уточнения сметы расходов производится МОН по согласованию с Минфином.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Изменения в смету расходов вносятся по следующим причинам: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связи с принятием новых или изменением существующих нормативных правовых актов после утверждения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увеличении (уменьшении) численности учащихся, повлекших увеличение (уменьшение) числа класс-комплектов на начало нового учебного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связи с выделением дополнительных ассигнований из республиканского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Уточнение сметы расходов общеобразовательных организаций в связи с изменением численности учащихся и количества класс-комплектов проводится путем перераспределения бюджета между общеобразовательными организациями.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Особенности финансирования общеобразовательных организаций, имеющих счета в системе Казначейства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Общеобразовательные организации вправе открывать счета в системе Казначейства в соответствии с казначейскими процедурами, утверждаемыми Минфином, и образовывать самостоятельную бухгалтерию в пределах расходов, определенных по нормативу.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Общеобразовательные организации самостоятельно заключают договоры с поставщиками услуг.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Общеобразовательные организации самостоятельно формируют отдельные сметы расходов по средствам республиканского и местного бюджетов, в пределах контрольных показателей по бюджетным расходам на предстоящий год, представленных Р(Г)ОО и органами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Сметы расходов общеобразовательной организации утверждаются руководителем Р(Г)ОО по средствам республиканского бюджета и главой органа местного самоуправления по средствам местного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В процессе исполнения бюджета Р(Г)ОО и органы местного самоуправления перечисляют средства на счет общеобразовательной организации согласно заявке.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Общеобразовательные организации представляют в Р(Г)ОО и органы местного самоуправления отчеты по формам и в сроки, установленные Минфином для бюджетных учреждений.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Учет и отчетность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Учет и отчетность средств общеобразовательных организаций осуществляется по установленным казначейским процедурам.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Р(Г)ОО составляют отчетность по обслуживаемым организациям образования, а также сводный отчет по району (городу).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МОН формирует сводные отчетные данные по средствам республиканского бюджета по республике на основе отчетов Р(Г)ОО.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Ежеквартально Р(Г)ОО получают в территориальных подразделениях Минфина сведения о финансировании организаций образования органами местного самоуправления для включения их в сводную информацию об исполнении государственного бюджета по образованию.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МОН и территориальные подразделения Минфина представляют отчеты по общеобразовательным организациям (республиканские и местные) в Минфин по установленным срокам и формам.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8. Переходные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Перевод общеобразовательных организаций на финансирование из республиканского бюджета осуществляется с 1 августа 2013 года, в соответствии с процедурами, установленными Минфином.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В августе-декабре 2013 года МОН осуществляет финансирование организаций образования через Р(Г)ОО по ранее утвержденным сметам расходов на 2013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На трехлетний переходный период МОН и Р(Г)ОО для общеобразовательных организаций, имеющих финансовые риски, вправе устанавливать дотации сверх бюджета, определенного по нормативу, для оптимизации организационной структуры и расходов, в 2014 году - до 70 процентов дефицита финансирования, в 2015 году - до 50 процентов, в 2016 году - до 30 процентов.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Общеобразовательным организациям выделяются дотации в пределах общих бюджетных расходов, за счет ограничения прироста фонда оплаты труда, рассчитанного по нормативу. В 2014 году установлено ограничение роста фонда оплаты труда относительно фонда оплаты труда по тарификации не более 10 процентов, в 2015 году - не более 20 процентов, в 2016 году - не более 30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xh6p8koirgjqxt9nrwh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dalil.kg/document/94547</w:t>
      </w:r>
    </w:hyperlink>
  </w:p>
  <w:p>
    <w:pPr>
      <w:spacing w:after="0" w:before="40"/>
      <w:jc w:val="center"/>
    </w:pPr>
    <w:hyperlink w:history="1" r:id="rIdppe7abmthsu76m9cuk-h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jazbukkjw2ito1vkbjid" Type="http://schemas.openxmlformats.org/officeDocument/2006/relationships/hyperlink" Target="https://dalil.kg/document/94416" TargetMode="External"/><Relationship Id="rIdy7rjkrpncg53yelpwm72c" Type="http://schemas.openxmlformats.org/officeDocument/2006/relationships/hyperlink" Target="https://dalil.kg/document/96566" TargetMode="External"/><Relationship Id="rIdpcsvkldxq6tjwazoydcet" Type="http://schemas.openxmlformats.org/officeDocument/2006/relationships/hyperlink" Target="https://dalil.kg/document/12226" TargetMode="External"/><Relationship Id="rIddzjfe4ocmrutdg6xvizun" Type="http://schemas.openxmlformats.org/officeDocument/2006/relationships/hyperlink" Target="https://dalil.kg/document/86" TargetMode="External"/><Relationship Id="rIdwbabxcjqtiwxltnuqt6dq" Type="http://schemas.openxmlformats.org/officeDocument/2006/relationships/hyperlink" Target="https://dalil.kg/document/12226" TargetMode="External"/><Relationship Id="rIdnmp_yanmeorkmdycwznfc" Type="http://schemas.openxmlformats.org/officeDocument/2006/relationships/hyperlink" Target="https://dalil.kg/document/34535" TargetMode="External"/><Relationship Id="rIdcm7zfhi4bdwnyfzwx8vmt" Type="http://schemas.openxmlformats.org/officeDocument/2006/relationships/hyperlink" Target="https://dalil.kg/document/34535" TargetMode="External"/><Relationship Id="rIdmczwa1503tktyf4ddutof" Type="http://schemas.openxmlformats.org/officeDocument/2006/relationships/hyperlink" Target="https://dalil.kg/document/92158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xh6p8koirgjqxt9nrwha" Type="http://schemas.openxmlformats.org/officeDocument/2006/relationships/hyperlink" Target="https://dalil.kg/document/94547" TargetMode="External"/><Relationship Id="rIdppe7abmthsu76m9cuk-h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2026-09-24T14:39:21.735Z</dcterms:created>
  <dcterms:modified xsi:type="dcterms:W3CDTF">2026-09-24T14:39:21.735Z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