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8xpv90bbss6xn_dzdq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2013 года N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нормативов бюджетного финансирования общеобразовательных организаций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nscp5ya8x4hvp1wguf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-my5xniomfpiuhziv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woq-u5xgwwhfw976b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нормативов бюджетного финансирования общеобразовательных организаций Кыргызской Республики (далее - Методика), является планирование бюджета общеобразовательных организаций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нормативами в секторе образования понимается реализация образовательного норматива как совокупности норм и правил, определяющих содержание основных образовательных программ, базовые требования к качеству подготовки выпускников, предельно допустимую учебную нагрузку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бюджетного финансирования общеобразовательных организаций применяются нормы, утвержденные нормативными правовыми актами Кыргызской Республики. При этом осуществляется перевод действующих норм на класс-комплект в расчете на одного учащегося.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Структура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бюджетного финансирования общеобразовательных организаций состоят из нормативов текущего и инвестиционного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 текущего финансирования включает нормативные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общеобразовательных организаций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 инвестиционного финансирования включает нормативные расходы на приобретение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норматива бюджетного финансирования осуществляется по ступеням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нормативам бюджетного финансирования общеобразовательных организаций применяется поправочный коэффициент масштаба, в зависимости от численности учащихся, приведенный в </w:t>
      </w:r>
      <w:hyperlink w:history="1" r:id="rId-xjhej-2exmyxcepbi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Расчет норматива текущего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Расчет норматива расходов на оплату труда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норматива расходов на оплату труда персонала построен в соответствии с основными положениями оплаты труда работников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8rrfneigs5mn4u_iy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 расходов на оплату труда персонала определяется на основе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обязательных часов Базисного учебного плана (по ступеням обучения), с учетом деления класса на подгруппы при изучении отдельных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установленное количество часов подготовительной, внеурочной работы и повышения мастерства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почасовой оплаты труда учителей за преподавательскую и подготовительную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фонда заработной платы административного, хозяйственного и вспомогательного персонала в общем фонде заработной платы общеобразовательных организаций, с учетом фактических расходов в школах-гимназиях и школах-лицеях для организации кружковой и лекционной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установленная доля стимулирующего фонда заработной платы персонала общеобразовательных организаций к основному фонду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rj9j5uxfhk5iz0sr4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общую сумму оплачиваемых часов включено количество часов внеурочной работы учителя (с коэффициентом 0,5) в связи со сниженной часовой ставкой внеурочной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xbdjt-tedvuuatfvk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Совокупное количество часов преподавательской, подготовительной и внеурочной работы педагогического персонала в расчете на класс-комплект по ступеням обучения в неделю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6"/>
        <w:gridCol w:w="4455"/>
        <w:gridCol w:w="747"/>
        <w:gridCol w:w="837"/>
        <w:gridCol w:w="837"/>
        <w:gridCol w:w="837"/>
      </w:tblGrid>
      <w:tr>
        <w:tc>
          <w:tcPr>
            <w:tcW w:type="dxa" w:w="2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школы/класса</w:t>
            </w:r>
          </w:p>
        </w:tc>
        <w:tc>
          <w:tcPr>
            <w:tcW w:type="dxa" w:w="4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работы учителя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строки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Начальные, основные и общеобразовательные школы, школы-интернаты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 (гимназические классы)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Лицеи (лицейские классы)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</w:t>
      </w:r>
      <w:r>
        <w:rPr>
          <w:rFonts w:ascii="Arial" w:cs="Arial" w:eastAsia="Arial" w:hAnsi="Arial"/>
          <w:sz w:val="24"/>
          <w:szCs w:val="24"/>
        </w:rPr>
        <w:t xml:space="preserve">педагогического персонала используется фактически сложившийся показатель наполняемости классов для общеобразовательных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городской местности - 25 человек (по I и II ступеням обучения), 22 человека (по III ступени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сельской местности - 23 человека (по I и II ступеням обучения), 21 человек (по III ступени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используется средневзвешенный размер почасовой оплаты труда педагогов за преподавательскую и подготовительную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организациях - 44,4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школах-гимназиях - 51,1 сома (по II и III ступеням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школах-лицеях - 48,0 сомов (по II ступени обучения) и 53,3 сома (по III ступени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расчете норматива расходов на оплату труда административного, хозяйственного и вспомогательного персонала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с учетом фактических расходов в школах-гимназиях и школах-лицеях для организации кружковой и лекционной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начальных, основных и средних школах - 29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школах-гимназиях, школах-лицеях, расположенных в городской местности, - 35 процентов, расположенных в сельской местности - 34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школах-интернатах - 54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к основной часовой заработной плате педагогического персонала установлено на основе фактически сложившихся пропорций. Для расчета норматива расходов на оплату труда используется доля надбавок и доплат к основному фонду заработной платы педагогического персонала: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общеобразовательных школ всех типов, расположенных в городах,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общеобразовательных школ всех типов, расположенных в сельской местности, - 43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с тяжелыми и вредными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расчете норматива расходов на оплату труда учтены расходы на оплату пособий по временной нетрудоспособности, доплат за выполнение обязанностей временно отсутствующих работников, в размере 1 процента от общего фонда заработной платы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Стимулирующий фонд заработной платы персонала общеобразовательных организаций принят в размере 10 процентов фонда заработной платы, с учетом надбавок и доплат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расходов на оплату труда рассчитывается по каждой ступени обучения в отдельности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оплачиваемых часов преподавательской, подготовительной и внеурочной работы учителей в расчете на учащихся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почасовой оплаты труда учителей за преподавательскую и подготовительную работу;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надбавок и доплат к основной заработной плате педагогического персонала;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наполняемость классов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классов i-той ступени, соответствующее часовой нагрузке по Базисному учебному плану;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количество рабочих недель в месяце;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фонда оплаты труда административного, хозяйственного и вспомогательного персонала в общем фонде оплаты труда по j-тому типу общеобразовательной организации (классу);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фонда оплаты труда педагогического персонала в общем фонде оплаты труда по j-тому типу общеобразовательной организации (классу);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расходов на оплату пособий по временной нетрудоспособности, доплат за выполнение обязанностей временно отсутствующих работников в общем фонде заработной платы общеобразовательной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стимулирующего фонда заработной платы к основному фонду заработной платы персонала общеобразовательных школ;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тариф (коэффициент) отчислений в Социальный фонд с работодателя;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Расчет норматива финансирования учебных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финансирования учебных расходов построен на определении потребности в средствах в целом на класс-комплект и пересчете ее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Учебные расходы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пособий (наглядные пособия по предметам,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материалов для учебных и лабораторных занятий (реактивы, приборы и инструменты для химических, физических, биологических кабинетов, мастерских по труду);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литературы и подписных изданий для школьных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принадлежностей и материалов (инвентарь для спортзалов, классные журналы, тетради и канцелярские товары для педагогов, бумага, краски и карандаши для уроков рисования и черчения, мел, клей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хозяйственные расходы (хозяйственные и моющие средства на содержание общеобразовательного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учебных экскурсий и производственной практики.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учебных расходов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17"/>
        <w:gridCol w:w="1106"/>
        <w:gridCol w:w="1154"/>
        <w:gridCol w:w="1201"/>
      </w:tblGrid>
      <w:tr>
        <w:tc>
          <w:tcPr>
            <w:tcW w:type="dxa" w:w="6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класс - всего (сомов)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4612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учебных пособий и методической литературы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материалов для учебных и лабораторных занятий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литературы для школьных библиотек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учебных принадлежностей и материалов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расходы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учебных экскурсий и производственной практики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Наполняемость классов: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городской местности;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сельской местности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 на одного учащегося (сом.):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городской местности;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сельской местности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Расчет норматива финансирования расходов на повышение квалификации педагогического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на повышение квалификации педагогического персонала определены в соответствии с нормами, установленными </w:t>
      </w:r>
      <w:hyperlink w:history="1" r:id="rIdka35xdkeep6zkyxekm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N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Периодичность повышения квалификации педагогических работников определена один раз в 5 лет, в соответствии с </w:t>
      </w:r>
      <w:hyperlink w:history="1" r:id="rIde275murw2juqakbghy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Командировочные расходы включают расходы на проезд и проживание в расчете на одного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 на одного учащегося определяется делением суммы расходов на повышение квалификации всего педагогического персонала на число учащихся.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повышение квалификации педагогического персонала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8"/>
        <w:gridCol w:w="1488"/>
        <w:gridCol w:w="1158"/>
        <w:gridCol w:w="1244"/>
      </w:tblGrid>
      <w:tr>
        <w:tc>
          <w:tcPr>
            <w:tcW w:type="dxa" w:w="6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на учителя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учителей, проходящих курсы повышения квалификации в год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учителей (тыс. сомов)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94947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учащихся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1022253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учителей в расчете на одного учащегося (сомов)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Расчет норматива финансирования расходов на питание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нормативы бюджетного финансирования включаются расходы на питание учащихся I ступени общеобразовательных организаций и питание учащихся школ-интернатов.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Расходы на питание учащихся I ступени общеобразовательных организаций определены на основе постановлений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</w:t>
      </w:r>
      <w:hyperlink w:history="1" r:id="rIdyvy4xmvmx9taymbmmo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сентября 2006 года N 673</w:t>
        </w:r>
      </w:hyperlink>
      <w:r>
        <w:rPr>
          <w:rFonts w:ascii="Arial" w:cs="Arial" w:eastAsia="Arial" w:hAnsi="Arial"/>
          <w:sz w:val="24"/>
          <w:szCs w:val="24"/>
        </w:rPr>
        <w:t xml:space="preserve"> 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</w:t>
      </w:r>
      <w:hyperlink w:history="1" r:id="rIdkonlqotkslukygudom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апреля 2010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учащихся I ступени общеобразовательных организаций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0"/>
        <w:gridCol w:w="1238"/>
      </w:tblGrid>
      <w:tr>
        <w:tc>
          <w:tcPr>
            <w:tcW w:type="dxa" w:w="8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дней в году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питания на одного учащегося в день (сомов)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8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на одного учащегося I ступени (сомов)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 на питание учащихся школ-интернатов определены на основе норм расходов, утвержденных </w:t>
      </w:r>
      <w:hyperlink w:history="1" r:id="rId_ofa0mjvj3sv8yympn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N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питание в школах-интернатах рассчитаны на 35 учебных недель (не считая каникулярного времени).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учащихся школ-интернатов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5"/>
        <w:gridCol w:w="973"/>
        <w:gridCol w:w="1014"/>
        <w:gridCol w:w="1056"/>
      </w:tblGrid>
      <w:tr>
        <w:tc>
          <w:tcPr>
            <w:tcW w:type="dxa" w:w="7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дней в году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питания на 1 ученика в день (сомов)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учащихся интернатов в год в расчете на 1 ученика (сомов)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7350,0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7350,0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hduys6p3mhkzlik0n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Расчет норматива финансирования расходов на проведение текущего ремонта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финансирования расходов на проведение текущего ремонта общеобразовательных организаций определен путем перевода потребности в средствах на проведение текущего ремонта общеобразовательных организаций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Потребность в средствах на проведение текущего ремонта общеобразовательных организаций определяется методом калькулирования расходов на приобретение основных строительных материалов, сопутствующих материалов и инвентаря по общеобразовательным школам, расположенным в типовых зданиях, с учетом проектной мощности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Расчеты произведены по средним фактически сложившимся показателям расходов на проведение текущего ремонта в общеобразовательных организациях Баткенской, Иссык-Кульской и Чуйской областей.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проведение текущего ремонта общеобразовательных организаций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2"/>
        <w:gridCol w:w="1836"/>
      </w:tblGrid>
      <w:tr>
        <w:tc>
          <w:tcPr>
            <w:tcW w:type="dxa" w:w="8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206834,0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10257,0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5480,0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222571,0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школы (учеников)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текущего ремонта в расчете на 1 ученика в год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§6. Расчет норматива инвестиционного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расходах на приобретение учебников учитывается стоимость комплекта учебников по классам, с учетом срока службы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1 учащегося в год в ценах 2013 года составил для I ступени - 177 сомов, для II ступени - 291 сом, для III ступени - 476 сомов.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комплекта учебников, принятая в расчет норматива бюджетного финансирования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5"/>
        <w:gridCol w:w="8053"/>
      </w:tblGrid>
      <w:tr>
        <w:tc>
          <w:tcPr>
            <w:tcW w:type="dxa" w:w="21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комплекта (сомов)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1729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§7. Расчет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Нормативы бюджетного финансирования определяются в расчете на одного учащегося для каждой ступени в отдельности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общеобразовательных организаций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труда персонала в расчете на одного учащегося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учебных расходов в расчете на одного учащегося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KBAЛ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повышение квалификации учителей в расчете на одного учащегося;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питание учащихся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проведение текущего ремонта общеобразовательных организаций при подготовке к новому учебному году в расчете на одного учащегося;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приобретение учебников в расчете на одного учащегося i-той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Нормативы бюджетного финансирования рассчитываются по ступеням обучения, типам общеобразовательных организаций (классов), с дифференциацией на организации, расположенные в городах и сельской местности.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§8. Определение потребности в средствах республиканского бюджета для обеспечения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Потребность в средствах республиканского бюджета для обеспечения нормативов бюджетного финансирования общеобразовательных организаций на предстоящий год определяется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определяются нормативы бюджетного финансирования общеобразовательных организаций (классов) на предстоящий год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общеобразовательных организаций (классов) на предстоящий год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расходов на оплату труда в общеобразовательных организациях в текущем году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индекс роста заработной платы работников образования в предстоящем году;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расходов, за исключением расходов на оплату труда в общеобразовательных организациях в текущем году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индекс инфляции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определяется потребность в средствах республиканского бюджета для обеспечения нормативов бюджетного финансирования общеобразовательных организаций на предстоящий год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потребность в средствах республиканского бюджета для обеспечения нормативов бюджетного финансирования на предстоящий год по i-той общеобразовательной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труда в нормативе бюджетного финансирования общеобразовательных организаций на предстоящий год по j-той ступени, рассчитанные в соответствии с подпунктом 1 пункта 35 настоящей Методики;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учащихся общеобразовательной организации j-той ступени на начало учебного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доплат к заработной плате персонала общеобразовательных организаций за работу в условиях высокогорья и отдаленности, в соответствии с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масштаба для i-той общеобразовательной организации к нормативам бюджетного финансирования общеобразовательных организаций,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надбавка за стаж работы в условиях высокогорья и отдаленности к должностным окладам работников общеобразовательных организаций, в соответствии с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питание учащихся I ступени в нормативе бюджетного финансирования общеобразовательных организаций на предстоящий год, рассчитанные в соответствии с подпунктом 1 пункта 35 настоящей Методики;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повышающий коэффициент 1,43 для расходов на питание учащихся I ступени общеобразовательных организаций, расположенных в высокогорных и отдаленных зонах Кыргызской Республики. Устанавливается в соответствии с постановлением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N 206;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учащихся I ступени общеобразовательной организации на начало учебного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остальные расходы, за исключением расходов на оплату труда и питание учащихся I ступени, в нормативе бюджетного финансирования общеобразовательных организаций на предстоящий год по j-той ступени, рассчитанные в соответствии с подпунктом 1 пункта 35 настоящей Методики.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Методике определения нормативов бюджетного финансирования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 масштаба к нормативам бюджетного финансирования общеобразовательных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_dha3ju3oxiyve4wyv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5"/>
        <w:gridCol w:w="5523"/>
      </w:tblGrid>
      <w:tr>
        <w:tc>
          <w:tcPr>
            <w:tcW w:type="dxa" w:w="4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учащихся</w:t>
            </w:r>
          </w:p>
        </w:tc>
        <w:tc>
          <w:tcPr>
            <w:tcW w:type="dxa" w:w="5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коэффициент масштаба школы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145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146 до 190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191 до 235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236 до 275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276 до 450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451 до 550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551 до 775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776 до 990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991 до 1320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1321 человека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pv90bbss6xn_dzdqve9" Type="http://schemas.openxmlformats.org/officeDocument/2006/relationships/hyperlink" Target="http://kodeks.duckdns.org/document/94416" TargetMode="External"/><Relationship Id="rIdgnscp5ya8x4hvp1wgufsy" Type="http://schemas.openxmlformats.org/officeDocument/2006/relationships/hyperlink" Target="http://kodeks.duckdns.org/document/97582" TargetMode="External"/><Relationship Id="rIdwv-my5xniomfpiuhzivpd" Type="http://schemas.openxmlformats.org/officeDocument/2006/relationships/hyperlink" Target="http://kodeks.duckdns.org/document/12226" TargetMode="External"/><Relationship Id="rIdhewoq-u5xgwwhfw976bfz" Type="http://schemas.openxmlformats.org/officeDocument/2006/relationships/hyperlink" Target="http://kodeks.duckdns.org/document/157168" TargetMode="External"/><Relationship Id="rId-xjhej-2exmyxcepbigoj" Type="http://schemas.openxmlformats.org/officeDocument/2006/relationships/hyperlink" Target="http://kodeks.duckdns.org/document/94548#p1" TargetMode="External"/><Relationship Id="rIde8rrfneigs5mn4u_iyvdw" Type="http://schemas.openxmlformats.org/officeDocument/2006/relationships/hyperlink" Target="http://kodeks.duckdns.org/document/157168" TargetMode="External"/><Relationship Id="rIdorj9j5uxfhk5iz0sr4l-p" Type="http://schemas.openxmlformats.org/officeDocument/2006/relationships/hyperlink" Target="http://kodeks.duckdns.org/document/157168" TargetMode="External"/><Relationship Id="rIdgxbdjt-tedvuuatfvkcgv" Type="http://schemas.openxmlformats.org/officeDocument/2006/relationships/hyperlink" Target="http://kodeks.duckdns.org/document/157168" TargetMode="External"/><Relationship Id="rIdka35xdkeep6zkyxekm5tr" Type="http://schemas.openxmlformats.org/officeDocument/2006/relationships/hyperlink" Target="http://kodeks.duckdns.org/document/59373" TargetMode="External"/><Relationship Id="rIde275murw2juqakbghykab" Type="http://schemas.openxmlformats.org/officeDocument/2006/relationships/hyperlink" Target="http://kodeks.duckdns.org/document/1216" TargetMode="External"/><Relationship Id="rIdyvy4xmvmx9taymbmmoden" Type="http://schemas.openxmlformats.org/officeDocument/2006/relationships/hyperlink" Target="http://kodeks.duckdns.org/document/57811" TargetMode="External"/><Relationship Id="rIdkonlqotkslukygudomfx6" Type="http://schemas.openxmlformats.org/officeDocument/2006/relationships/hyperlink" Target="http://kodeks.duckdns.org/document/92158" TargetMode="External"/><Relationship Id="rId_ofa0mjvj3sv8yympnzvm" Type="http://schemas.openxmlformats.org/officeDocument/2006/relationships/hyperlink" Target="http://kodeks.duckdns.org/document/58839" TargetMode="External"/><Relationship Id="rIdmjhduys6p3mhkzlik0nop" Type="http://schemas.openxmlformats.org/officeDocument/2006/relationships/hyperlink" Target="http://kodeks.duckdns.org/document/12226" TargetMode="External"/><Relationship Id="rId9_dha3ju3oxiyve4wyvzc" Type="http://schemas.openxmlformats.org/officeDocument/2006/relationships/hyperlink" Target="http://kodeks.duckdns.org/document/9758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2026-09-23T09:29:30.248Z</dcterms:created>
  <dcterms:modified xsi:type="dcterms:W3CDTF">2026-09-23T09:29:30.248Z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