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постановлением Правительства КР
 от </w:t>
      </w:r>
      <w:hyperlink w:history="1" r:id="rIdbggbjycl9zui2gedazxmq">
        <w:r>
          <w:rPr>
            <w:rFonts w:ascii="Arial" w:cs="Arial" w:eastAsia="Arial" w:hAnsi="Arial"/>
            <w:color w:val="1D4ED8"/>
            <w:sz w:val="24"/>
            <w:szCs w:val="24"/>
            <w:u w:val="single"/>
          </w:rPr>
          <w:t xml:space="preserve">14 августа 2014 года № 469</w:t>
        </w:r>
      </w:hyperlink>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12 июля 2013 года № 408</w:t>
      </w:r>
    </w:p>
    <w:p>
      <w:pPr>
        <w:spacing w:after="120"/>
        <w:jc w:val="both"/>
      </w:pPr>
      <w:r>
        <w:rPr>
          <w:rFonts w:ascii="Arial" w:cs="Arial" w:eastAsia="Arial" w:hAnsi="Arial"/>
          <w:sz w:val="24"/>
          <w:szCs w:val="24"/>
        </w:rPr>
        <w:t xml:space="preserve">О Прогнозе социально-экономического развития Кыргызской Республики на 2014 год и 2015-2016 годы» </w:t>
      </w:r>
    </w:p>
    <w:p>
      <w:pPr>
        <w:spacing w:after="120"/>
        <w:jc w:val="both"/>
      </w:pPr>
      <w:r>
        <w:rPr>
          <w:rFonts w:ascii="Arial" w:cs="Arial" w:eastAsia="Arial" w:hAnsi="Arial"/>
          <w:sz w:val="24"/>
          <w:szCs w:val="24"/>
        </w:rPr>
        <w:t xml:space="preserve">В целях определения макроэкономических параметров развития на 2014 год и 2015-2016 годы и последовательного решения задач социально-экономического развития Кыргызской Республики в среднесрочном периоде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прилагаемый </w:t>
      </w:r>
      <w:hyperlink w:history="1" r:id="rIdwamtftj0cxirauy-9krng">
        <w:r>
          <w:rPr>
            <w:rFonts w:ascii="Arial" w:cs="Arial" w:eastAsia="Arial" w:hAnsi="Arial"/>
            <w:color w:val="1D4ED8"/>
            <w:sz w:val="24"/>
            <w:szCs w:val="24"/>
            <w:u w:val="single"/>
          </w:rPr>
          <w:t xml:space="preserve">Прогноз</w:t>
        </w:r>
      </w:hyperlink>
      <w:r>
        <w:rPr>
          <w:rFonts w:ascii="Arial" w:cs="Arial" w:eastAsia="Arial" w:hAnsi="Arial"/>
          <w:sz w:val="24"/>
          <w:szCs w:val="24"/>
        </w:rPr>
        <w:t xml:space="preserve"> социально-экономического развития Кыргызской Республики на 2014 год и 2015-2016 годы.</w:t>
      </w:r>
    </w:p>
    <w:p>
      <w:pPr>
        <w:spacing w:after="120"/>
        <w:jc w:val="both"/>
      </w:pPr>
      <w:r>
        <w:rPr>
          <w:rFonts w:ascii="Arial" w:cs="Arial" w:eastAsia="Arial" w:hAnsi="Arial"/>
          <w:sz w:val="24"/>
          <w:szCs w:val="24"/>
        </w:rPr>
        <w:t xml:space="preserve">2. Министерству финансов Кыргызской Республики при формировании проекта республиканского бюджета на 2014 год и прогнозе на 2015-2016 годы взять за основу макроэкономические показатели развития Кыргызской Республики на 2014 год и 2015-2016 годы.</w:t>
      </w:r>
    </w:p>
    <w:p>
      <w:pPr>
        <w:spacing w:after="120"/>
        <w:jc w:val="both"/>
      </w:pPr>
      <w:r>
        <w:rPr>
          <w:rFonts w:ascii="Arial" w:cs="Arial" w:eastAsia="Arial" w:hAnsi="Arial"/>
          <w:sz w:val="24"/>
          <w:szCs w:val="24"/>
        </w:rPr>
        <w:t xml:space="preserve">3. Министерствам, государственному комитету, административным ведомствам, аппаратам полномочных представителей Правительства Кыргызской Республики в областях, мэриям городов Бишкек и Ош:</w:t>
      </w:r>
    </w:p>
    <w:p>
      <w:pPr>
        <w:spacing w:after="120"/>
        <w:jc w:val="both"/>
      </w:pPr>
      <w:r>
        <w:rPr>
          <w:rFonts w:ascii="Arial" w:cs="Arial" w:eastAsia="Arial" w:hAnsi="Arial"/>
          <w:sz w:val="24"/>
          <w:szCs w:val="24"/>
        </w:rPr>
        <w:t xml:space="preserve">- на ежемесячной основе осуществлять мониторинг выполнения целевых показателей социально-экономического развития Кыргызской Республики на 2014 год;</w:t>
      </w:r>
    </w:p>
    <w:p>
      <w:pPr>
        <w:spacing w:after="120"/>
        <w:jc w:val="both"/>
      </w:pPr>
      <w:r>
        <w:rPr>
          <w:rFonts w:ascii="Arial" w:cs="Arial" w:eastAsia="Arial" w:hAnsi="Arial"/>
          <w:sz w:val="24"/>
          <w:szCs w:val="24"/>
        </w:rPr>
        <w:t xml:space="preserve">- ежемесячно, не позднее 15 числа месяца, следующего за отчетным месяцем, представлять в Министерство экономики Кыргызской Республики информацию о ходе выполнения целевых показателей социально-экономического развития Кыргызской Республики в 2014 году.</w:t>
      </w:r>
    </w:p>
    <w:p>
      <w:pPr>
        <w:spacing w:after="120"/>
        <w:jc w:val="both"/>
      </w:pPr>
      <w:r>
        <w:rPr>
          <w:rFonts w:ascii="Arial" w:cs="Arial" w:eastAsia="Arial" w:hAnsi="Arial"/>
          <w:sz w:val="24"/>
          <w:szCs w:val="24"/>
        </w:rPr>
        <w:t xml:space="preserve">4. Министерству экономики Кыргызской Республики:</w:t>
      </w:r>
    </w:p>
    <w:p>
      <w:pPr>
        <w:spacing w:after="120"/>
        <w:jc w:val="both"/>
      </w:pPr>
      <w:r>
        <w:rPr>
          <w:rFonts w:ascii="Arial" w:cs="Arial" w:eastAsia="Arial" w:hAnsi="Arial"/>
          <w:sz w:val="24"/>
          <w:szCs w:val="24"/>
        </w:rPr>
        <w:t xml:space="preserve">- ежеквартально обобщать результаты мониторинга выполнения целевых показателей социально-экономического развития Кыргызской Республики министерствами, государственным комитетом, административными ведомствами, аппаратами полномочных представителей Правительства Кыргызской Республики в областях, мэриями городов Бишкек, Ош и не позднее 25 числа месяца, следующего за отчетным кварталом, представлять в Правительство Кыргызской Республики информацию о выполнении целевых показателей социально-экономического развития Кыргызской Республики в 2014 году;</w:t>
      </w:r>
    </w:p>
    <w:p>
      <w:pPr>
        <w:spacing w:after="120"/>
        <w:jc w:val="both"/>
      </w:pPr>
      <w:r>
        <w:rPr>
          <w:rFonts w:ascii="Arial" w:cs="Arial" w:eastAsia="Arial" w:hAnsi="Arial"/>
          <w:sz w:val="24"/>
          <w:szCs w:val="24"/>
        </w:rPr>
        <w:t xml:space="preserve">- опубликовать Прогноз социально-экономического развития Кыргызской Республики на 2014 год и 2015-2016 годы на официальном веб-сайте Министерства экономики Кыргызской Республики.</w:t>
      </w:r>
    </w:p>
    <w:p>
      <w:pPr>
        <w:spacing w:after="120"/>
        <w:jc w:val="both"/>
      </w:pPr>
      <w:r>
        <w:rPr>
          <w:rFonts w:ascii="Arial" w:cs="Arial" w:eastAsia="Arial" w:hAnsi="Arial"/>
          <w:sz w:val="24"/>
          <w:szCs w:val="24"/>
        </w:rPr>
        <w:t xml:space="preserve">5. Признать утратившими силу постановления Правительства Кыргызской Республики:</w:t>
      </w:r>
    </w:p>
    <w:p>
      <w:pPr>
        <w:spacing w:after="120"/>
        <w:jc w:val="both"/>
      </w:pPr>
      <w:r>
        <w:rPr>
          <w:rFonts w:ascii="Arial" w:cs="Arial" w:eastAsia="Arial" w:hAnsi="Arial"/>
          <w:sz w:val="24"/>
          <w:szCs w:val="24"/>
        </w:rPr>
        <w:t xml:space="preserve">- «О Прогнозе социально-экономического развития Кыргызской Республики на 2012 год и прогнозе на 2013-2014 годы» от 13 сентября 2011 года № 553;</w:t>
      </w:r>
    </w:p>
    <w:p>
      <w:pPr>
        <w:spacing w:after="120"/>
        <w:jc w:val="both"/>
      </w:pPr>
      <w:r>
        <w:rPr>
          <w:rFonts w:ascii="Arial" w:cs="Arial" w:eastAsia="Arial" w:hAnsi="Arial"/>
          <w:sz w:val="24"/>
          <w:szCs w:val="24"/>
        </w:rPr>
        <w:t xml:space="preserve">- «О внесении изменений и дополнений в </w:t>
      </w:r>
      <w:hyperlink w:history="1" r:id="rIdjyhg88gkbrplyqonbk_0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Прогнозе социально-экономического развития Кыргызской Республики на 2012 год и прогнозе на 2013-2014 годы» от 13 сентября 2011 года № 553» от 25 октября 2011 года № 668;</w:t>
      </w:r>
    </w:p>
    <w:p>
      <w:pPr>
        <w:spacing w:after="120"/>
        <w:jc w:val="both"/>
      </w:pPr>
      <w:r>
        <w:rPr>
          <w:rFonts w:ascii="Arial" w:cs="Arial" w:eastAsia="Arial" w:hAnsi="Arial"/>
          <w:sz w:val="24"/>
          <w:szCs w:val="24"/>
        </w:rPr>
        <w:t xml:space="preserve">- «О внесении изменений в </w:t>
      </w:r>
      <w:hyperlink w:history="1" r:id="rIdw2bctajlckb1j6hr35ee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Прогнозе социально-экономического развития Кыргызской Республики на 2012 год и прогнозе на 2013-2014 годы» от 13 сентября 2011 года № 553» от 25 января 2012 года № 53;</w:t>
      </w:r>
    </w:p>
    <w:p>
      <w:pPr>
        <w:spacing w:after="120"/>
        <w:jc w:val="both"/>
      </w:pPr>
      <w:r>
        <w:rPr>
          <w:rFonts w:ascii="Arial" w:cs="Arial" w:eastAsia="Arial" w:hAnsi="Arial"/>
          <w:sz w:val="24"/>
          <w:szCs w:val="24"/>
        </w:rPr>
        <w:t xml:space="preserve">- «О внесении изменений в </w:t>
      </w:r>
      <w:hyperlink w:history="1" r:id="rId3n6efihcmsiyeflt_gw_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Прогнозе социально-экономического развития Кыргызской Республики на 2012 год и прогнозе на 2013-2014 годы» от 13 сентября 2011 года № 553» от 15 июня 2012 года № 419.</w:t>
      </w:r>
    </w:p>
    <w:p>
      <w:pPr>
        <w:spacing w:after="120"/>
        <w:jc w:val="both"/>
      </w:pPr>
      <w:r>
        <w:rPr>
          <w:rFonts w:ascii="Arial" w:cs="Arial" w:eastAsia="Arial" w:hAnsi="Arial"/>
          <w:sz w:val="24"/>
          <w:szCs w:val="24"/>
        </w:rPr>
        <w:t xml:space="preserve">6. Контроль за исполнением настоящего постановления возложить на отдел экономики и инвестиций Аппарата Правительства Кыргызской Республики.</w:t>
      </w:r>
    </w:p>
    <w:p>
      <w:pPr>
        <w:spacing w:after="120"/>
        <w:jc w:val="both"/>
      </w:pPr>
      <w:r>
        <w:rPr>
          <w:rFonts w:ascii="Arial" w:cs="Arial" w:eastAsia="Arial" w:hAnsi="Arial"/>
          <w:sz w:val="24"/>
          <w:szCs w:val="24"/>
        </w:rPr>
        <w:t xml:space="preserve">7. Настоящее постановление вступает в силу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Ж. Сатыбалдиев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
 </w:t>
      </w:r>
      <w:hyperlink w:history="1" r:id="rIdgcmomf0af3jnfpyw7buo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12 июля 2013 года № 408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социально-экономического развития Кыргызской Республики на 2014 год и 2015-2016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Введение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Данный прогноз рассчитан на основе анализа тенденций развития экономики по итогам 2012 года, текущей экономической ситуации по предварительным итогам социально-экономического развития Кыргызской Республики за I квартал 2013 года и оценки ожидаемых показателей социально-экономического развития страны в 2013 году. Скорректированы прогнозные параметры социально-экономического развития Кыргызской Республики на 2013 и 2014 годы на основе уточнения и конкретизации тенденций и предпосылок, выявления имеющихся ресурсов и возможных факторов риска.</w:t>
      </w:r>
    </w:p>
    <w:p>
      <w:pPr>
        <w:spacing w:after="120"/>
        <w:jc w:val="both"/>
      </w:pPr>
      <w:r>
        <w:rPr>
          <w:rFonts w:ascii="Arial" w:cs="Arial" w:eastAsia="Arial" w:hAnsi="Arial"/>
          <w:sz w:val="24"/>
          <w:szCs w:val="24"/>
        </w:rPr>
        <w:t xml:space="preserve">Определены основные направления развития ключевых секторов экономики на 2014 год, включая детализированное описание их прогнозных значений, описаны перспективы развития экономики страны в 2015-2016 годах, построенные на базе официальных прогнозов отраслевых министерств, ведомств и текущих тенденций. Обозначены внешние, внутренние факторы и возможные риски.</w:t>
      </w:r>
    </w:p>
    <w:p>
      <w:pPr>
        <w:spacing w:after="120"/>
        <w:jc w:val="both"/>
      </w:pPr>
      <w:r>
        <w:rPr>
          <w:rFonts w:ascii="Arial" w:cs="Arial" w:eastAsia="Arial" w:hAnsi="Arial"/>
          <w:sz w:val="24"/>
          <w:szCs w:val="24"/>
        </w:rPr>
        <w:t xml:space="preserve">Прогноз социально-экономического развития Кыргызской Республики на 2014 год разработан с учетом ориентиров Национальной стратегии устойчивого развития Кыргызской Республики на период 2013-2017 годы, утвержденной Указом Президента Кыргызской Республики от 21 января 2013 года № 11, программ Правительства Кыргызской Республики и является основой для разработки проекта государственного бюджета на 2014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Обзор макроэкономической ситуации за 2012 год и итогов социально-экономического развития Кыргызской Республики за I квартал 2013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Краткий обзор макроэкономической ситуации за 2012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Социально-экономическое развитие Кыргызской Республики в 2012 году происходило в условиях нарастающей неопределенности на мировых рынках, неустойчивости мировой экономики, которая характеризовалась замедлением экономического роста и долговым кризисом в ряде стран еврозоны, что создавало риски для всех участников рынка, в том числе и для основных торговых партнеров - России, Казахстана и Китая. При этом, негативное влияние внутренних факторов на экономику страны в 2012 году оказалось более значимым, чем воздействие внешних факторов.</w:t>
      </w:r>
    </w:p>
    <w:p>
      <w:pPr>
        <w:spacing w:after="120"/>
        <w:jc w:val="both"/>
      </w:pPr>
      <w:r>
        <w:rPr>
          <w:rFonts w:ascii="Arial" w:cs="Arial" w:eastAsia="Arial" w:hAnsi="Arial"/>
          <w:sz w:val="24"/>
          <w:szCs w:val="24"/>
        </w:rPr>
        <w:t xml:space="preserve">По итогам 2012 года объем валового внутреннего продукта (ВВП), по предварительной оценке Национального статистического комитета Кыргызской Республики, сложился в сумме 304,4 млрд. сомов и реальное сокращение производства в экономике составило-0,9%, против реального прироста 6,0% в 2011 году. Без учета предприятий по разработке месторождения Кумтор, реальный прирост ВВП составил 5,0%, за 2011 год аналогичный показатель составлял 6,3%. Дефлятор ВВП сложился на уровне 107,4%. В расчете на душу населения объем ВВП составил 56,9 тыс. сомов и по сравнению с 2011 годом сократился на 2,6%.</w:t>
      </w:r>
    </w:p>
    <w:p>
      <w:pPr>
        <w:spacing w:after="120"/>
        <w:jc w:val="both"/>
      </w:pPr>
      <w:r>
        <w:rPr>
          <w:rFonts w:ascii="Arial" w:cs="Arial" w:eastAsia="Arial" w:hAnsi="Arial"/>
          <w:sz w:val="24"/>
          <w:szCs w:val="24"/>
        </w:rPr>
        <w:t xml:space="preserve">Главной причиной экономического спада в Кыргызской Республике стало фактическое снижение производства золота на половину прогнозируемого уровня из-за влияния геологических факторов на руднике Кумтор, а также негативного воздействия природно-климатических условий на аграрный сектор. Отрицательный вклад в формирование ВВП со стороны промышленного производства оценивается на уровне (-) 4,6 процентного пункта.</w:t>
      </w:r>
    </w:p>
    <w:p>
      <w:pPr>
        <w:spacing w:after="120"/>
        <w:jc w:val="both"/>
      </w:pPr>
      <w:r>
        <w:rPr>
          <w:rFonts w:ascii="Arial" w:cs="Arial" w:eastAsia="Arial" w:hAnsi="Arial"/>
          <w:sz w:val="24"/>
          <w:szCs w:val="24"/>
        </w:rPr>
        <w:t xml:space="preserve">Основным сектором, сдерживающим значительный спад экономики, стала сфера услуг, вклад которой оценивается в 2,8 процентного пункта. Реальный прирост сферы услуг с начала года составил 6,1%, удельный вес ее в структуре производства ВВП составил 46,6%.</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Структура и темпы роста по секторам, формирующим ВВП1</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14"/>
        <w:gridCol w:w="1079"/>
        <w:gridCol w:w="1079"/>
        <w:gridCol w:w="1079"/>
        <w:gridCol w:w="1082"/>
        <w:gridCol w:w="1082"/>
        <w:gridCol w:w="1082"/>
        <w:gridCol w:w="1082"/>
      </w:tblGrid>
      <w:tr>
        <w:tc>
          <w:tcPr>
            <w:tcW w:type="dxa" w:w="261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37"/>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 год (факт.)</w:t>
            </w:r>
          </w:p>
        </w:tc>
        <w:tc>
          <w:tcPr>
            <w:tcW w:type="dxa" w:w="4328"/>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год (предв. факт.)</w:t>
            </w:r>
          </w:p>
        </w:tc>
      </w:tr>
      <w:tr>
        <w:tc>
          <w:tcPr>
            <w:tcW w:type="dxa" w:w="26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Показатели</w:t>
            </w:r>
          </w:p>
        </w:tc>
        <w:tc>
          <w:tcPr>
            <w:tcW w:type="dxa" w:w="10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млн. сомов</w:t>
            </w:r>
          </w:p>
        </w:tc>
        <w:tc>
          <w:tcPr>
            <w:tcW w:type="dxa" w:w="10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0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 к ВВП</w:t>
            </w:r>
          </w:p>
        </w:tc>
        <w:tc>
          <w:tcPr>
            <w:tcW w:type="dxa" w:w="10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млн. сомов</w:t>
            </w:r>
          </w:p>
        </w:tc>
        <w:tc>
          <w:tcPr>
            <w:tcW w:type="dxa" w:w="10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0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 к ВВП</w:t>
            </w:r>
          </w:p>
        </w:tc>
        <w:tc>
          <w:tcPr>
            <w:tcW w:type="dxa" w:w="10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вклада в рост ВВП, п.п.</w:t>
            </w:r>
          </w:p>
        </w:tc>
      </w:tr>
      <w:tr>
        <w:tc>
          <w:tcPr>
            <w:tcW w:type="dxa" w:w="26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w:t>
            </w:r>
          </w:p>
        </w:tc>
        <w:tc>
          <w:tcPr>
            <w:tcW w:type="dxa" w:w="10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285989,1</w:t>
            </w:r>
          </w:p>
        </w:tc>
        <w:tc>
          <w:tcPr>
            <w:tcW w:type="dxa" w:w="10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10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0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304350,1</w:t>
            </w:r>
          </w:p>
        </w:tc>
        <w:tc>
          <w:tcPr>
            <w:tcW w:type="dxa" w:w="10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99,1</w:t>
            </w:r>
          </w:p>
        </w:tc>
        <w:tc>
          <w:tcPr>
            <w:tcW w:type="dxa" w:w="10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0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w:t>
            </w:r>
          </w:p>
        </w:tc>
      </w:tr>
      <w:tr>
        <w:tc>
          <w:tcPr>
            <w:tcW w:type="dxa" w:w="26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10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47384,9</w:t>
            </w:r>
          </w:p>
        </w:tc>
        <w:tc>
          <w:tcPr>
            <w:tcW w:type="dxa" w:w="10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101,8</w:t>
            </w:r>
          </w:p>
        </w:tc>
        <w:tc>
          <w:tcPr>
            <w:tcW w:type="dxa" w:w="10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16,6</w:t>
            </w:r>
          </w:p>
        </w:tc>
        <w:tc>
          <w:tcPr>
            <w:tcW w:type="dxa" w:w="10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53190,1</w:t>
            </w:r>
          </w:p>
        </w:tc>
        <w:tc>
          <w:tcPr>
            <w:tcW w:type="dxa" w:w="10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w:t>
            </w:r>
          </w:p>
        </w:tc>
        <w:tc>
          <w:tcPr>
            <w:tcW w:type="dxa" w:w="10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w:t>
            </w:r>
          </w:p>
        </w:tc>
        <w:tc>
          <w:tcPr>
            <w:tcW w:type="dxa" w:w="10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w:t>
            </w:r>
          </w:p>
        </w:tc>
      </w:tr>
      <w:tr>
        <w:tc>
          <w:tcPr>
            <w:tcW w:type="dxa" w:w="26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10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64308,2</w:t>
            </w:r>
          </w:p>
        </w:tc>
        <w:tc>
          <w:tcPr>
            <w:tcW w:type="dxa" w:w="10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108,1</w:t>
            </w:r>
          </w:p>
        </w:tc>
        <w:tc>
          <w:tcPr>
            <w:tcW w:type="dxa" w:w="10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22,5</w:t>
            </w:r>
          </w:p>
        </w:tc>
        <w:tc>
          <w:tcPr>
            <w:tcW w:type="dxa" w:w="10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51180,4</w:t>
            </w:r>
          </w:p>
        </w:tc>
        <w:tc>
          <w:tcPr>
            <w:tcW w:type="dxa" w:w="10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79,4</w:t>
            </w:r>
          </w:p>
        </w:tc>
        <w:tc>
          <w:tcPr>
            <w:tcW w:type="dxa" w:w="10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w:t>
            </w:r>
          </w:p>
        </w:tc>
        <w:tc>
          <w:tcPr>
            <w:tcW w:type="dxa" w:w="10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-4,64</w:t>
            </w:r>
          </w:p>
        </w:tc>
      </w:tr>
      <w:tr>
        <w:tc>
          <w:tcPr>
            <w:tcW w:type="dxa" w:w="26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0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14078,3</w:t>
            </w:r>
          </w:p>
        </w:tc>
        <w:tc>
          <w:tcPr>
            <w:tcW w:type="dxa" w:w="10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c>
          <w:tcPr>
            <w:tcW w:type="dxa" w:w="10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w:t>
            </w:r>
          </w:p>
        </w:tc>
        <w:tc>
          <w:tcPr>
            <w:tcW w:type="dxa" w:w="10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17234,2</w:t>
            </w:r>
          </w:p>
        </w:tc>
        <w:tc>
          <w:tcPr>
            <w:tcW w:type="dxa" w:w="10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117,3</w:t>
            </w:r>
          </w:p>
        </w:tc>
        <w:tc>
          <w:tcPr>
            <w:tcW w:type="dxa" w:w="10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w:t>
            </w:r>
          </w:p>
        </w:tc>
        <w:tc>
          <w:tcPr>
            <w:tcW w:type="dxa" w:w="10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0,85</w:t>
            </w:r>
          </w:p>
        </w:tc>
      </w:tr>
      <w:tr>
        <w:tc>
          <w:tcPr>
            <w:tcW w:type="dxa" w:w="26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Услуги</w:t>
            </w:r>
          </w:p>
        </w:tc>
        <w:tc>
          <w:tcPr>
            <w:tcW w:type="dxa" w:w="10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128650,1</w:t>
            </w:r>
          </w:p>
        </w:tc>
        <w:tc>
          <w:tcPr>
            <w:tcW w:type="dxa" w:w="10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c>
          <w:tcPr>
            <w:tcW w:type="dxa" w:w="10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45.0</w:t>
            </w:r>
          </w:p>
        </w:tc>
        <w:tc>
          <w:tcPr>
            <w:tcW w:type="dxa" w:w="10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141887,2</w:t>
            </w:r>
          </w:p>
        </w:tc>
        <w:tc>
          <w:tcPr>
            <w:tcW w:type="dxa" w:w="10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c>
          <w:tcPr>
            <w:tcW w:type="dxa" w:w="10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46,6</w:t>
            </w:r>
          </w:p>
        </w:tc>
        <w:tc>
          <w:tcPr>
            <w:tcW w:type="dxa" w:w="10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2,79</w:t>
            </w:r>
          </w:p>
        </w:tc>
      </w:tr>
      <w:tr>
        <w:tc>
          <w:tcPr>
            <w:tcW w:type="dxa" w:w="26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Чистые налоги на продукты и импорт</w:t>
            </w:r>
          </w:p>
        </w:tc>
        <w:tc>
          <w:tcPr>
            <w:tcW w:type="dxa" w:w="10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31567,6</w:t>
            </w:r>
          </w:p>
        </w:tc>
        <w:tc>
          <w:tcPr>
            <w:tcW w:type="dxa" w:w="10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10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10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40858,2</w:t>
            </w:r>
          </w:p>
        </w:tc>
        <w:tc>
          <w:tcPr>
            <w:tcW w:type="dxa" w:w="10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99,1</w:t>
            </w:r>
          </w:p>
        </w:tc>
        <w:tc>
          <w:tcPr>
            <w:tcW w:type="dxa" w:w="10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w:t>
            </w:r>
          </w:p>
        </w:tc>
        <w:tc>
          <w:tcPr>
            <w:tcW w:type="dxa" w:w="10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Инфляционное давление в 2012 году сохранилось, его основными факторами были неустойчивость ситуации на мировых товарно-сырьевых рынках и рост бюджетного дефицита. Среднедневной уровень избыточных резервов банковской системы в 2012 году вырос до 2,1 млрд., сомов с уровня 1,6 млрд. сомов в 2011 году. В этой связи Национальный банк Кыргызской Республики (далее - НБКР) проводил жесткую денежно-кредитную политику. В течение года НБКР, в целях ограничения монетарной составляющей инфляции, увеличивал объемы операций по стерилизации избыточной ликвидности как посредством продажи нот НБКР, так и через продажу государственных ценных бумаг на условиях репо. Так, объем нот НБКР в обращении вырос с 1,4 млрд. сомов на конец 2011 года до 3,1 млрд. сомов на конец 2012 года, объем ГЦБ в обращении, проданных на условиях репо, вырос с 0,2 млрд. сомов на конец 2011 года до 0,8 млрд. сомов на конец 2012 года.</w:t>
      </w:r>
    </w:p>
    <w:p>
      <w:pPr>
        <w:spacing w:after="120"/>
        <w:jc w:val="both"/>
      </w:pPr>
      <w:r>
        <w:rPr>
          <w:rFonts w:ascii="Arial" w:cs="Arial" w:eastAsia="Arial" w:hAnsi="Arial"/>
          <w:sz w:val="24"/>
          <w:szCs w:val="24"/>
        </w:rPr>
        <w:t xml:space="preserve">Прирост индекса потребительских цен, характеризующий уровень'' инфляции, с начала -2012 года составил 7,5% (декабрь 2012 года к декабрю 2011 года), за аналогичный период 2011 года - 5,7%. Среднегодовая инфляция составила 2,8%, в то время как аналогичный показатель 2011 года составлял 16,6%.</w:t>
      </w:r>
    </w:p>
    <w:p>
      <w:pPr>
        <w:spacing w:after="120"/>
        <w:jc w:val="both"/>
      </w:pPr>
      <w:r>
        <w:rPr>
          <w:rFonts w:ascii="Arial" w:cs="Arial" w:eastAsia="Arial" w:hAnsi="Arial"/>
          <w:sz w:val="24"/>
          <w:szCs w:val="24"/>
        </w:rPr>
        <w:t xml:space="preserve">Учетная ставка за год снизилась с 13,61% до 2,64%. В 2012 году прирост кредита в экономику составил 26,2%, при этом кредитование в национальной валюте увеличилось на 27,9%, а в иностранной валюте - на 24,6% (в 2011 году - на 21,9% и 19,9%, соответственно).</w:t>
      </w:r>
    </w:p>
    <w:p>
      <w:pPr>
        <w:spacing w:after="120"/>
        <w:jc w:val="both"/>
      </w:pPr>
      <w:r>
        <w:rPr>
          <w:rFonts w:ascii="Arial" w:cs="Arial" w:eastAsia="Arial" w:hAnsi="Arial"/>
          <w:sz w:val="24"/>
          <w:szCs w:val="24"/>
        </w:rPr>
        <w:t xml:space="preserve">В рамках государственной программы поддержки сектора сельского хозяйства «Доступные кредиты фермерам (ДКФ)-2» в 2012 году было выдано 6,3 тыс. льготных кредитов на общую сумму 700,4 млн. сомов из 1 млрд. сомов, выделенных на данные цели средств, В долевом выражении кредиты по проекту ДКФ-2 заняли 1,8% в общем объеме выданных кредитов за рассматриваемый период.</w:t>
      </w:r>
    </w:p>
    <w:p>
      <w:pPr>
        <w:spacing w:after="120"/>
        <w:jc w:val="both"/>
      </w:pPr>
      <w:r>
        <w:rPr>
          <w:rFonts w:ascii="Arial" w:cs="Arial" w:eastAsia="Arial" w:hAnsi="Arial"/>
          <w:sz w:val="24"/>
          <w:szCs w:val="24"/>
        </w:rPr>
        <w:t xml:space="preserve">Денежная база по результатам года сложилась на уровне 64,5 млрд. сомов, увеличившись на 17,7% (в 2011 году прирост денежной базы составил 12,8%). Объем широкой денежной массы М2Х за 2012 год увеличился на 23,8%, составив 98,5 млрд. сомов (в 2011 году - на 14,9%).</w:t>
      </w:r>
    </w:p>
    <w:p>
      <w:pPr>
        <w:spacing w:after="120"/>
        <w:jc w:val="both"/>
      </w:pPr>
      <w:r>
        <w:rPr>
          <w:rFonts w:ascii="Arial" w:cs="Arial" w:eastAsia="Arial" w:hAnsi="Arial"/>
          <w:sz w:val="24"/>
          <w:szCs w:val="24"/>
        </w:rPr>
        <w:t xml:space="preserve">В 2012 году на межбанковском валютном рынке спрос и предложение иностранной валюты были во многом сбалансированы, что позволило НБКР снизить свое присутствие на валютном рынке. Так, валовой объем валютных интервенций за 2012 год составил 47,9 млн. долларов США, тогда как в 2011 году - 401,6 млн. долларов США. На конец 2012 года обменный курс доллара США по отношению к сому с начала года повысился на 1,97% (в 2011 году наблюдалось снижение обменного курса на 1,30%).</w:t>
      </w:r>
    </w:p>
    <w:p>
      <w:pPr>
        <w:spacing w:after="120"/>
        <w:jc w:val="both"/>
      </w:pPr>
      <w:r>
        <w:rPr>
          <w:rFonts w:ascii="Arial" w:cs="Arial" w:eastAsia="Arial" w:hAnsi="Arial"/>
          <w:sz w:val="24"/>
          <w:szCs w:val="24"/>
        </w:rPr>
        <w:t xml:space="preserve">Уровень капитализации экономики повысился с 16,6% в 2011 году до 20,6% в 2012 году, в основном, за счет увеличения объемов иностранных кредитов - в 1,5 раза, а также прямых иностранных инвестиций - в 2 раза.</w:t>
      </w:r>
    </w:p>
    <w:p>
      <w:pPr>
        <w:spacing w:after="120"/>
        <w:jc w:val="both"/>
      </w:pPr>
      <w:r>
        <w:rPr>
          <w:rFonts w:ascii="Arial" w:cs="Arial" w:eastAsia="Arial" w:hAnsi="Arial"/>
          <w:sz w:val="24"/>
          <w:szCs w:val="24"/>
        </w:rPr>
        <w:t xml:space="preserve">Особенностью 2012 года оставался высокий уровень потребления населения. Относительно уверенный рост потребительских расходов в 2012 году на 17,3% обеспечил снижение нормы сбережения домашних хозяйств и рост заработной платы. Доля частного потребления выросла и составила 97,5% (табл. 2) за счет роста среднемесячной номинальной заработной платы на 19,2%, или реального прироста на 16,0%, увеличения притока денежных переводов физических лиц на 17,5%, а также ускорения темпов потребительского кредитования на 26,0%, что привело к повышению его доли с 0,6% до 10,9%.</w:t>
      </w:r>
    </w:p>
    <w:p>
      <w:pPr>
        <w:spacing w:after="120"/>
        <w:jc w:val="both"/>
      </w:pPr>
      <w:r>
        <w:rPr>
          <w:rFonts w:ascii="Arial" w:cs="Arial" w:eastAsia="Arial" w:hAnsi="Arial"/>
          <w:sz w:val="24"/>
          <w:szCs w:val="24"/>
        </w:rPr>
        <w:t xml:space="preserve">Удельный вес государственного потребления в структуре использования ВВП составил 19,8% против 18,2% в 2011 году, где рост доли, в основном, связан с повышением оплаты труда работников социальной сферы и силовых структур.</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ВВП по использованию (в % к ВВП)</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91"/>
        <w:gridCol w:w="2143"/>
        <w:gridCol w:w="2143"/>
      </w:tblGrid>
      <w:tr>
        <w:tc>
          <w:tcPr>
            <w:tcW w:type="dxa" w:w="5891"/>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Показатели</w:t>
            </w:r>
          </w:p>
        </w:tc>
        <w:tc>
          <w:tcPr>
            <w:tcW w:type="dxa" w:w="214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 г.</w:t>
            </w:r>
          </w:p>
        </w:tc>
        <w:tc>
          <w:tcPr>
            <w:tcW w:type="dxa" w:w="214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r>
      <w:tr>
        <w:tc>
          <w:tcPr>
            <w:vMerge w:val="continue"/>
            <w:tcBorders>
              <w:top w:val="single" w:color="CBBF9E" w:sz="4"/>
              <w:left w:val="single" w:color="CBBF9E" w:sz="4"/>
              <w:bottom w:val="single" w:color="CBBF9E" w:sz="4"/>
              <w:right w:val="single" w:color="CBBF9E" w:sz="4"/>
            </w:tcBorders>
          </w:tcPr>
          <w:p/>
        </w:tc>
        <w:tc>
          <w:tcPr>
            <w:tcW w:type="dxa" w:w="21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факт.</w:t>
            </w:r>
          </w:p>
        </w:tc>
        <w:tc>
          <w:tcPr>
            <w:tcW w:type="dxa" w:w="21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предв. факт.</w:t>
            </w:r>
          </w:p>
        </w:tc>
      </w:tr>
      <w:tr>
        <w:tc>
          <w:tcPr>
            <w:tcW w:type="dxa" w:w="58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Потребление</w:t>
            </w:r>
          </w:p>
        </w:tc>
        <w:tc>
          <w:tcPr>
            <w:tcW w:type="dxa" w:w="21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101,6</w:t>
            </w:r>
          </w:p>
        </w:tc>
        <w:tc>
          <w:tcPr>
            <w:tcW w:type="dxa" w:w="21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117,3</w:t>
            </w:r>
          </w:p>
        </w:tc>
      </w:tr>
      <w:tr>
        <w:tc>
          <w:tcPr>
            <w:tcW w:type="dxa" w:w="58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Государственное</w:t>
            </w:r>
          </w:p>
        </w:tc>
        <w:tc>
          <w:tcPr>
            <w:tcW w:type="dxa" w:w="21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18,2</w:t>
            </w:r>
          </w:p>
        </w:tc>
        <w:tc>
          <w:tcPr>
            <w:tcW w:type="dxa" w:w="21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19,8</w:t>
            </w:r>
          </w:p>
        </w:tc>
      </w:tr>
      <w:tr>
        <w:tc>
          <w:tcPr>
            <w:tcW w:type="dxa" w:w="58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Частное</w:t>
            </w:r>
          </w:p>
        </w:tc>
        <w:tc>
          <w:tcPr>
            <w:tcW w:type="dxa" w:w="21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83,4</w:t>
            </w:r>
          </w:p>
        </w:tc>
        <w:tc>
          <w:tcPr>
            <w:tcW w:type="dxa" w:w="21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97,5</w:t>
            </w:r>
          </w:p>
        </w:tc>
      </w:tr>
      <w:tr>
        <w:tc>
          <w:tcPr>
            <w:tcW w:type="dxa" w:w="58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Валовые инвестиции</w:t>
            </w:r>
          </w:p>
        </w:tc>
        <w:tc>
          <w:tcPr>
            <w:tcW w:type="dxa" w:w="21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25,5</w:t>
            </w:r>
          </w:p>
        </w:tc>
        <w:tc>
          <w:tcPr>
            <w:tcW w:type="dxa" w:w="21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32,9</w:t>
            </w:r>
          </w:p>
        </w:tc>
      </w:tr>
      <w:tr>
        <w:tc>
          <w:tcPr>
            <w:tcW w:type="dxa" w:w="58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Государственные инвестиции</w:t>
            </w:r>
          </w:p>
        </w:tc>
        <w:tc>
          <w:tcPr>
            <w:tcW w:type="dxa" w:w="21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w:t>
            </w:r>
          </w:p>
        </w:tc>
        <w:tc>
          <w:tcPr>
            <w:tcW w:type="dxa" w:w="21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w:t>
            </w:r>
          </w:p>
        </w:tc>
      </w:tr>
      <w:tr>
        <w:tc>
          <w:tcPr>
            <w:tcW w:type="dxa" w:w="58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них ПГИ (внешние)</w:t>
            </w:r>
          </w:p>
        </w:tc>
        <w:tc>
          <w:tcPr>
            <w:tcW w:type="dxa" w:w="21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21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w:t>
            </w:r>
          </w:p>
        </w:tc>
      </w:tr>
      <w:tr>
        <w:tc>
          <w:tcPr>
            <w:tcW w:type="dxa" w:w="58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Частные инвестиции</w:t>
            </w:r>
          </w:p>
        </w:tc>
        <w:tc>
          <w:tcPr>
            <w:tcW w:type="dxa" w:w="21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20,6</w:t>
            </w:r>
          </w:p>
        </w:tc>
        <w:tc>
          <w:tcPr>
            <w:tcW w:type="dxa" w:w="21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26,7</w:t>
            </w:r>
          </w:p>
        </w:tc>
      </w:tr>
      <w:tr>
        <w:tc>
          <w:tcPr>
            <w:tcW w:type="dxa" w:w="58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Экспорт (товары и услуги)</w:t>
            </w:r>
          </w:p>
        </w:tc>
        <w:tc>
          <w:tcPr>
            <w:tcW w:type="dxa" w:w="21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54,5</w:t>
            </w:r>
          </w:p>
        </w:tc>
        <w:tc>
          <w:tcPr>
            <w:tcW w:type="dxa" w:w="21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49,5</w:t>
            </w:r>
          </w:p>
        </w:tc>
      </w:tr>
      <w:tr>
        <w:tc>
          <w:tcPr>
            <w:tcW w:type="dxa" w:w="58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Импорт (товары и услуги)</w:t>
            </w:r>
          </w:p>
        </w:tc>
        <w:tc>
          <w:tcPr>
            <w:tcW w:type="dxa" w:w="21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81,6</w:t>
            </w:r>
          </w:p>
        </w:tc>
        <w:tc>
          <w:tcPr>
            <w:tcW w:type="dxa" w:w="21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99,7</w:t>
            </w:r>
          </w:p>
        </w:tc>
      </w:tr>
      <w:tr>
        <w:tc>
          <w:tcPr>
            <w:tcW w:type="dxa" w:w="58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Чистый экспорт</w:t>
            </w:r>
          </w:p>
        </w:tc>
        <w:tc>
          <w:tcPr>
            <w:tcW w:type="dxa" w:w="21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w:t>
            </w:r>
          </w:p>
        </w:tc>
        <w:tc>
          <w:tcPr>
            <w:tcW w:type="dxa" w:w="21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-50,2</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Объем внешнеторгового оборота, характеризующий показатель открытости экономики страны, за 2012 год составил 7267,7 млн. долларов США, что выше уровня 2011 года на 11,8%, в том числе экспорт - 1893,8 млн. долларов США (снижение на 15,5%), импорт - 5373,9 млн. долларов США (рост на 26,1%). Экспортные поставки за 2012 год по сравнению с 2011 годом уменьшились за счет сокращения экспорта золота в 1,8 раза из-за снижения объемов производства в металлургическом производстве. Без учета золота, объем экспорта за 2012 год увеличился на 7,7% и составил 1331,5 млн. долларов США.</w:t>
      </w:r>
    </w:p>
    <w:p>
      <w:pPr>
        <w:spacing w:after="120"/>
        <w:jc w:val="both"/>
      </w:pPr>
      <w:r>
        <w:rPr>
          <w:rFonts w:ascii="Arial" w:cs="Arial" w:eastAsia="Arial" w:hAnsi="Arial"/>
          <w:sz w:val="24"/>
          <w:szCs w:val="24"/>
        </w:rPr>
        <w:t xml:space="preserve">Сальдо торгового баланса сложилось отрицательным и составило 3480,1 млн., долларов США, что выше по сравнению с 2011 годом на 72,4%. Это связано с тем, что в структуре импорта почти 40% занимают инвестиционные и промежуточные товары (машины, оборудование, сырье, материалы и комплектующие изделия, нефтепродукты, газ, уголь), которые необходимы для производственных целей.</w:t>
      </w:r>
    </w:p>
    <w:p>
      <w:pPr>
        <w:spacing w:after="120"/>
        <w:jc w:val="both"/>
      </w:pPr>
      <w:r>
        <w:rPr>
          <w:rFonts w:ascii="Arial" w:cs="Arial" w:eastAsia="Arial" w:hAnsi="Arial"/>
          <w:sz w:val="24"/>
          <w:szCs w:val="24"/>
        </w:rPr>
        <w:t xml:space="preserve">Отрицательное сальдо чистого экспорта товаров и услуг к ВВП увеличилось с (-) 27,1% 2011 году до (-) 50,2% в 2012 году.</w:t>
      </w:r>
    </w:p>
    <w:p>
      <w:pPr>
        <w:spacing w:after="120"/>
        <w:jc w:val="both"/>
      </w:pPr>
      <w:r>
        <w:rPr>
          <w:rFonts w:ascii="Arial" w:cs="Arial" w:eastAsia="Arial" w:hAnsi="Arial"/>
          <w:sz w:val="24"/>
          <w:szCs w:val="24"/>
        </w:rPr>
        <w:t xml:space="preserve">Общие доходы бюджета возросли на 12,1% по сравнению с показателями 2011 года и составили 86,8 млрд. сомов, доля к ВВП - 28,5%. В соответствии с установленными параметрами на 2012 год обеспечено полное и своевременное финансирование социальных гарантий государства (законы Кыргызской Республики «О республиканском бюджете Кыргызской Республики на 2012 год и прогнозе на 2013-2014 годы» и «О бюджете Социального фонда Кыргызской Республики на 2012 год и прогнозе на 2013-2014 годы»).</w:t>
      </w:r>
    </w:p>
    <w:p>
      <w:pPr>
        <w:spacing w:after="120"/>
        <w:jc w:val="both"/>
      </w:pPr>
      <w:r>
        <w:rPr>
          <w:rFonts w:ascii="Arial" w:cs="Arial" w:eastAsia="Arial" w:hAnsi="Arial"/>
          <w:sz w:val="24"/>
          <w:szCs w:val="24"/>
        </w:rPr>
        <w:t xml:space="preserve">С 1 ноября 2012 года средний размер пенсии составил 4270 сомов, с учетом компенсационных выплат за электроэнергию. Двухэтапное повышение пенсии в 2012 году позволило увеличить ее по сравнению с прошлым годом на 13,5%, а рост составил 105,8%. По итогам 2012 года средний размер пенсии с учетом компенсаций за электроэнергию составил 4192 сома.</w:t>
      </w:r>
    </w:p>
    <w:p>
      <w:pPr>
        <w:spacing w:after="120"/>
        <w:jc w:val="both"/>
      </w:pPr>
      <w:r>
        <w:rPr>
          <w:rFonts w:ascii="Arial" w:cs="Arial" w:eastAsia="Arial" w:hAnsi="Arial"/>
          <w:sz w:val="24"/>
          <w:szCs w:val="24"/>
        </w:rPr>
        <w:t xml:space="preserve">Среднемесячная номинальная заработная плата одного работника в 2012 году составила 11090 сомов и по сравнению с 2011 годом увеличилась на 19,2%.</w:t>
      </w:r>
    </w:p>
    <w:p>
      <w:pPr>
        <w:spacing w:after="120"/>
        <w:jc w:val="both"/>
      </w:pPr>
      <w:r>
        <w:rPr>
          <w:rFonts w:ascii="Arial" w:cs="Arial" w:eastAsia="Arial" w:hAnsi="Arial"/>
          <w:sz w:val="24"/>
          <w:szCs w:val="24"/>
        </w:rPr>
        <w:t xml:space="preserve">В среднем за 2012 год прожиточный минимум оказался на уровне 4341,2 сома. Средний размер заработной платы почти в 2,5 раза покрывает величину прожиточного минимума.</w:t>
      </w:r>
    </w:p>
    <w:p>
      <w:pPr>
        <w:spacing w:after="120"/>
        <w:jc w:val="both"/>
      </w:pPr>
      <w:r>
        <w:rPr>
          <w:rFonts w:ascii="Arial" w:cs="Arial" w:eastAsia="Arial" w:hAnsi="Arial"/>
          <w:sz w:val="24"/>
          <w:szCs w:val="24"/>
        </w:rPr>
        <w:t xml:space="preserve">За 2012 год удельный вес расходов из республиканского бюджета на социальную сферу составил 45,2% (удельный вес за 2011 год составил 40,1%).</w:t>
      </w:r>
    </w:p>
    <w:p>
      <w:pPr>
        <w:spacing w:after="120"/>
        <w:jc w:val="both"/>
      </w:pPr>
      <w:r>
        <w:rPr>
          <w:rFonts w:ascii="Arial" w:cs="Arial" w:eastAsia="Arial" w:hAnsi="Arial"/>
          <w:sz w:val="24"/>
          <w:szCs w:val="24"/>
        </w:rPr>
        <w:t xml:space="preserve">По предварительным данным, общий дефицит государственного бюджета за 2012 год составил 20 232,1 млн. сомов (6,6% к ВВП).</w:t>
      </w:r>
    </w:p>
    <w:p>
      <w:pPr>
        <w:spacing w:after="120"/>
        <w:jc w:val="both"/>
      </w:pPr>
      <w:r>
        <w:rPr>
          <w:rFonts w:ascii="Arial" w:cs="Arial" w:eastAsia="Arial" w:hAnsi="Arial"/>
          <w:sz w:val="24"/>
          <w:szCs w:val="24"/>
        </w:rPr>
        <w:t xml:space="preserve">Общий уровень безработицы за 2012 год не изменился, составив 8,4%.</w:t>
      </w:r>
    </w:p>
    <w:p>
      <w:pPr>
        <w:spacing w:after="120"/>
        <w:jc w:val="both"/>
      </w:pPr>
      <w:r>
        <w:rPr>
          <w:rFonts w:ascii="Arial" w:cs="Arial" w:eastAsia="Arial" w:hAnsi="Arial"/>
          <w:sz w:val="24"/>
          <w:szCs w:val="24"/>
        </w:rPr>
        <w:t xml:space="preserve">Демографическая ситуация в 2012 году характеризовалась значительным снижением внешней миграционной активности населения. Так, в республику на постоянное место жительства прибыло 5532 чел., выбыло 13019 чел., миграционный отток составил (-) 7487 чел. По-прежнему, наиболее высокая интенсивность выбытия по внешней миграции отмечается в Чуйской (55,8 чел. на 10 тыс. жителей) и Таласской (23,3 чел. на 10 тыс. жителей) областях, а также в гор. Бишкек (37,6 чел. на 10 тыс., жителей).</w:t>
      </w:r>
    </w:p>
    <w:p>
      <w:pPr>
        <w:spacing w:after="120"/>
        <w:jc w:val="both"/>
      </w:pPr>
      <w:r>
        <w:rPr>
          <w:rFonts w:ascii="Arial" w:cs="Arial" w:eastAsia="Arial" w:hAnsi="Arial"/>
          <w:sz w:val="24"/>
          <w:szCs w:val="24"/>
        </w:rPr>
        <w:t xml:space="preserve">Объем трансфертов от деятельности трудовых мигрантов имеет тенденцию роста с 2010 года, и в 2012 году чистый приток денежных переводов составил 1768,5 млн. долларов США2, где основная доля поступивших переводов приходится на Российскую Федерацию (90,0%). По данным Федеральной миграционной службы России, за последние годы наблюдается тенденция снижения численности трудовых мигрантов в Россию из Кыргызской Республики, что обусловлено ужесточение российского миграционного законодательства.</w:t>
      </w:r>
    </w:p>
    <w:p>
      <w:pPr>
        <w:spacing w:after="120"/>
        <w:jc w:val="both"/>
      </w:pPr>
      <w:r>
        <w:rPr>
          <w:rFonts w:ascii="Arial" w:cs="Arial" w:eastAsia="Arial" w:hAnsi="Arial"/>
          <w:sz w:val="24"/>
          <w:szCs w:val="24"/>
        </w:rPr>
        <w:t xml:space="preserve">В 2012 году основные действия были сфокусированы на снятии барьеров и улучшении деловой среды для бизнеса, формировании и принятии новых нормативных правовых актов для беспрепятственного развития бизнеса и притока иностранного капитала в страну. Для этого сокращено свыше 113 видов лицензий и разрешений. Введена норма «молчание-знак согласия», регламентирующая действия государственных органов-лицензиаров. Значительные реформы проведены и в сфере проверок: количество контролирующих органов сокращено с 21 до 12, в два раза сократилось количество проведенных проверок (с 24,4 тыс. в 2011 году до 13,5 тыс. проверок в 2012 году), в два раза сокращены сроки проведения плановых проверок (с 30 до 15 - для юридических лиц) и 5 -для физических лиц), в сфере регулирования государственных услуг количество услуг уменьшено с 20 тысяч до 389.</w:t>
      </w:r>
    </w:p>
    <w:p>
      <w:pPr>
        <w:spacing w:after="120"/>
        <w:jc w:val="both"/>
      </w:pPr>
      <w:r>
        <w:rPr>
          <w:rFonts w:ascii="Arial" w:cs="Arial" w:eastAsia="Arial" w:hAnsi="Arial"/>
          <w:sz w:val="24"/>
          <w:szCs w:val="24"/>
        </w:rPr>
        <w:t xml:space="preserve">В целях упрощения процедур выдачи виз иностранным гражданам и повышения привлекательности туристического рынка, развития туризма и привлечения инвестиций, принят Закон Кыргызской Республики «О введении безвизового режима для граждан некоторых государств, сроком до 60 дней», которым введен безвизовый режим для граждан 44 государств. Кроме того, открыты 14 новых авиарейсов в Кыргызстан.</w:t>
      </w:r>
    </w:p>
    <w:p>
      <w:pPr>
        <w:spacing w:after="120"/>
        <w:jc w:val="both"/>
      </w:pPr>
      <w:r>
        <w:rPr>
          <w:rFonts w:ascii="Arial" w:cs="Arial" w:eastAsia="Arial" w:hAnsi="Arial"/>
          <w:sz w:val="24"/>
          <w:szCs w:val="24"/>
        </w:rPr>
        <w:t xml:space="preserve">В целях совершенствования фискальной политики:</w:t>
      </w:r>
    </w:p>
    <w:p>
      <w:pPr>
        <w:spacing w:after="120"/>
        <w:jc w:val="both"/>
      </w:pPr>
      <w:r>
        <w:rPr>
          <w:rFonts w:ascii="Arial" w:cs="Arial" w:eastAsia="Arial" w:hAnsi="Arial"/>
          <w:sz w:val="24"/>
          <w:szCs w:val="24"/>
        </w:rPr>
        <w:t xml:space="preserve">- разработан проект Закона Кыргызской Республики, предусматривающий передачу органам местного самоуправления функций администрирования местных налогов и сборов, а также отдельных общегосударственных налогов;</w:t>
      </w:r>
    </w:p>
    <w:p>
      <w:pPr>
        <w:spacing w:after="120"/>
        <w:jc w:val="both"/>
      </w:pPr>
      <w:r>
        <w:rPr>
          <w:rFonts w:ascii="Arial" w:cs="Arial" w:eastAsia="Arial" w:hAnsi="Arial"/>
          <w:sz w:val="24"/>
          <w:szCs w:val="24"/>
        </w:rPr>
        <w:t xml:space="preserve">- продлен еще на три - года срок действующих налоговых послаблений по НДС предприятиям, занимающимся переработкой сельскохозяйственной продукции;</w:t>
      </w:r>
    </w:p>
    <w:p>
      <w:pPr>
        <w:spacing w:after="120"/>
        <w:jc w:val="both"/>
      </w:pPr>
      <w:r>
        <w:rPr>
          <w:rFonts w:ascii="Arial" w:cs="Arial" w:eastAsia="Arial" w:hAnsi="Arial"/>
          <w:sz w:val="24"/>
          <w:szCs w:val="24"/>
        </w:rPr>
        <w:t xml:space="preserve">- создана общая основа по администрированию страховых взносов и налогов;</w:t>
      </w:r>
    </w:p>
    <w:p>
      <w:pPr>
        <w:spacing w:after="120"/>
        <w:jc w:val="both"/>
      </w:pPr>
      <w:r>
        <w:rPr>
          <w:rFonts w:ascii="Arial" w:cs="Arial" w:eastAsia="Arial" w:hAnsi="Arial"/>
          <w:sz w:val="24"/>
          <w:szCs w:val="24"/>
        </w:rPr>
        <w:t xml:space="preserve">- упрощено ведение учета для субъектов малого и среднего предпринимательства;</w:t>
      </w:r>
    </w:p>
    <w:p>
      <w:pPr>
        <w:spacing w:after="120"/>
        <w:jc w:val="both"/>
      </w:pPr>
      <w:r>
        <w:rPr>
          <w:rFonts w:ascii="Arial" w:cs="Arial" w:eastAsia="Arial" w:hAnsi="Arial"/>
          <w:sz w:val="24"/>
          <w:szCs w:val="24"/>
        </w:rPr>
        <w:t xml:space="preserve">- созданы благоприятные условия для лизинговых компаний и операций, что позволит обновить основные фонды;</w:t>
      </w:r>
    </w:p>
    <w:p>
      <w:pPr>
        <w:spacing w:after="120"/>
        <w:jc w:val="both"/>
      </w:pPr>
      <w:r>
        <w:rPr>
          <w:rFonts w:ascii="Arial" w:cs="Arial" w:eastAsia="Arial" w:hAnsi="Arial"/>
          <w:sz w:val="24"/>
          <w:szCs w:val="24"/>
        </w:rPr>
        <w:t xml:space="preserve">- 59 предприятий освобождены от налога на прибыль, что оценивается как положительная мера для ведения бизнеса.</w:t>
      </w:r>
    </w:p>
    <w:p>
      <w:pPr>
        <w:spacing w:after="120"/>
        <w:jc w:val="both"/>
      </w:pPr>
      <w:r>
        <w:rPr>
          <w:rFonts w:ascii="Arial" w:cs="Arial" w:eastAsia="Arial" w:hAnsi="Arial"/>
          <w:sz w:val="24"/>
          <w:szCs w:val="24"/>
        </w:rPr>
        <w:t xml:space="preserve">В результате объем налоговых поступлений в государственный бюджет вырос на 20,5% по сравнению с 2011 годом и сложился в размере 63,9 млрд. сомов.</w:t>
      </w:r>
    </w:p>
    <w:p>
      <w:pPr>
        <w:spacing w:after="120"/>
        <w:jc w:val="both"/>
      </w:pPr>
      <w:r>
        <w:rPr>
          <w:rFonts w:ascii="Arial" w:cs="Arial" w:eastAsia="Arial" w:hAnsi="Arial"/>
          <w:sz w:val="24"/>
          <w:szCs w:val="24"/>
        </w:rPr>
        <w:t xml:space="preserve">Таким образом, 2012 год в целом характеризовался переходом к низкой траектории экономического роста на фоне сохранения высоких уровней потребления за счет роста доходов населения. Основным результатом 2012 года стало преодоление угрозы глубокого спада экономического роста в условиях замедления экономического роста и долгового кризиса в ряде стран, и оперативно принятые компенсационные меры по поддержке экономики позволили не допустить дальнейшего снижения экономики и удержать рост на уровне 99,1% в конце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Предварительные итоги социально-экономического развития Кыргызской Республики за январь-март 2013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начала 2013 года наблюдаются заметные позитивные сдвиги в социально-экономическом развитии республики, что было обусловлено восстановлением уровня производства в первые месяцы в отдельных отраслях промышленности.</w:t>
      </w:r>
    </w:p>
    <w:p>
      <w:pPr>
        <w:spacing w:after="120"/>
        <w:jc w:val="both"/>
      </w:pPr>
      <w:r>
        <w:rPr>
          <w:rFonts w:ascii="Arial" w:cs="Arial" w:eastAsia="Arial" w:hAnsi="Arial"/>
          <w:sz w:val="24"/>
          <w:szCs w:val="24"/>
        </w:rPr>
        <w:t xml:space="preserve">По итогам за январь-март 2013 года объем ВВП сложился в сумме 59,0 млрд. сомов и реально возрос на 7,6%, против реального снижения на 8,4% в январе-марте 2012 года. Без учета предприятий по разработке месторождения Кумтор, рост реального ВВП составил 104,9%, за соответствующий период 2012 года аналогичный показатель составлял 103,7%. Дефлятор ВВП сложился на уровне 103,6%.</w:t>
      </w:r>
    </w:p>
    <w:p>
      <w:pPr>
        <w:spacing w:after="120"/>
        <w:jc w:val="both"/>
      </w:pPr>
      <w:r>
        <w:rPr>
          <w:rFonts w:ascii="Arial" w:cs="Arial" w:eastAsia="Arial" w:hAnsi="Arial"/>
          <w:sz w:val="24"/>
          <w:szCs w:val="24"/>
        </w:rPr>
        <w:t xml:space="preserve">Как показывает структурный анализ по вкладам отраслей, экономический рост обеспечен всеми секторами экономики, положительный вклад которых оценивается в сельском хозяйстве 0,2 процентного пункта, промышленности - 3,7 процентного пункта, строительстве - 0,5 процентного пункта, сфере услуг - 2,2 процентного пункта.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Структура и темпы роста по секторам, формирующим ВВП3</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63"/>
        <w:gridCol w:w="1081"/>
        <w:gridCol w:w="1081"/>
        <w:gridCol w:w="1081"/>
        <w:gridCol w:w="1093"/>
        <w:gridCol w:w="1093"/>
        <w:gridCol w:w="1093"/>
        <w:gridCol w:w="1093"/>
      </w:tblGrid>
      <w:tr>
        <w:tc>
          <w:tcPr>
            <w:tcW w:type="dxa" w:w="2563"/>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Показатели</w:t>
            </w:r>
          </w:p>
        </w:tc>
        <w:tc>
          <w:tcPr>
            <w:tcW w:type="dxa" w:w="3243"/>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Январь-март 2012 года</w:t>
            </w:r>
          </w:p>
        </w:tc>
        <w:tc>
          <w:tcPr>
            <w:tcW w:type="dxa" w:w="4372"/>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Январь-март 2013 года</w:t>
            </w:r>
          </w:p>
        </w:tc>
      </w:tr>
      <w:tr>
        <w:tc>
          <w:tcPr>
            <w:vMerge w:val="continue"/>
            <w:tcBorders>
              <w:top w:val="single" w:color="CBBF9E" w:sz="4"/>
              <w:left w:val="single" w:color="CBBF9E" w:sz="4"/>
              <w:bottom w:val="single" w:color="CBBF9E" w:sz="4"/>
              <w:right w:val="single" w:color="CBBF9E" w:sz="4"/>
            </w:tcBorders>
          </w:tcP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Факт, предв. (млн. сомов)</w:t>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 к ВВП</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предв. (млн. сомов)</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 к ВВП</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вклада в рост ВВП, п.п,</w:t>
            </w:r>
          </w:p>
        </w:tc>
      </w:tr>
      <w:tr>
        <w:tc>
          <w:tcPr>
            <w:tcW w:type="dxa" w:w="25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w:t>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52970,6</w:t>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91,6</w:t>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59011,3</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w:t>
            </w:r>
          </w:p>
        </w:tc>
      </w:tr>
      <w:tr>
        <w:tc>
          <w:tcPr>
            <w:tcW w:type="dxa" w:w="25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5531,0</w:t>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100,8</w:t>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5590,9</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0,16</w:t>
            </w:r>
          </w:p>
        </w:tc>
      </w:tr>
      <w:tr>
        <w:tc>
          <w:tcPr>
            <w:tcW w:type="dxa" w:w="25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10745,0</w:t>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69,9</w:t>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20,3</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12643,7</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118,3</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21,4</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1722,6</w:t>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96,5</w:t>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2031,7</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114,5</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0,47</w:t>
            </w:r>
          </w:p>
        </w:tc>
      </w:tr>
      <w:tr>
        <w:tc>
          <w:tcPr>
            <w:tcW w:type="dxa" w:w="25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Услуги</w:t>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27377,8</w:t>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104,3</w:t>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51,7</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29953,7</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104,2</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50,8</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2,15</w:t>
            </w:r>
          </w:p>
        </w:tc>
      </w:tr>
      <w:tr>
        <w:tc>
          <w:tcPr>
            <w:tcW w:type="dxa" w:w="25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Чистые налоги на продукты</w:t>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7594,2</w:t>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91,6</w:t>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8791,3</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14,9</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Индекс потребительских цен составил 101,1% (март 2013 года к декабрю 2012 года), а среднегодовое значение инфляции (январь-март 2013 года к январю-марту 2012 года) составили 107,8%. В целом за I квартал 2013 года, прирост потребительских цен по сравнению с декабрем 2012 года на пищевые продукты составил 1,0%, на непродовольственные товары - 0,7%, а наибольшее удорожание отмечалось на алкогольные напитки и табачные изделия - на 2,5% и на платные услуги - на 1,3%.</w:t>
      </w:r>
    </w:p>
    <w:p>
      <w:pPr>
        <w:spacing w:after="120"/>
        <w:jc w:val="both"/>
      </w:pPr>
      <w:r>
        <w:rPr>
          <w:rFonts w:ascii="Arial" w:cs="Arial" w:eastAsia="Arial" w:hAnsi="Arial"/>
          <w:sz w:val="24"/>
          <w:szCs w:val="24"/>
        </w:rPr>
        <w:t xml:space="preserve">Кредит в экономику в январе - марте 2013 года составил 44,1 млрд. сомов, при этом с начала текущего года вырос на 4,9%, а также возросли объемы потребительских кредитов на 25,9% по сравнению с аналогичным периодом 2012 года.</w:t>
      </w:r>
    </w:p>
    <w:p>
      <w:pPr>
        <w:spacing w:after="120"/>
        <w:jc w:val="both"/>
      </w:pPr>
      <w:r>
        <w:rPr>
          <w:rFonts w:ascii="Arial" w:cs="Arial" w:eastAsia="Arial" w:hAnsi="Arial"/>
          <w:sz w:val="24"/>
          <w:szCs w:val="24"/>
        </w:rPr>
        <w:t xml:space="preserve">За январь-март 2013 года, по программе «Финансирование сельского хозяйства» пятью банками4 выдано 6766 кредитов на общую сумму 1342,4 млн. сомов, из них на животноводство - 5739 кредитов на сумму 1 193,2 млн. сомов, в растениеводство - 1027,0 кредитов на сумму 149,2 млн. сомов.</w:t>
      </w:r>
    </w:p>
    <w:p>
      <w:pPr>
        <w:spacing w:after="120"/>
        <w:jc w:val="both"/>
      </w:pPr>
      <w:r>
        <w:rPr>
          <w:rFonts w:ascii="Arial" w:cs="Arial" w:eastAsia="Arial" w:hAnsi="Arial"/>
          <w:sz w:val="24"/>
          <w:szCs w:val="24"/>
        </w:rPr>
        <w:t xml:space="preserve">В январе - марте 2013 года объем притока денежных переводов физических лиц, осуществленных через системы переводов, составил 423,0 млн. долларов США, что на 16,3% выше за соответствующий период 2012 года.</w:t>
      </w:r>
    </w:p>
    <w:p>
      <w:pPr>
        <w:spacing w:after="120"/>
        <w:jc w:val="both"/>
      </w:pPr>
      <w:r>
        <w:rPr>
          <w:rFonts w:ascii="Arial" w:cs="Arial" w:eastAsia="Arial" w:hAnsi="Arial"/>
          <w:sz w:val="24"/>
          <w:szCs w:val="24"/>
        </w:rPr>
        <w:t xml:space="preserve">Суммарные активы банковской системы увеличились с начала года на 2,9% и составили 89,3 млрд. сомов.</w:t>
      </w:r>
    </w:p>
    <w:p>
      <w:pPr>
        <w:spacing w:after="120"/>
        <w:jc w:val="both"/>
      </w:pPr>
      <w:r>
        <w:rPr>
          <w:rFonts w:ascii="Arial" w:cs="Arial" w:eastAsia="Arial" w:hAnsi="Arial"/>
          <w:sz w:val="24"/>
          <w:szCs w:val="24"/>
        </w:rPr>
        <w:t xml:space="preserve">Внешнеторговый оборот за январь-март 2013 года составил 1477,9 млн. долларов США и по сравнению с аналогичным периодом 2012 года вырос на 1,7%. Экспорт составил 302,8 млн. долларов США и снизился по сравнению с соответствующим периодом 2012 года на 10,5% за счет сокращения экспортных поставок золота, а также текстиля и текстильных изделий. Импортные поступления увеличились на 10,4%, составив 1175,1 млн. долларов США, за счет ввоза машин, оборудования и механизмов, минеральных продуктов, а также готовых пищевых продуктов.</w:t>
      </w:r>
    </w:p>
    <w:p>
      <w:pPr>
        <w:spacing w:after="120"/>
        <w:jc w:val="both"/>
      </w:pPr>
      <w:r>
        <w:rPr>
          <w:rFonts w:ascii="Arial" w:cs="Arial" w:eastAsia="Arial" w:hAnsi="Arial"/>
          <w:sz w:val="24"/>
          <w:szCs w:val="24"/>
        </w:rPr>
        <w:t xml:space="preserve">В I квартале 2013 года, по данным Центрального казначейства Министерства финансов Кыргызской Республики, государственный бюджет исполнен с профицитом денежных средств 3057,6 млн. сомов, или 5,2% к ВВП. С начала года поступления в доход государственного бюджета (включая продажу нефинансовых активов) достигли 21514,1 млн. сомов (36,5% к ВВП) и по сравнению с I кварталом 2012 года увеличились на 23,6%. Расходы государственного бюджета (включая приобретение нефинансовых активов) составили 18456,5 млн. сомов, или 31,3% к ВВП, несколько увеличившись по сравнению с I кварталом 2012 года (на 0,6 процентных пункта).</w:t>
      </w:r>
    </w:p>
    <w:p>
      <w:pPr>
        <w:spacing w:after="120"/>
        <w:jc w:val="both"/>
      </w:pPr>
      <w:r>
        <w:rPr>
          <w:rFonts w:ascii="Arial" w:cs="Arial" w:eastAsia="Arial" w:hAnsi="Arial"/>
          <w:sz w:val="24"/>
          <w:szCs w:val="24"/>
        </w:rPr>
        <w:t xml:space="preserve">За январь-март 2013 года удельный вес расходов из республиканского бюджета на социальную сферу составил 50,5%, всего направлено на 593,7 млн. сомов больше, чем за аналогичный период 2012 года (удельный вес за январь-март 2012 года - 46,9%).,</w:t>
      </w:r>
    </w:p>
    <w:p>
      <w:pPr>
        <w:spacing w:after="120"/>
        <w:jc w:val="both"/>
      </w:pPr>
      <w:r>
        <w:rPr>
          <w:rFonts w:ascii="Arial" w:cs="Arial" w:eastAsia="Arial" w:hAnsi="Arial"/>
          <w:sz w:val="24"/>
          <w:szCs w:val="24"/>
        </w:rPr>
        <w:t xml:space="preserve">В области социальной защиты населения проводилась целенаправленная работа по обеспечению социальных выплат в полном объеме. За январь - март 2013 года из средств республиканского бюджета на выплату государственных пособий профинансированы денежные средства на общую сумму 1026,6 млн. сомов, что на 29,5% больше аналогичного периода 2012 года.</w:t>
      </w:r>
    </w:p>
    <w:p>
      <w:pPr>
        <w:spacing w:after="120"/>
        <w:jc w:val="both"/>
      </w:pPr>
      <w:r>
        <w:rPr>
          <w:rFonts w:ascii="Arial" w:cs="Arial" w:eastAsia="Arial" w:hAnsi="Arial"/>
          <w:sz w:val="24"/>
          <w:szCs w:val="24"/>
        </w:rPr>
        <w:t xml:space="preserve">За январь-март 2013 года вся потребная сумма, на выплату пенсий и пособий в объеме 7184,3 млн. сомов профинансирована в полном объеме. По предварительным данным, на 1 января 2013 года средний размер пенсии с учетом компенсационных выплат за электроэнергию составил 4192 сома.</w:t>
      </w:r>
    </w:p>
    <w:p>
      <w:pPr>
        <w:spacing w:after="120"/>
        <w:jc w:val="both"/>
      </w:pPr>
      <w:r>
        <w:rPr>
          <w:rFonts w:ascii="Arial" w:cs="Arial" w:eastAsia="Arial" w:hAnsi="Arial"/>
          <w:sz w:val="24"/>
          <w:szCs w:val="24"/>
        </w:rPr>
        <w:t xml:space="preserve">Среднемесячная номинальная заработная плата одного работника в январе-марте 2013 года (без учета малых предприятий) составила 10619,0 сомов и по сравнению с аналогичным периодом 2012 года увеличилась на 4,8%, а ее реальный размер, исчисленный с учетом индекса потребительских цен, снизился на 2,7%.</w:t>
      </w:r>
    </w:p>
    <w:p>
      <w:pPr>
        <w:spacing w:after="120"/>
        <w:jc w:val="both"/>
      </w:pPr>
      <w:r>
        <w:rPr>
          <w:rFonts w:ascii="Arial" w:cs="Arial" w:eastAsia="Arial" w:hAnsi="Arial"/>
          <w:sz w:val="24"/>
          <w:szCs w:val="24"/>
        </w:rPr>
        <w:t xml:space="preserve">Величина прожиточного минимума в I квартале 2013 года составила 4550,72 сома и по сравнению с соответствующим периодом 2011 года возросла на 7,6%.</w:t>
      </w:r>
    </w:p>
    <w:p>
      <w:pPr>
        <w:spacing w:after="120"/>
        <w:jc w:val="both"/>
      </w:pPr>
      <w:r>
        <w:rPr>
          <w:rFonts w:ascii="Arial" w:cs="Arial" w:eastAsia="Arial" w:hAnsi="Arial"/>
          <w:sz w:val="24"/>
          <w:szCs w:val="24"/>
        </w:rPr>
        <w:t xml:space="preserve">На 1 апреля 2013 года численность незанятого населения, состоящего на учете в органах государственной службы занятости в поисках работы, составила 97,3 тыс. человек и по сравнению с аналогичной датой 2012 года увеличилась на 1,1% а численность зарегистрированных безработных уменьшилась на 0,5%. В государственных органах службы занятости населения за три месяца т.г. в качестве безработных зарегистрировано 9458 человек. Уровень зарегистрированной безработицы составил 2,5% от экономически активного населения.</w:t>
      </w:r>
    </w:p>
    <w:p>
      <w:pPr>
        <w:spacing w:after="120"/>
        <w:jc w:val="both"/>
      </w:pPr>
      <w:r>
        <w:rPr>
          <w:rFonts w:ascii="Arial" w:cs="Arial" w:eastAsia="Arial" w:hAnsi="Arial"/>
          <w:sz w:val="24"/>
          <w:szCs w:val="24"/>
        </w:rPr>
        <w:t xml:space="preserve">Таким образом, итоги трех месяцев 2013 года показали положительные тенденции экономического роста во всех секторах экономики.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Тенденции развития мировой экономики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2012 году темпы восстановления мировой экономики замедлились до минимальных значений со времени кризиса 2009 года. Основным фактором торможения стало негативное влияние кризиса в зоне евро, сжатие спроса на европейских рынках, которое продолжается с IV квартала 2011 года, а в отдельных странах с большими дефицитами бюджетов и уровнем суверенных долгов - до 2 лет и более. Снижению темпов роста и переходу в рецессию способствовала также проводимая фискальная консолидация, влияние которой в неустойчивых кризисных экономиках оказалось выше, чем ожидалось. Это привело к усилению дифференциации развития стран кризисного региона, нарастанию негативного воздействия на экономику развивающихся стран.</w:t>
      </w:r>
    </w:p>
    <w:p>
      <w:pPr>
        <w:spacing w:after="120"/>
        <w:jc w:val="both"/>
      </w:pPr>
      <w:r>
        <w:rPr>
          <w:rFonts w:ascii="Arial" w:cs="Arial" w:eastAsia="Arial" w:hAnsi="Arial"/>
          <w:sz w:val="24"/>
          <w:szCs w:val="24"/>
        </w:rPr>
        <w:t xml:space="preserve">Темпы восстановления мирового ВВП, достигнув в 2010 году 5,2%, в 2011 году замедлились до 4,0%, а в 2012 году - до 3,2%. Темпы промышленного производства замедлились сильнее - с 3,8% до 1,9%. Динамика физического объема мировой торговли товарами и услугами снизилась с 5,9% в 2011 году до 2,8% в 2012 году, то есть оказалась ниже темпов роста ВВП, что свидетельствует об ослаблении процессов глобализации в мировой экономике, инвестиционного и потребительского спроса, прежде всего в.развитых странах Европы и Японии.</w:t>
      </w:r>
    </w:p>
    <w:p>
      <w:pPr>
        <w:spacing w:after="120"/>
        <w:jc w:val="both"/>
      </w:pPr>
      <w:r>
        <w:rPr>
          <w:rFonts w:ascii="Arial" w:cs="Arial" w:eastAsia="Arial" w:hAnsi="Arial"/>
          <w:sz w:val="24"/>
          <w:szCs w:val="24"/>
        </w:rPr>
        <w:t xml:space="preserve">Темпы роста развитых стран снизились с 1,6% в 2011 году до 1,2% в 2012 году, развивающихся - с 6,4% до 5,1%, соответственно. Динамика экономики США ускорилась в 2012 году с 1,8% до 2,2%, однако в IV квартале 2012 году вновь замедлилась. Экономика зоны евро сократилась на 0,6% с 1,4% в 2011 году, из крупных стран роста удалось добиться лишь Германии - на 0,9%, при этом в IV квартале 2012 года в Германии также зафиксирован спад на 0,6%. В Японии общий рост за год на 2,0% объясняется лишь низкой базой, обусловленной спадом в 2011 году на 0,6%, вызванным последствиями землетрясения и цунами. Китаю в 2012 году благодаря мерам бюджетного и монетарного стимулирования удалось избежать «жесткой посадки» - рост экономики снизился с 9,3% до 7,8%. Торможение экономики Индии было более сильным - с 7,9% до 4,0%, что объясняется более сильной зависимостью от европейского рынка, куда поступает 30% индийского экспорта. Наиболее сильно снизились темпы в Бразилии: после мощного восстановления на 7,5% в 2010 году темпы упали до 2,7% в 2011 году и 0,9% - в 2012 году. Экономика стран Центральной и Восточной Европы замедлила рост с 5,3% в 2011 году до 1,8% в 2012 году.</w:t>
      </w:r>
    </w:p>
    <w:p>
      <w:pPr>
        <w:spacing w:after="120"/>
        <w:jc w:val="both"/>
      </w:pPr>
      <w:r>
        <w:rPr>
          <w:rFonts w:ascii="Arial" w:cs="Arial" w:eastAsia="Arial" w:hAnsi="Arial"/>
          <w:sz w:val="24"/>
          <w:szCs w:val="24"/>
        </w:rPr>
        <w:t xml:space="preserve">Показатели развития стран СНГ, за исключением Молдовы (99,2%) и Кыргызской Республики (99,1%), демонстрировали положительные тенденции развития (на 3,6%), но не снизились по сравнению с показателями 2011 года (4,9%). В частности, за 2012 год показатель уровня развития экономики России составил 3,4% против роста на 4,3% в 2011 году, а Казахстана - 5,0%, против роста на 7,5% в 2011 году.</w:t>
      </w:r>
    </w:p>
    <w:p>
      <w:pPr>
        <w:spacing w:after="120"/>
        <w:jc w:val="both"/>
      </w:pPr>
      <w:r>
        <w:rPr>
          <w:rFonts w:ascii="Arial" w:cs="Arial" w:eastAsia="Arial" w:hAnsi="Arial"/>
          <w:sz w:val="24"/>
          <w:szCs w:val="24"/>
        </w:rPr>
        <w:t xml:space="preserve">Наиболее глобальное замедление коснулось потребительского спроса: если в 2011 году стоимость глобальных продаж выросла на 11, 0%, то в 2012 году прирост, по оценке Global Insight, составил всего 2,5%. С учетом роста цен на 4,0%, это означает фактический спад физического объема глобального потребления на 1,4%, несмотря на сохранение нулевых реальных ставок краткосрочного кредитования. В итоге для среднестатистического мирового потребителя 2012 год был кризисным годом, сопоставимым по эффекту для потребителя с кризисным 2009 годом, для промышленности и торговли.</w:t>
      </w:r>
    </w:p>
    <w:p>
      <w:pPr>
        <w:spacing w:after="120"/>
        <w:jc w:val="both"/>
      </w:pPr>
      <w:r>
        <w:rPr>
          <w:rFonts w:ascii="Arial" w:cs="Arial" w:eastAsia="Arial" w:hAnsi="Arial"/>
          <w:sz w:val="24"/>
          <w:szCs w:val="24"/>
        </w:rPr>
        <w:t xml:space="preserve">Практически не изменился глобальный уровень безработицы -8,0%, что означает стагнацию доходов, при том что ситуация в отдельных странах с высокой задолженностью населения, банков и государств стремительно ухудшается.</w:t>
      </w:r>
    </w:p>
    <w:p>
      <w:pPr>
        <w:spacing w:after="120"/>
        <w:jc w:val="both"/>
      </w:pPr>
      <w:r>
        <w:rPr>
          <w:rFonts w:ascii="Arial" w:cs="Arial" w:eastAsia="Arial" w:hAnsi="Arial"/>
          <w:sz w:val="24"/>
          <w:szCs w:val="24"/>
        </w:rPr>
        <w:t xml:space="preserve">Замедление роста в странах во многом связано с необходимостью консолидации бюджетов. В Европейском союзе дефицит снизился с 4,4% до 3,8% ВВП. Германии в 2012 году удалось ликвидировать дефицит и свести бюджет с профицитом в 0,1% ВВП. В США дефицит бюджета уменьшился с 10,1% до 8,5% ВВП. Однако долговая нагрузка на экономику развитых стран продолжала увеличиваться. Долг стран еврозоны возрос с 88,1% до 93,1% ВВП в 2012 году, долг США вырос с 103,1% до 107,6% ВВП. Счет текущих операций США оставался отрицательным, но дефицит постепенно сокращался, с 4,8% ВВП в 2008 году до 3,1% в 2012 году, сглаживая дисбалансы факторов роста мировой экономики. Среди развитых стран устойчивое положительное сальдо текущего счета сохраняет Германия - 6,3% ВВП. В Китае последовательно сокращается профицит текущего счета, с 10,1% ВВП в 2007 году до 2,3% в 2012 году.</w:t>
      </w:r>
    </w:p>
    <w:p>
      <w:pPr>
        <w:spacing w:after="120"/>
        <w:jc w:val="both"/>
      </w:pPr>
      <w:r>
        <w:rPr>
          <w:rFonts w:ascii="Arial" w:cs="Arial" w:eastAsia="Arial" w:hAnsi="Arial"/>
          <w:sz w:val="24"/>
          <w:szCs w:val="24"/>
        </w:rPr>
        <w:t xml:space="preserve">В настоящее время эксперты считают, что замедления глобальной экономики пока не удалось избежать, на фоне чего рецессия, которая началась в Европе в 2012 году, продолжится и в 2013 году. Согласно пересмотренным оценкам МВФ, темпы роста мировой экономики в 2013 году составят 3,3%, а не 3,5%, как ожидалось ранее. Прогнозы на 2013 и 2014 годы были пересмотрены практически по всем странам, в большинстве случаев - в сторону более низких значений.</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Темпы роста мировой экономики%5</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24"/>
        <w:gridCol w:w="1034"/>
        <w:gridCol w:w="1034"/>
        <w:gridCol w:w="1034"/>
        <w:gridCol w:w="1877"/>
        <w:gridCol w:w="963"/>
        <w:gridCol w:w="1865"/>
        <w:gridCol w:w="725"/>
        <w:gridCol w:w="723"/>
      </w:tblGrid>
      <w:tr>
        <w:tc>
          <w:tcPr>
            <w:tcW w:type="dxa" w:w="924"/>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Страны</w:t>
            </w:r>
          </w:p>
        </w:tc>
        <w:tc>
          <w:tcPr>
            <w:tcW w:type="dxa" w:w="103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 г. отчет</w:t>
            </w:r>
          </w:p>
        </w:tc>
        <w:tc>
          <w:tcPr>
            <w:tcW w:type="dxa" w:w="103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 отчет</w:t>
            </w:r>
          </w:p>
        </w:tc>
        <w:tc>
          <w:tcPr>
            <w:tcW w:type="dxa" w:w="103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 оценка</w:t>
            </w:r>
          </w:p>
        </w:tc>
        <w:tc>
          <w:tcPr>
            <w:tcW w:type="dxa" w:w="187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Разница с прежним прогнозом на 2013 г.</w:t>
            </w:r>
          </w:p>
        </w:tc>
        <w:tc>
          <w:tcPr>
            <w:tcW w:type="dxa" w:w="96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w:t>
            </w:r>
          </w:p>
        </w:tc>
        <w:tc>
          <w:tcPr>
            <w:tcW w:type="dxa" w:w="186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Разница с прежним прогнозом на 2014 г.</w:t>
            </w:r>
          </w:p>
        </w:tc>
        <w:tc>
          <w:tcPr>
            <w:tcW w:type="dxa" w:w="72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 г.</w:t>
            </w:r>
          </w:p>
        </w:tc>
        <w:tc>
          <w:tcPr>
            <w:tcW w:type="dxa" w:w="72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 г.</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vMerge w:val="continue"/>
            <w:tcBorders>
              <w:top w:val="single" w:color="CBBF9E" w:sz="4"/>
              <w:left w:val="none" w:color="auto" w:sz="0"/>
              <w:bottom w:val="single" w:color="CBBF9E" w:sz="4"/>
              <w:right w:val="single" w:color="CBBF9E" w:sz="4"/>
            </w:tcBorders>
          </w:tcPr>
          <w:p/>
        </w:tc>
        <w:tc>
          <w:tcPr>
            <w:tcW w:type="dxa" w:w="144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r>
      <w:tr>
        <w:tc>
          <w:tcPr>
            <w:tcW w:type="dxa" w:w="9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Мир</w:t>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1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p>
        </w:tc>
        <w:tc>
          <w:tcPr>
            <w:tcW w:type="dxa" w:w="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w:t>
            </w:r>
          </w:p>
        </w:tc>
      </w:tr>
      <w:tr>
        <w:tc>
          <w:tcPr>
            <w:tcW w:type="dxa" w:w="9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Еврозона</w:t>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w:t>
            </w:r>
          </w:p>
        </w:tc>
        <w:tc>
          <w:tcPr>
            <w:tcW w:type="dxa" w:w="1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p>
        </w:tc>
        <w:tc>
          <w:tcPr>
            <w:tcW w:type="dxa" w:w="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r>
      <w:tr>
        <w:tc>
          <w:tcPr>
            <w:tcW w:type="dxa" w:w="9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США</w:t>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p>
        </w:tc>
        <w:tc>
          <w:tcPr>
            <w:tcW w:type="dxa" w:w="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w:t>
            </w:r>
          </w:p>
        </w:tc>
      </w:tr>
      <w:tr>
        <w:tc>
          <w:tcPr>
            <w:tcW w:type="dxa" w:w="9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Китай</w:t>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w:t>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w:t>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1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w:t>
            </w:r>
          </w:p>
        </w:tc>
      </w:tr>
      <w:tr>
        <w:tc>
          <w:tcPr>
            <w:tcW w:type="dxa" w:w="9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Индия</w:t>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w:t>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w:t>
            </w:r>
          </w:p>
        </w:tc>
        <w:tc>
          <w:tcPr>
            <w:tcW w:type="dxa" w:w="1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p>
        </w:tc>
        <w:tc>
          <w:tcPr>
            <w:tcW w:type="dxa" w:w="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w:t>
            </w:r>
          </w:p>
        </w:tc>
      </w:tr>
      <w:tr>
        <w:tc>
          <w:tcPr>
            <w:tcW w:type="dxa" w:w="9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Япония</w:t>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1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w:t>
            </w:r>
          </w:p>
        </w:tc>
        <w:tc>
          <w:tcPr>
            <w:tcW w:type="dxa" w:w="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r>
      <w:tr>
        <w:tc>
          <w:tcPr>
            <w:tcW w:type="dxa" w:w="9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СНГ</w:t>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w:t>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1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p>
        </w:tc>
        <w:tc>
          <w:tcPr>
            <w:tcW w:type="dxa" w:w="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w:t>
            </w:r>
          </w:p>
        </w:tc>
      </w:tr>
      <w:tr>
        <w:tc>
          <w:tcPr>
            <w:tcW w:type="dxa" w:w="9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Россия</w:t>
            </w:r>
            <w:r>
              <w:rPr>
                <w:rFonts w:ascii="Arial" w:cs="Arial" w:eastAsia="Arial" w:hAnsi="Arial"/>
                <w:sz w:val="24"/>
                <w:szCs w:val="24"/>
              </w:rPr>
              <w:t xml:space="preserve">6</w:t>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1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w:t>
            </w:r>
          </w:p>
        </w:tc>
      </w:tr>
      <w:tr>
        <w:tc>
          <w:tcPr>
            <w:tcW w:type="dxa" w:w="9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Казахстан</w:t>
            </w:r>
            <w:r>
              <w:rPr>
                <w:rFonts w:ascii="Arial" w:cs="Arial" w:eastAsia="Arial" w:hAnsi="Arial"/>
                <w:sz w:val="24"/>
                <w:szCs w:val="24"/>
              </w:rPr>
              <w:t xml:space="preserve">7</w:t>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w:t>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1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w:t>
            </w:r>
          </w:p>
        </w:tc>
        <w:tc>
          <w:tcPr>
            <w:tcW w:type="dxa" w:w="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варианты прогноза базируются на достаточно позитивном сценарии развития мировой экономики уже в 2014 году. В соответствии с этим сценарием уже во второй половине 2013 года возможно изменение негативных трендов и начало восстановления мирового роста. После снижения темпов прироста мирового выпуска в 2912-2013 годах до 3,2-3,3%, в 2014 году прирост мирового ВВП восстановится на уровне, близком к 4%, а в 2015-2016 годах- в среднем на 4,4%.</w:t>
      </w:r>
    </w:p>
    <w:p>
      <w:pPr>
        <w:spacing w:after="120"/>
        <w:jc w:val="both"/>
      </w:pPr>
      <w:r>
        <w:rPr>
          <w:rFonts w:ascii="Arial" w:cs="Arial" w:eastAsia="Arial" w:hAnsi="Arial"/>
          <w:sz w:val="24"/>
          <w:szCs w:val="24"/>
        </w:rPr>
        <w:t xml:space="preserve">В США темпы роста в 2013 году за счет мер бюджетной консолидации могут сократиться до 1,9% ВВП, но уже в 2014 году возможно ускорение динамики экономики до 3%. Экономика США будет наращивать конкурентные преимущества, в том числе за счет сохранения более низкой стоимости энергоносителей, Динамика роста США в 2014-2016 годах прогнозируется в диапазоне 3,6-3,4% ВВП.</w:t>
      </w:r>
    </w:p>
    <w:p>
      <w:pPr>
        <w:spacing w:after="120"/>
        <w:jc w:val="both"/>
      </w:pPr>
      <w:r>
        <w:rPr>
          <w:rFonts w:ascii="Arial" w:cs="Arial" w:eastAsia="Arial" w:hAnsi="Arial"/>
          <w:sz w:val="24"/>
          <w:szCs w:val="24"/>
        </w:rPr>
        <w:t xml:space="preserve">В Европе завершению рецессии, возвращению уверенности инвесторов и стабилизации финансовых рынков будут способствовать меры укрепления европейских интеграционных механизмов. Начнут сказываться первые результаты работы единого надзорного механизма банковского сектора. Укрепление европейской интеграции и финансовой дисциплины стран с общей валютой создаст возможность сохранить стоимость обслуживания государственного долга на приемлемом для возможностей бюджетов проблемных стран уровне, что создаст условия для мягкого разрешения европейского долгового кризиса. В соответствии с основным вариантом прогноза экономику еврозоны удастся стабилизировать во второй половине 2013 года, но в целом за год рост ВВП останется отрицательным (- 0,3%). Начиная с 2014 года, экономика стран общей валюты сможет постепенно увеличивать динамику восстановления, с 1,1% в 2014 году до 1,6% в 2016 году.</w:t>
      </w:r>
    </w:p>
    <w:p>
      <w:pPr>
        <w:spacing w:after="120"/>
        <w:jc w:val="both"/>
      </w:pPr>
      <w:r>
        <w:rPr>
          <w:rFonts w:ascii="Arial" w:cs="Arial" w:eastAsia="Arial" w:hAnsi="Arial"/>
          <w:sz w:val="24"/>
          <w:szCs w:val="24"/>
        </w:rPr>
        <w:t xml:space="preserve">Темпы роста экономики Китая, под воздействием факторов ограничения денежного предложения и сокращения потенциала внешнего спроса, в 2013 году ожидается на уровне 8,0%, прогнозируемый рост в 2014 году на (8,2%) будут поддерживаться большим потенциалом расширения внутреннего спроса и в 2015-2016 годах удержится в среднем на уровне 8,5%.</w:t>
      </w:r>
    </w:p>
    <w:p>
      <w:pPr>
        <w:spacing w:after="120"/>
        <w:jc w:val="both"/>
      </w:pPr>
      <w:r>
        <w:rPr>
          <w:rFonts w:ascii="Arial" w:cs="Arial" w:eastAsia="Arial" w:hAnsi="Arial"/>
          <w:sz w:val="24"/>
          <w:szCs w:val="24"/>
        </w:rPr>
        <w:t xml:space="preserve">Замедление темпов роста экономики Индии за счет мер по сокращению дефицита бюджета достигло 4,0% в 2012 году. Начиная с 2013 года экономический рост ускорится с 5,7 до 6,8% ВВП в 2016 году.</w:t>
      </w:r>
    </w:p>
    <w:p>
      <w:pPr>
        <w:spacing w:after="120"/>
        <w:jc w:val="both"/>
      </w:pPr>
      <w:r>
        <w:rPr>
          <w:rFonts w:ascii="Arial" w:cs="Arial" w:eastAsia="Arial" w:hAnsi="Arial"/>
          <w:sz w:val="24"/>
          <w:szCs w:val="24"/>
        </w:rPr>
        <w:t xml:space="preserve">Варианты прогноза развития экономик России и Казахстана базируются на умеренном восстановлении мировой экономики и снизили прогнозируемые показатели на 2013 год: России - с 3,7% до 2,4%, Казахстана - с 6,2% до 5,5%, на 2014 год России - с 4,3% до 3,7% и Казахстана - с 6,9% до 5,6%. В 2015-2016 годах экономический рост в этих странах прогнозируется в среднем 4,0% и 6,0%, соответственно.</w:t>
      </w:r>
    </w:p>
    <w:p>
      <w:pPr>
        <w:spacing w:after="120"/>
        <w:jc w:val="both"/>
      </w:pPr>
      <w:r>
        <w:rPr>
          <w:rFonts w:ascii="Arial" w:cs="Arial" w:eastAsia="Arial" w:hAnsi="Arial"/>
          <w:sz w:val="24"/>
          <w:szCs w:val="24"/>
        </w:rPr>
        <w:t xml:space="preserve">Основными рисками замедления глобальной экономической динамики в 2013-2014 годах и на период до 2016 года будут оставаться высокая долговая нагрузка на экономику развитых стран, углубление кризиса в зоне евро и ситуация в бюджетной сфере США. Эффективность европейских стабилизационных механизмов может оказаться меньшей, чем ожидается в позитивных сценариях, что потребует более сильного сжатия бюджетов. Спад европейской экономики может продолжиться в 2014 году, а после выхода из рецессии темпы восстановления еврозоны до 2016 года могут остаться ниже одного процента.</w:t>
      </w:r>
    </w:p>
    <w:p>
      <w:pPr>
        <w:spacing w:after="120"/>
        <w:jc w:val="both"/>
      </w:pPr>
      <w:r>
        <w:rPr>
          <w:rFonts w:ascii="Arial" w:cs="Arial" w:eastAsia="Arial" w:hAnsi="Arial"/>
          <w:sz w:val="24"/>
          <w:szCs w:val="24"/>
        </w:rPr>
        <w:t xml:space="preserve">На протяжении прогнозного периода могут сохраняться высокая неопределенность и риски значительного снижения темпов роста американской экономики. Давление на расширение внутреннего спроса, оказываемое факторами сокращения издержек, может сделать неустойчивым рост доходов домашних хозяйств. Необходимость реализации мер бюджетной консолидации сократит поддержку внутреннего спроса. В случае реализации этих рисков рост экономики США может замедлиться до 0,8% в 2013 году, с последующим оживлением динамики в 2016 году до 1,5% ВВП.</w:t>
      </w:r>
    </w:p>
    <w:p>
      <w:pPr>
        <w:spacing w:after="120"/>
        <w:jc w:val="both"/>
      </w:pPr>
      <w:r>
        <w:rPr>
          <w:rFonts w:ascii="Arial" w:cs="Arial" w:eastAsia="Arial" w:hAnsi="Arial"/>
          <w:sz w:val="24"/>
          <w:szCs w:val="24"/>
        </w:rPr>
        <w:t xml:space="preserve">По-прежнему сохраняются риски, связанные с ограничением расширения внутреннего спроса и снижением отдачи от инвестиций в Китае. Динамика развивающихся стран будет также сдерживаться ограниченностью расширения мировой торговли, в результате сжатия рынков в Европе и США. В целом рост мирового ВВП в этом сценарии в 2013-2014 годах снизится до 2,4-2,5%, а в 2015-2016 годах - не превысит 3,1-3,5%.</w:t>
      </w:r>
    </w:p>
    <w:p>
      <w:pPr>
        <w:spacing w:after="120"/>
        <w:jc w:val="both"/>
      </w:pPr>
      <w:r>
        <w:rPr>
          <w:rFonts w:ascii="Arial" w:cs="Arial" w:eastAsia="Arial" w:hAnsi="Arial"/>
          <w:sz w:val="24"/>
          <w:szCs w:val="24"/>
        </w:rPr>
        <w:t xml:space="preserve">Экономический рост в странах СНГ в целом будет опережать рост мировой экономики. Однако по прежнему будет сохраняться сильная зависимость от экономической динамики России, степени и глубины интеграции экономик в общее экономическое пространство, способной смягчить возможное негативное влияние конъюнктуры мировых рынков.</w:t>
      </w:r>
    </w:p>
    <w:p>
      <w:pPr>
        <w:spacing w:after="120"/>
        <w:jc w:val="both"/>
      </w:pPr>
      <w:r>
        <w:rPr>
          <w:rFonts w:ascii="Arial" w:cs="Arial" w:eastAsia="Arial" w:hAnsi="Arial"/>
          <w:sz w:val="24"/>
          <w:szCs w:val="24"/>
        </w:rPr>
        <w:t xml:space="preserve">Кыргызская Республика часть глобальной экономики. Открытость экономики страны в 2011 году составила 104,5%, в 2012 году - 112,3%, экономические отношения все глубже проникают в международные и региональные рынки капитала, товаров и услуг, труда. Соответственно, зависимость от них становится выше. Успехи экономического развития, равно как и неудачи, в значительной степени будут зависеть от способности страны использовать конкурентные преимущества, занимать выгодные ниши в международном разделении труда.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Ситуация на мировом рынке золота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Самым обсуждаемым вопросом с апреля 2013 года стало снижение стоимости золота, хотя аналитики ведущих банков, мировых фондов прогнозировали рекордную отметку - 1800-1900 долларов США за тройскую унцию до конца 2013 года.</w:t>
      </w:r>
    </w:p>
    <w:p>
      <w:pPr>
        <w:spacing w:after="120"/>
        <w:jc w:val="both"/>
      </w:pPr>
      <w:r>
        <w:rPr>
          <w:rFonts w:ascii="Arial" w:cs="Arial" w:eastAsia="Arial" w:hAnsi="Arial"/>
          <w:sz w:val="24"/>
          <w:szCs w:val="24"/>
        </w:rPr>
        <w:t xml:space="preserve">Золото, как правило, рассматривается инвесторами как более надежная альтернатива нестабильным валютам. Однако рынок золота, как и любой другой финансовый рынок подвержен спекулятивному давлению, в частности из-за торговли на нем фьючерсами и другими производными инструментами.</w:t>
      </w:r>
    </w:p>
    <w:p>
      <w:pPr>
        <w:spacing w:after="120"/>
        <w:jc w:val="both"/>
      </w:pPr>
      <w:r>
        <w:rPr>
          <w:rFonts w:ascii="Arial" w:cs="Arial" w:eastAsia="Arial" w:hAnsi="Arial"/>
          <w:sz w:val="24"/>
          <w:szCs w:val="24"/>
        </w:rPr>
        <w:t xml:space="preserve">Если посмотреть на всю историю цен на золото, которая началась в 1973 году после отмены Америкой «золотого стандарта», золото вело себя стабильно. Единственным исключением был период высокой инфляции при Картере, когда золото подскочило за 800 долларов, но быстро вернулось к зоне 400. С 1996 года до 2003 год металл находился в долговременном спаде, он вышел из моды, центробанки многих стран продавали на рынке золото десятками тонн. Горнорудные компании сворачивали инвестиции в золото.</w:t>
      </w:r>
    </w:p>
    <w:p>
      <w:pPr>
        <w:spacing w:after="120"/>
        <w:jc w:val="both"/>
      </w:pPr>
      <w:r>
        <w:rPr>
          <w:rFonts w:ascii="Arial" w:cs="Arial" w:eastAsia="Arial" w:hAnsi="Arial"/>
          <w:sz w:val="24"/>
          <w:szCs w:val="24"/>
        </w:rPr>
        <w:t xml:space="preserve">После 2003 года сработали многие факторы, и цена на золото поднимается вверх уже 10 лет подряд. Аналитики приводят разные аргументы, можно просто перечислить самые главные: накопленный дефицит из-за недоинвестирования в сектор; рост спроса на ювелирные изделия в Китае и Индии; пополнение центробанками золотовалютных резервов; валютные колебания, вызванные введением евро.</w:t>
      </w:r>
    </w:p>
    <w:p>
      <w:pPr>
        <w:spacing w:after="120"/>
        <w:jc w:val="both"/>
      </w:pPr>
      <w:r>
        <w:rPr>
          <w:rFonts w:ascii="Arial" w:cs="Arial" w:eastAsia="Arial" w:hAnsi="Arial"/>
          <w:sz w:val="24"/>
          <w:szCs w:val="24"/>
        </w:rPr>
        <w:t xml:space="preserve">Вместе с тем в 2012 году рост оказался минимальным за последние четыре года - 7%. За весь первый квартал 2013 года по сравнению с декабрем 2012 года драгметалл подешевел на 2,1%.</w:t>
      </w:r>
    </w:p>
    <w:p>
      <w:pPr>
        <w:spacing w:after="120"/>
        <w:jc w:val="both"/>
      </w:pPr>
      <w:r>
        <w:rPr>
          <w:rFonts w:ascii="Arial" w:cs="Arial" w:eastAsia="Arial" w:hAnsi="Arial"/>
          <w:sz w:val="24"/>
          <w:szCs w:val="24"/>
        </w:rPr>
        <w:t xml:space="preserve">До 12 апреля 2013 года золото 18 месяцев держалось в пределах широкого диапазона, между 1525 и 1800 долларов США за тройскую унцию, что стало последней волной роста в рамках длящегося более десятилетия восходящего тренда на рынке золота.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График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Динамика цены золота (в долларах США за тройскую унцию7)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Резкое падение цены на золото, до 1380,00 долларов США за тройскую унцию, началось с апреля 2013 года, с 1700 долларов США с начала года, стоимость которой снизилась на 18,8%.</w:t>
      </w:r>
    </w:p>
    <w:p>
      <w:pPr>
        <w:spacing w:after="120"/>
        <w:jc w:val="both"/>
      </w:pPr>
      <w:r>
        <w:rPr>
          <w:rFonts w:ascii="Arial" w:cs="Arial" w:eastAsia="Arial" w:hAnsi="Arial"/>
          <w:sz w:val="24"/>
          <w:szCs w:val="24"/>
        </w:rPr>
        <w:t xml:space="preserve">Существует несколько мнений о том, почему падают цены на золото:</w:t>
      </w:r>
    </w:p>
    <w:p>
      <w:pPr>
        <w:spacing w:after="120"/>
        <w:jc w:val="both"/>
      </w:pPr>
      <w:r>
        <w:rPr>
          <w:rFonts w:ascii="Arial" w:cs="Arial" w:eastAsia="Arial" w:hAnsi="Arial"/>
          <w:sz w:val="24"/>
          <w:szCs w:val="24"/>
        </w:rPr>
        <w:t xml:space="preserve">1. Замедление темпов экономического роста в Китае. За первые три месяца 2013 года наблюдается замедление экономического роста. При ожидании роста на 8,0%, рост в первом квартале составил 7,7%. Китай - это крупный потребитель буквально всех полезных ископаемых, и золото стало одним из многих сырьевых товаров, резко упавших в цене после сообщений из Пекина. Цены на нефть, медь и многие другие металлы, также существенно снизились.</w:t>
      </w:r>
    </w:p>
    <w:p>
      <w:pPr>
        <w:spacing w:after="120"/>
        <w:jc w:val="both"/>
      </w:pPr>
      <w:r>
        <w:rPr>
          <w:rFonts w:ascii="Arial" w:cs="Arial" w:eastAsia="Arial" w:hAnsi="Arial"/>
          <w:sz w:val="24"/>
          <w:szCs w:val="24"/>
        </w:rPr>
        <w:t xml:space="preserve">2. Резкое падение импорта золота в Индию за первые три месяца 2013 года. Индия является крупнейшим потребителем золота в мире, по данным Ассоциации по торговле золотом в Бомбее, импорт золота в Индию упал в первом квартале 2013 года почти на 24%, до 200 тонн золота, и, судя по всему, падение импорта продолжится в последующие месяцы. Также на продажах золота в Индии негативно сказалось падение курса индийской рупии, что привело к удорожанию золота на внутреннем рынке по сравнению с мировой ценой, которая рассчитывается в долларах США.</w:t>
      </w:r>
    </w:p>
    <w:p>
      <w:pPr>
        <w:spacing w:after="120"/>
        <w:jc w:val="both"/>
      </w:pPr>
      <w:r>
        <w:rPr>
          <w:rFonts w:ascii="Arial" w:cs="Arial" w:eastAsia="Arial" w:hAnsi="Arial"/>
          <w:sz w:val="24"/>
          <w:szCs w:val="24"/>
        </w:rPr>
        <w:t xml:space="preserve">3. Влияние банковского кризиса на Кипре. Многие инвесторы по всему миру покидают рынок золота, чтобы перевести свои капиталы в другие активы. В связи с массовым оттоком капиталов с рынка золота, цена на этот драгметалл упала до рекордных минимальных отметок. Катализатором резкого падения золота стали слухи о возможной продаже части золотого запаса Кипром, чтобы заработать 400 млн. евро для покрытия убытков. Это вызвало опасения того, что это может стать прецедентом для центральных банков других периферийных стран еврозоны. Подобное действие оказало бы гораздо более сильное влияние на рынки золота, учитывая текущие запасы таких стран, как Испания и Италия.</w:t>
      </w:r>
    </w:p>
    <w:p>
      <w:pPr>
        <w:spacing w:after="120"/>
        <w:jc w:val="both"/>
      </w:pPr>
      <w:r>
        <w:rPr>
          <w:rFonts w:ascii="Arial" w:cs="Arial" w:eastAsia="Arial" w:hAnsi="Arial"/>
          <w:sz w:val="24"/>
          <w:szCs w:val="24"/>
        </w:rPr>
        <w:t xml:space="preserve">4. Золото теряет свою ценность, как один из немногих активов в качестве страхового полиса от инфляции и валютных колебаний. Большинство центральных банков всего мира печатают деньги, чтобы возродить свои экономики, однако инфляция со временем резко усилится, уничтожив ценность многих активов, таких как деньги на банковских счетах и неиндексируемые облигации.</w:t>
      </w:r>
    </w:p>
    <w:p>
      <w:pPr>
        <w:spacing w:after="120"/>
        <w:jc w:val="both"/>
      </w:pPr>
      <w:r>
        <w:rPr>
          <w:rFonts w:ascii="Arial" w:cs="Arial" w:eastAsia="Arial" w:hAnsi="Arial"/>
          <w:sz w:val="24"/>
          <w:szCs w:val="24"/>
        </w:rPr>
        <w:t xml:space="preserve">На 1 июня 2013 года рынок золота сумел немного восстановиться и поднялся до 1394,5 долларов США.</w:t>
      </w:r>
    </w:p>
    <w:p>
      <w:pPr>
        <w:spacing w:after="120"/>
        <w:jc w:val="both"/>
      </w:pPr>
      <w:r>
        <w:rPr>
          <w:rFonts w:ascii="Arial" w:cs="Arial" w:eastAsia="Arial" w:hAnsi="Arial"/>
          <w:sz w:val="24"/>
          <w:szCs w:val="24"/>
        </w:rPr>
        <w:t xml:space="preserve">Исходя из реальной ситуации на рынке, ведущие мировые банки понижают прогноз цен на золото на 2013 и последующие годы:</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цен на золото (в долларах США за унцию)</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3"/>
        <w:gridCol w:w="4026"/>
        <w:gridCol w:w="1148"/>
        <w:gridCol w:w="1148"/>
        <w:gridCol w:w="1148"/>
        <w:gridCol w:w="1148"/>
        <w:gridCol w:w="1148"/>
      </w:tblGrid>
      <w:tr>
        <w:tc>
          <w:tcPr>
            <w:tcW w:type="dxa" w:w="41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02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Финансовые учреждения</w:t>
            </w:r>
          </w:p>
        </w:tc>
        <w:tc>
          <w:tcPr>
            <w:tcW w:type="dxa" w:w="114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w:t>
            </w:r>
          </w:p>
        </w:tc>
        <w:tc>
          <w:tcPr>
            <w:tcW w:type="dxa" w:w="114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p>
          <w:p>
            <w:pPr>
              <w:jc w:val="left"/>
            </w:pPr>
            <w:r>
              <w:rPr>
                <w:rFonts w:ascii="Arial" w:cs="Arial" w:eastAsia="Arial" w:hAnsi="Arial"/>
                <w:sz w:val="24"/>
                <w:szCs w:val="24"/>
              </w:rPr>
              <w:t xml:space="preserve">полугодие 2013 г.</w:t>
            </w:r>
          </w:p>
        </w:tc>
        <w:tc>
          <w:tcPr>
            <w:tcW w:type="dxa" w:w="114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w:t>
            </w:r>
          </w:p>
        </w:tc>
        <w:tc>
          <w:tcPr>
            <w:tcW w:type="dxa" w:w="114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w:t>
            </w:r>
          </w:p>
        </w:tc>
        <w:tc>
          <w:tcPr>
            <w:tcW w:type="dxa" w:w="114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 г.</w:t>
            </w:r>
          </w:p>
        </w:tc>
      </w:tr>
      <w:tr>
        <w:tc>
          <w:tcPr>
            <w:tcW w:type="dxa" w:w="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Morgan Stanley</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14.05.13.</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1487</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1487</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2175</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BNP Paribas</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13.05.13.</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1580</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1520</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Deutsche Bank</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10.05.13.</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1533</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1450</w:t>
            </w:r>
          </w:p>
        </w:tc>
      </w:tr>
      <w:tr>
        <w:tc>
          <w:tcPr>
            <w:tcW w:type="dxa" w:w="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Банк HSBC</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29.04.13.</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1542</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1600</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1575</w:t>
            </w:r>
          </w:p>
        </w:tc>
      </w:tr>
      <w:tr>
        <w:tc>
          <w:tcPr>
            <w:tcW w:type="dxa" w:w="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Банк UBS</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23.04.13.</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4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Barclays</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1483</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1450</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4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Goldman Sachs</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10.04.13.</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1530</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1450</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1270</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1390</w:t>
            </w:r>
          </w:p>
        </w:tc>
      </w:tr>
      <w:tr>
        <w:tc>
          <w:tcPr>
            <w:tcW w:type="dxa" w:w="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4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Credit Suisse</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17.05.13.</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1350</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r>
      <w:tr>
        <w:tc>
          <w:tcPr>
            <w:tcW w:type="dxa" w:w="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4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SaxoBank</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1300</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1300</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4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Commerzbank</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1300</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1300</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1300</w:t>
            </w:r>
          </w:p>
        </w:tc>
      </w:tr>
      <w:tr>
        <w:tc>
          <w:tcPr>
            <w:tcW w:type="dxa" w:w="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4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JPMorgan</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28.05.13.</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1450</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1595</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1650</w:t>
            </w:r>
          </w:p>
        </w:tc>
      </w:tr>
      <w:tr>
        <w:tc>
          <w:tcPr>
            <w:tcW w:type="dxa" w:w="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4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Лондонский GFMS</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1800-1900</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4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Financial Forecast Center8</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09.05.13.</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1518</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1764</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Средние цены</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1429,4</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1470,0</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1390,0</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1394,2</w:t>
            </w:r>
          </w:p>
        </w:tc>
      </w:tr>
      <w:tr>
        <w:tc>
          <w:tcPr>
            <w:tcW w:type="dxa" w:w="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Консенсус - прогноз для расчета объемов9</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31.05.13.</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1558, 110</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1450</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1270</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Как известно, при прогнозировании макроэкономических показателей на 2013 финансовый год (утвержден постановлением Правительства Кыргызской Республики от 12 сентября 2012 года № 613), для расчета объемов металлургического производства, несмотря на оптимистические прогнозы ведущих аналитиков крупных банков мира, цены на золото на уровне 1800-2000 долларов США за унцию, в расчет была принята цена ниже, на уровне 1700,0 долларов США за унцию.</w:t>
      </w:r>
    </w:p>
    <w:p>
      <w:pPr>
        <w:spacing w:after="120"/>
        <w:jc w:val="both"/>
      </w:pPr>
      <w:r>
        <w:rPr>
          <w:rFonts w:ascii="Arial" w:cs="Arial" w:eastAsia="Arial" w:hAnsi="Arial"/>
          <w:sz w:val="24"/>
          <w:szCs w:val="24"/>
        </w:rPr>
        <w:t xml:space="preserve">Учитывая фактически сложившуюся ситуацию на рынке золота, с учетом спада цены на золото, произведен перерасчет объемов производства, где на 2013 год принята расчетная цена 1450 долларов США, которая ведет к уменьшению номинального объема, а на 2014 год -1270 долларов США за унцию.</w:t>
      </w:r>
    </w:p>
    <w:p>
      <w:pPr>
        <w:spacing w:after="120"/>
        <w:jc w:val="both"/>
      </w:pPr>
      <w:r>
        <w:rPr>
          <w:rFonts w:ascii="Arial" w:cs="Arial" w:eastAsia="Arial" w:hAnsi="Arial"/>
          <w:sz w:val="24"/>
          <w:szCs w:val="24"/>
        </w:rPr>
        <w:t xml:space="preserve">Соответственно номинальный объем внутреннего валового продукта на 2014 год спрогнозирован на уровне 401,0 млрд. сомов с реальным ростом объема на 6,9%.</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Изменение номинального объема ВВП при снижении стоимости золота, замедлении темпов роста ИПЦ</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49"/>
        <w:gridCol w:w="1975"/>
        <w:gridCol w:w="1903"/>
        <w:gridCol w:w="794"/>
        <w:gridCol w:w="1358"/>
      </w:tblGrid>
      <w:tr>
        <w:tc>
          <w:tcPr>
            <w:tcW w:type="dxa" w:w="4149"/>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Показатели</w:t>
            </w:r>
          </w:p>
        </w:tc>
        <w:tc>
          <w:tcPr>
            <w:tcW w:type="dxa" w:w="197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 утв.</w:t>
            </w:r>
          </w:p>
        </w:tc>
        <w:tc>
          <w:tcPr>
            <w:tcW w:type="dxa" w:w="190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 переем.</w:t>
            </w:r>
          </w:p>
        </w:tc>
        <w:tc>
          <w:tcPr>
            <w:tcW w:type="dxa" w:w="79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Откл. (+/-)</w:t>
            </w:r>
          </w:p>
        </w:tc>
        <w:tc>
          <w:tcPr>
            <w:tcW w:type="dxa" w:w="135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 прогноз</w:t>
            </w:r>
          </w:p>
        </w:tc>
      </w:tr>
      <w:tr>
        <w:tc>
          <w:tcPr>
            <w:vMerge w:val="continue"/>
            <w:tcBorders>
              <w:top w:val="single" w:color="CBBF9E" w:sz="4"/>
              <w:left w:val="single" w:color="CBBF9E" w:sz="4"/>
              <w:bottom w:val="single" w:color="CBBF9E" w:sz="4"/>
              <w:right w:val="single" w:color="CBBF9E" w:sz="4"/>
            </w:tcBorders>
          </w:tcPr>
          <w:p/>
        </w:tc>
        <w:tc>
          <w:tcPr>
            <w:tcW w:type="dxa" w:w="1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Цена золота = 1.700 $/тр.унц.</w:t>
            </w:r>
          </w:p>
        </w:tc>
        <w:tc>
          <w:tcPr>
            <w:tcW w:type="dxa" w:w="1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Цена золота = 1450 $/тр.унц </w:t>
            </w:r>
          </w:p>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tcW w:type="dxa" w:w="1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Цена золота = 1270</w:t>
            </w:r>
          </w:p>
          <w:p>
            <w:pPr>
              <w:jc w:val="left"/>
            </w:pPr>
            <w:r>
              <w:rPr>
                <w:rFonts w:ascii="Arial" w:cs="Arial" w:eastAsia="Arial" w:hAnsi="Arial"/>
                <w:sz w:val="24"/>
                <w:szCs w:val="24"/>
              </w:rPr>
              <w:t xml:space="preserve">$/гр.унц.</w:t>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 млн. сомов</w:t>
            </w:r>
          </w:p>
        </w:tc>
        <w:tc>
          <w:tcPr>
            <w:tcW w:type="dxa" w:w="1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354419,5</w:t>
            </w:r>
          </w:p>
        </w:tc>
        <w:tc>
          <w:tcPr>
            <w:tcW w:type="dxa" w:w="1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351140,8</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-3278,7</w:t>
            </w:r>
          </w:p>
        </w:tc>
        <w:tc>
          <w:tcPr>
            <w:tcW w:type="dxa" w:w="1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401030,0</w:t>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1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w:t>
            </w:r>
          </w:p>
        </w:tc>
        <w:tc>
          <w:tcPr>
            <w:tcW w:type="dxa" w:w="1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Дефлятор, %</w:t>
            </w:r>
          </w:p>
        </w:tc>
        <w:tc>
          <w:tcPr>
            <w:tcW w:type="dxa" w:w="1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108,4</w:t>
            </w:r>
          </w:p>
        </w:tc>
        <w:tc>
          <w:tcPr>
            <w:tcW w:type="dxa" w:w="1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1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Предприятия по разработке месторождения Кумтор, млн. сомов</w:t>
            </w:r>
          </w:p>
        </w:tc>
        <w:tc>
          <w:tcPr>
            <w:tcW w:type="dxa" w:w="1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89063,0</w:t>
            </w:r>
          </w:p>
        </w:tc>
        <w:tc>
          <w:tcPr>
            <w:tcW w:type="dxa" w:w="1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60733,6</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-28329,4</w:t>
            </w:r>
          </w:p>
        </w:tc>
        <w:tc>
          <w:tcPr>
            <w:tcW w:type="dxa" w:w="1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67025,6</w:t>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c>
          <w:tcPr>
            <w:tcW w:type="dxa" w:w="1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85,6</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-18,4</w:t>
            </w:r>
          </w:p>
        </w:tc>
        <w:tc>
          <w:tcPr>
            <w:tcW w:type="dxa" w:w="1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87,6</w:t>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физического роста, %</w:t>
            </w:r>
          </w:p>
        </w:tc>
        <w:tc>
          <w:tcPr>
            <w:tcW w:type="dxa" w:w="1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127,5</w:t>
            </w:r>
          </w:p>
        </w:tc>
        <w:tc>
          <w:tcPr>
            <w:tcW w:type="dxa" w:w="1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140,0</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w:t>
            </w:r>
          </w:p>
        </w:tc>
        <w:tc>
          <w:tcPr>
            <w:tcW w:type="dxa" w:w="1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126,0</w:t>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Добавленная стоимость, млн. сомов</w:t>
            </w:r>
          </w:p>
        </w:tc>
        <w:tc>
          <w:tcPr>
            <w:tcW w:type="dxa" w:w="1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32884,2</w:t>
            </w:r>
          </w:p>
        </w:tc>
        <w:tc>
          <w:tcPr>
            <w:tcW w:type="dxa" w:w="1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23580,6</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-9303,6</w:t>
            </w:r>
          </w:p>
        </w:tc>
        <w:tc>
          <w:tcPr>
            <w:tcW w:type="dxa" w:w="1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25822,4</w:t>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 млн. сомов</w:t>
            </w:r>
          </w:p>
        </w:tc>
        <w:tc>
          <w:tcPr>
            <w:tcW w:type="dxa" w:w="1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189033,7</w:t>
            </w:r>
          </w:p>
        </w:tc>
        <w:tc>
          <w:tcPr>
            <w:tcW w:type="dxa" w:w="1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157277,6</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-31756,1</w:t>
            </w:r>
          </w:p>
        </w:tc>
        <w:tc>
          <w:tcPr>
            <w:tcW w:type="dxa" w:w="1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176265,4</w:t>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(по валовой продукции)</w:t>
            </w:r>
          </w:p>
        </w:tc>
        <w:tc>
          <w:tcPr>
            <w:tcW w:type="dxa" w:w="1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105,7</w:t>
            </w:r>
          </w:p>
        </w:tc>
        <w:tc>
          <w:tcPr>
            <w:tcW w:type="dxa" w:w="1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98,6</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w:t>
            </w:r>
          </w:p>
        </w:tc>
        <w:tc>
          <w:tcPr>
            <w:tcW w:type="dxa" w:w="1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99,4</w:t>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физического роста, %</w:t>
            </w:r>
          </w:p>
        </w:tc>
        <w:tc>
          <w:tcPr>
            <w:tcW w:type="dxa" w:w="1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117,1</w:t>
            </w:r>
          </w:p>
        </w:tc>
        <w:tc>
          <w:tcPr>
            <w:tcW w:type="dxa" w:w="1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118,2</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112,8</w:t>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Добавленная стоимость, млн. сомов</w:t>
            </w:r>
          </w:p>
        </w:tc>
        <w:tc>
          <w:tcPr>
            <w:tcW w:type="dxa" w:w="1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65242,3</w:t>
            </w:r>
          </w:p>
        </w:tc>
        <w:tc>
          <w:tcPr>
            <w:tcW w:type="dxa" w:w="1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59370,3</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-5872,0</w:t>
            </w:r>
          </w:p>
        </w:tc>
        <w:tc>
          <w:tcPr>
            <w:tcW w:type="dxa" w:w="1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66537,9</w:t>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 млн. сомов</w:t>
            </w:r>
          </w:p>
        </w:tc>
        <w:tc>
          <w:tcPr>
            <w:tcW w:type="dxa" w:w="1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184990,3</w:t>
            </w:r>
          </w:p>
        </w:tc>
        <w:tc>
          <w:tcPr>
            <w:tcW w:type="dxa" w:w="1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184200,8</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-789,5</w:t>
            </w:r>
          </w:p>
        </w:tc>
        <w:tc>
          <w:tcPr>
            <w:tcW w:type="dxa" w:w="1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203103,5</w:t>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(по валовой продукции), %</w:t>
            </w:r>
          </w:p>
        </w:tc>
        <w:tc>
          <w:tcPr>
            <w:tcW w:type="dxa" w:w="1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108,4</w:t>
            </w:r>
          </w:p>
        </w:tc>
        <w:tc>
          <w:tcPr>
            <w:tcW w:type="dxa" w:w="1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108,2</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p>
        </w:tc>
        <w:tc>
          <w:tcPr>
            <w:tcW w:type="dxa" w:w="1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108,1</w:t>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физического роста, %</w:t>
            </w:r>
          </w:p>
        </w:tc>
        <w:tc>
          <w:tcPr>
            <w:tcW w:type="dxa" w:w="1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1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101,6</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c>
          <w:tcPr>
            <w:tcW w:type="dxa" w:w="1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Добавленная стоимость, млн. сомов</w:t>
            </w:r>
          </w:p>
        </w:tc>
        <w:tc>
          <w:tcPr>
            <w:tcW w:type="dxa" w:w="1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61991,0</w:t>
            </w:r>
          </w:p>
        </w:tc>
        <w:tc>
          <w:tcPr>
            <w:tcW w:type="dxa" w:w="1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58472,5</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-3518,5</w:t>
            </w:r>
          </w:p>
        </w:tc>
        <w:tc>
          <w:tcPr>
            <w:tcW w:type="dxa" w:w="1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64473,0</w:t>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 млн. сомов</w:t>
            </w:r>
          </w:p>
        </w:tc>
        <w:tc>
          <w:tcPr>
            <w:tcW w:type="dxa" w:w="1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63741,1</w:t>
            </w:r>
          </w:p>
        </w:tc>
        <w:tc>
          <w:tcPr>
            <w:tcW w:type="dxa" w:w="1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65939,2</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2198,1</w:t>
            </w:r>
          </w:p>
        </w:tc>
        <w:tc>
          <w:tcPr>
            <w:tcW w:type="dxa" w:w="1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80820,2</w:t>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(по валовой продукции), %</w:t>
            </w:r>
          </w:p>
        </w:tc>
        <w:tc>
          <w:tcPr>
            <w:tcW w:type="dxa" w:w="1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c>
          <w:tcPr>
            <w:tcW w:type="dxa" w:w="1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физического роста, %</w:t>
            </w:r>
          </w:p>
        </w:tc>
        <w:tc>
          <w:tcPr>
            <w:tcW w:type="dxa" w:w="1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c>
          <w:tcPr>
            <w:tcW w:type="dxa" w:w="1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112,5</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115,5</w:t>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Добавленная стоимость, млн. сомов</w:t>
            </w:r>
          </w:p>
        </w:tc>
        <w:tc>
          <w:tcPr>
            <w:tcW w:type="dxa" w:w="1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20327,0</w:t>
            </w:r>
          </w:p>
        </w:tc>
        <w:tc>
          <w:tcPr>
            <w:tcW w:type="dxa" w:w="1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20803,8</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476,8</w:t>
            </w:r>
          </w:p>
        </w:tc>
        <w:tc>
          <w:tcPr>
            <w:tcW w:type="dxa" w:w="1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25498,7</w:t>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Услуги, млн. сомов</w:t>
            </w:r>
          </w:p>
        </w:tc>
        <w:tc>
          <w:tcPr>
            <w:tcW w:type="dxa" w:w="1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301877,4</w:t>
            </w:r>
          </w:p>
        </w:tc>
        <w:tc>
          <w:tcPr>
            <w:tcW w:type="dxa" w:w="1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299892,9</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-1984,5</w:t>
            </w:r>
          </w:p>
        </w:tc>
        <w:tc>
          <w:tcPr>
            <w:tcW w:type="dxa" w:w="1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343847,6</w:t>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(по валовой продукции), %</w:t>
            </w:r>
          </w:p>
        </w:tc>
        <w:tc>
          <w:tcPr>
            <w:tcW w:type="dxa" w:w="1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109,7</w:t>
            </w:r>
          </w:p>
        </w:tc>
        <w:tc>
          <w:tcPr>
            <w:tcW w:type="dxa" w:w="1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109,8</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1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108,7</w:t>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физического роста (по валовой продукции), %</w:t>
            </w:r>
          </w:p>
        </w:tc>
        <w:tc>
          <w:tcPr>
            <w:tcW w:type="dxa" w:w="1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c>
          <w:tcPr>
            <w:tcW w:type="dxa" w:w="1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105,7</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1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Добавленная стоимость, млн. сомов</w:t>
            </w:r>
          </w:p>
        </w:tc>
        <w:tc>
          <w:tcPr>
            <w:tcW w:type="dxa" w:w="1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166062,2</w:t>
            </w:r>
          </w:p>
        </w:tc>
        <w:tc>
          <w:tcPr>
            <w:tcW w:type="dxa" w:w="1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164672,3</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-1389,9</w:t>
            </w:r>
          </w:p>
        </w:tc>
        <w:tc>
          <w:tcPr>
            <w:tcW w:type="dxa" w:w="1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189495,6</w:t>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Налоги на продукты и импорт млн. сомов</w:t>
            </w:r>
          </w:p>
        </w:tc>
        <w:tc>
          <w:tcPr>
            <w:tcW w:type="dxa" w:w="1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40797,0</w:t>
            </w:r>
          </w:p>
        </w:tc>
        <w:tc>
          <w:tcPr>
            <w:tcW w:type="dxa" w:w="1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47821,9</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7024,9</w:t>
            </w:r>
          </w:p>
        </w:tc>
        <w:tc>
          <w:tcPr>
            <w:tcW w:type="dxa" w:w="1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55024,8</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Резюмируя, необходимо отметить, что некоторые аналитики сохраняют оптимистичный прогноз по золоту уже во второй половине 2013 года, но в то же время процесс восстановления доверия инвесторов будет затяжным (поскольку ситуация превратилась в психологическую войну) и полагаем, что еще рано будет говорить о полноценной смене тренда цены.</w:t>
      </w:r>
    </w:p>
    <w:p>
      <w:pPr>
        <w:spacing w:after="120"/>
        <w:jc w:val="both"/>
      </w:pPr>
      <w:r>
        <w:rPr>
          <w:rFonts w:ascii="Arial" w:cs="Arial" w:eastAsia="Arial" w:hAnsi="Arial"/>
          <w:sz w:val="24"/>
          <w:szCs w:val="24"/>
        </w:rPr>
        <w:t xml:space="preserve">В случае продолжения снижения цен на золото основными рисками являются сокращение в горнодобывающих компаниях объемов производства (спад ИФО), а также капитальных вложений, направляемых на развитие, соответственно выпадением доходной части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Макроэкономические показатели, ожидаемые в 2013 году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Главной целью экономической политики на 2013 год является восстановление макроэкономической стабильности и обеспечение положительной динамики экономического роста во всех секторах экономики.</w:t>
      </w:r>
    </w:p>
    <w:p>
      <w:pPr>
        <w:spacing w:after="120"/>
        <w:jc w:val="both"/>
      </w:pPr>
      <w:r>
        <w:rPr>
          <w:rFonts w:ascii="Arial" w:cs="Arial" w:eastAsia="Arial" w:hAnsi="Arial"/>
          <w:sz w:val="24"/>
          <w:szCs w:val="24"/>
        </w:rPr>
        <w:t xml:space="preserve">Для этого Правительство Кыргызской Республики будет выполнять свою основную регулятивную функцию, которая заключается в создании эффективной деловой среды в экономике. Это, с одной стороны, - поддержание здоровой и устойчивой макроэкономической ситуации средствами монетарной, фискальной и других видов экономической политики. С другой стороны, установление единых правил хозяйственной деятельности для всех участников, обеспечение конкурентной среды, выработка и контроль над соблюдением нормативов и стандартов, лицензирование, а также переориентация части отечественного бизнеса в связи с перспективами вступления в Таможенный союз и интеграция в будущий Евразийский экономический союз.</w:t>
      </w:r>
    </w:p>
    <w:p>
      <w:pPr>
        <w:spacing w:after="120"/>
        <w:jc w:val="both"/>
      </w:pPr>
      <w:r>
        <w:rPr>
          <w:rFonts w:ascii="Arial" w:cs="Arial" w:eastAsia="Arial" w:hAnsi="Arial"/>
          <w:sz w:val="24"/>
          <w:szCs w:val="24"/>
        </w:rPr>
        <w:t xml:space="preserve">Будет продолжена работа по таким направлениям экономической политики, как стимулирование экономического роста через равномерное распределение налогового бремени на экономику, привлечение внешних и внутренних инвестиций в инфраструктуру, улучшение бизнес-среды и инвестиционного климата, интегрирование экономики в региональную экономическую систему, а также реализация структурных реформ для развития ключевых отраслей экономики (энергетика, горная добыча, переработка сельхозпродукции, транспорт, финансовый сектор и другое); обеспечение продовольственной безопасности через повышение объема внутреннего производства и производительности в сельском хозяйстве, а также создание государственных резервов в достаточном объеме; эффективное управление собственными активами; поддержание либерального торгового режима, установление новых и развитие традиционных двусторонних и многосторонних взаимовыгодных экономических связей, выход на новые рынки сбыта отечественной продукции, увеличение экспорта продукции и постепенного уменьшения отрицательного сальдо торгового баланса.</w:t>
      </w:r>
    </w:p>
    <w:p>
      <w:pPr>
        <w:spacing w:after="120"/>
        <w:jc w:val="both"/>
      </w:pPr>
      <w:r>
        <w:rPr>
          <w:rFonts w:ascii="Arial" w:cs="Arial" w:eastAsia="Arial" w:hAnsi="Arial"/>
          <w:sz w:val="24"/>
          <w:szCs w:val="24"/>
        </w:rPr>
        <w:t xml:space="preserve">Работа по этим направлениям активно продвигается в рамках </w:t>
      </w:r>
      <w:hyperlink w:history="1" r:id="rIdj6ryclvtu56hangbyedat">
        <w:r>
          <w:rPr>
            <w:rFonts w:ascii="Arial" w:cs="Arial" w:eastAsia="Arial" w:hAnsi="Arial"/>
            <w:color w:val="1D4ED8"/>
            <w:sz w:val="24"/>
            <w:szCs w:val="24"/>
            <w:u w:val="single"/>
          </w:rPr>
          <w:t xml:space="preserve">Плана</w:t>
        </w:r>
      </w:hyperlink>
      <w:r>
        <w:rPr>
          <w:rFonts w:ascii="Arial" w:cs="Arial" w:eastAsia="Arial" w:hAnsi="Arial"/>
          <w:sz w:val="24"/>
          <w:szCs w:val="24"/>
        </w:rPr>
        <w:t xml:space="preserve"> мероприятий на 2013 год по реализации Программы Правительства Кыргызской Республики (</w:t>
      </w:r>
      <w:hyperlink w:history="1" r:id="rIdskgwxclfrziqibnpeipp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5 марта 2013 года № 111). Большая часть Плана действий сфокусирована на снятии барьеров и упрощении среды для бизнеса.</w:t>
      </w:r>
    </w:p>
    <w:p>
      <w:pPr>
        <w:spacing w:after="120"/>
        <w:jc w:val="both"/>
      </w:pPr>
      <w:r>
        <w:rPr>
          <w:rFonts w:ascii="Arial" w:cs="Arial" w:eastAsia="Arial" w:hAnsi="Arial"/>
          <w:sz w:val="24"/>
          <w:szCs w:val="24"/>
        </w:rPr>
        <w:t xml:space="preserve">Результатом действий будет обеспечение ожидаемого экономического роста на уровне 7,8%, в основу которого закладывались такие основные факторы как:</w:t>
      </w:r>
    </w:p>
    <w:p>
      <w:pPr>
        <w:spacing w:after="120"/>
        <w:jc w:val="both"/>
      </w:pPr>
      <w:r>
        <w:rPr>
          <w:rFonts w:ascii="Arial" w:cs="Arial" w:eastAsia="Arial" w:hAnsi="Arial"/>
          <w:sz w:val="24"/>
          <w:szCs w:val="24"/>
        </w:rPr>
        <w:t xml:space="preserve">- фактически сложившиеся тенденции - эффект низкой базы 2012 года;</w:t>
      </w:r>
    </w:p>
    <w:p>
      <w:pPr>
        <w:spacing w:after="120"/>
        <w:jc w:val="both"/>
      </w:pPr>
      <w:r>
        <w:rPr>
          <w:rFonts w:ascii="Arial" w:cs="Arial" w:eastAsia="Arial" w:hAnsi="Arial"/>
          <w:sz w:val="24"/>
          <w:szCs w:val="24"/>
        </w:rPr>
        <w:t xml:space="preserve">- восстановление работы на предприятиях по разработке месторождения Кумтор после ремонтно-восстановительных работ и ожидаемое увеличение объемов добычи, а также полный запуск производства листового стекла;</w:t>
      </w:r>
    </w:p>
    <w:p>
      <w:pPr>
        <w:spacing w:after="120"/>
        <w:jc w:val="both"/>
      </w:pPr>
      <w:r>
        <w:rPr>
          <w:rFonts w:ascii="Arial" w:cs="Arial" w:eastAsia="Arial" w:hAnsi="Arial"/>
          <w:sz w:val="24"/>
          <w:szCs w:val="24"/>
        </w:rPr>
        <w:t xml:space="preserve">- ожидаемая стабильная работа в сфере услуг и благоприятные погодные условия для сельского хозяйства;</w:t>
      </w:r>
    </w:p>
    <w:p>
      <w:pPr>
        <w:spacing w:after="120"/>
        <w:jc w:val="both"/>
      </w:pPr>
      <w:r>
        <w:rPr>
          <w:rFonts w:ascii="Arial" w:cs="Arial" w:eastAsia="Arial" w:hAnsi="Arial"/>
          <w:sz w:val="24"/>
          <w:szCs w:val="24"/>
        </w:rPr>
        <w:t xml:space="preserve">- стабильно развивающиеся торгово-экономические отношения со странами - торговыми партнерами страны;</w:t>
      </w:r>
    </w:p>
    <w:p>
      <w:pPr>
        <w:spacing w:after="120"/>
        <w:jc w:val="both"/>
      </w:pPr>
      <w:r>
        <w:rPr>
          <w:rFonts w:ascii="Arial" w:cs="Arial" w:eastAsia="Arial" w:hAnsi="Arial"/>
          <w:sz w:val="24"/>
          <w:szCs w:val="24"/>
        </w:rPr>
        <w:t xml:space="preserve">- осторожный подход при формировании прогнозных значений объемов металлургического производства и сферы услуг из-за неспокойной внутриполитической обстановки в стране, которая негативно влияет на достижение целевых макроэкономических параметров (остановка горных работ и сокращение объемов добычи руды на месторождение Кумтор (майские события в Джеты-Огузском районе) и движение отвалов на руднике; незавершенность вопросов по Соглашению с ЗАО «Кумтор Оперейтинг Компани»; снижение объемов сферы услуг из-за перекрытия дорог местным населением (майские события в Джалал-Абадской области); отсрочка запуска новых месторождений из-за конфликтов с местным населением, а также приостановление действия лицензий до устранения ряда нарушений и т.д).</w:t>
      </w:r>
    </w:p>
    <w:p>
      <w:pPr>
        <w:spacing w:after="120"/>
        <w:jc w:val="both"/>
      </w:pPr>
      <w:r>
        <w:rPr>
          <w:rFonts w:ascii="Arial" w:cs="Arial" w:eastAsia="Arial" w:hAnsi="Arial"/>
          <w:sz w:val="24"/>
          <w:szCs w:val="24"/>
        </w:rPr>
        <w:t xml:space="preserve">Согласно расчету, в 2013 году номинальный объем ВВП ожидается в сумме 351,1 млрд. сомов, против ранее прогнозируемого номинального объема 354,4 млрд. сомов. Такое ожидаемое снижение сформировано исходя из следующих предпосылок:</w:t>
      </w:r>
    </w:p>
    <w:p>
      <w:pPr>
        <w:spacing w:after="120"/>
        <w:jc w:val="both"/>
      </w:pPr>
      <w:r>
        <w:rPr>
          <w:rFonts w:ascii="Arial" w:cs="Arial" w:eastAsia="Arial" w:hAnsi="Arial"/>
          <w:sz w:val="24"/>
          <w:szCs w:val="24"/>
        </w:rPr>
        <w:t xml:space="preserve">- резкое падение цены на золото (на 18,8% с начала года), в результате чего произведен перерасчет, где на 2013 год принята расчетная цена - 1450 долларов США, вместо ранее принятой цены - 1700 долларов США, которая ведет к уменьшению номинального объема (см. раздел 4);</w:t>
      </w:r>
    </w:p>
    <w:p>
      <w:pPr>
        <w:spacing w:after="120"/>
        <w:jc w:val="both"/>
      </w:pPr>
      <w:r>
        <w:rPr>
          <w:rFonts w:ascii="Arial" w:cs="Arial" w:eastAsia="Arial" w:hAnsi="Arial"/>
          <w:sz w:val="24"/>
          <w:szCs w:val="24"/>
        </w:rPr>
        <w:t xml:space="preserve">- замедление темпов роста индекса потребительских цен (ИПЦ) и соответственно показателя дефлятора ВВП, без учета предприятий по разработке месторождения Кумтор;</w:t>
      </w:r>
    </w:p>
    <w:p>
      <w:pPr>
        <w:spacing w:after="120"/>
        <w:jc w:val="both"/>
      </w:pPr>
      <w:r>
        <w:rPr>
          <w:rFonts w:ascii="Arial" w:cs="Arial" w:eastAsia="Arial" w:hAnsi="Arial"/>
          <w:sz w:val="24"/>
          <w:szCs w:val="24"/>
        </w:rPr>
        <w:t xml:space="preserve">- сдержанные темпы роста в сфере услуг из-за пересмотра роста мирового ВВП и стран-основных торговых партнеров в сторону снижения.</w:t>
      </w:r>
    </w:p>
    <w:p>
      <w:pPr>
        <w:spacing w:after="120"/>
        <w:jc w:val="both"/>
      </w:pPr>
      <w:r>
        <w:rPr>
          <w:rFonts w:ascii="Arial" w:cs="Arial" w:eastAsia="Arial" w:hAnsi="Arial"/>
          <w:sz w:val="24"/>
          <w:szCs w:val="24"/>
        </w:rPr>
        <w:t xml:space="preserve">Основные ожидаемые социально-экономические показатели в 2013 году сложатся следующим образом:</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Структура и темпы роста по секторам, формирующим ВВП11</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24"/>
        <w:gridCol w:w="988"/>
        <w:gridCol w:w="988"/>
        <w:gridCol w:w="988"/>
        <w:gridCol w:w="862"/>
        <w:gridCol w:w="862"/>
        <w:gridCol w:w="862"/>
        <w:gridCol w:w="862"/>
        <w:gridCol w:w="938"/>
        <w:gridCol w:w="1203"/>
      </w:tblGrid>
      <w:tr>
        <w:tc>
          <w:tcPr>
            <w:tcW w:type="dxa" w:w="1624"/>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Показатели</w:t>
            </w:r>
          </w:p>
        </w:tc>
        <w:tc>
          <w:tcPr>
            <w:tcW w:type="dxa" w:w="2964"/>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год, утвержденный</w:t>
            </w:r>
          </w:p>
        </w:tc>
        <w:tc>
          <w:tcPr>
            <w:tcW w:type="dxa" w:w="3448"/>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год, пересмотренный</w:t>
            </w:r>
          </w:p>
        </w:tc>
        <w:tc>
          <w:tcPr>
            <w:tcW w:type="dxa" w:w="93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год</w:t>
            </w:r>
          </w:p>
        </w:tc>
        <w:tc>
          <w:tcPr>
            <w:tcW w:type="dxa" w:w="120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год</w:t>
            </w:r>
          </w:p>
        </w:tc>
      </w:tr>
      <w:tr>
        <w:tc>
          <w:tcPr>
            <w:vMerge w:val="continue"/>
            <w:tcBorders>
              <w:top w:val="single" w:color="CBBF9E" w:sz="4"/>
              <w:left w:val="single" w:color="CBBF9E" w:sz="4"/>
              <w:bottom w:val="single" w:color="CBBF9E" w:sz="4"/>
              <w:right w:val="single" w:color="CBBF9E" w:sz="4"/>
            </w:tcBorders>
          </w:tcP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вклад в рост ВВП, п.п.</w:t>
            </w:r>
          </w:p>
        </w:tc>
        <w:tc>
          <w:tcPr>
            <w:tcW w:type="dxa" w:w="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w:t>
            </w:r>
          </w:p>
          <w:p>
            <w:pPr>
              <w:jc w:val="left"/>
            </w:pPr>
            <w:r>
              <w:rPr>
                <w:rFonts w:ascii="Arial" w:cs="Arial" w:eastAsia="Arial" w:hAnsi="Arial"/>
                <w:sz w:val="24"/>
                <w:szCs w:val="24"/>
              </w:rPr>
              <w:t xml:space="preserve">к ВВП</w:t>
            </w:r>
          </w:p>
        </w:tc>
        <w:tc>
          <w:tcPr>
            <w:tcW w:type="dxa" w:w="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вклад в рост ВВП, п.п.</w:t>
            </w:r>
          </w:p>
        </w:tc>
        <w:tc>
          <w:tcPr>
            <w:tcW w:type="dxa" w:w="9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откл. (+/-) вклад</w:t>
            </w:r>
          </w:p>
          <w:p>
            <w:pPr>
              <w:jc w:val="left"/>
            </w:pPr>
            <w:r>
              <w:rPr>
                <w:rFonts w:ascii="Arial" w:cs="Arial" w:eastAsia="Arial" w:hAnsi="Arial"/>
                <w:sz w:val="24"/>
                <w:szCs w:val="24"/>
              </w:rPr>
              <w:t xml:space="preserve">п.п.</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откл. (+/-) темп роста.</w:t>
            </w:r>
          </w:p>
        </w:tc>
      </w:tr>
      <w:tr>
        <w:tc>
          <w:tcPr>
            <w:tcW w:type="dxa" w:w="16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w:t>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354419,5</w:t>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351140,8</w:t>
            </w:r>
          </w:p>
        </w:tc>
        <w:tc>
          <w:tcPr>
            <w:tcW w:type="dxa" w:w="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c>
          <w:tcPr>
            <w:tcW w:type="dxa" w:w="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w:t>
            </w:r>
          </w:p>
        </w:tc>
        <w:tc>
          <w:tcPr>
            <w:tcW w:type="dxa" w:w="9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w:t>
            </w:r>
          </w:p>
        </w:tc>
      </w:tr>
      <w:tr>
        <w:tc>
          <w:tcPr>
            <w:tcW w:type="dxa" w:w="16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61991,0</w:t>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0,19</w:t>
            </w:r>
          </w:p>
        </w:tc>
        <w:tc>
          <w:tcPr>
            <w:tcW w:type="dxa" w:w="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58472,5</w:t>
            </w:r>
          </w:p>
        </w:tc>
        <w:tc>
          <w:tcPr>
            <w:tcW w:type="dxa" w:w="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101,6</w:t>
            </w:r>
          </w:p>
        </w:tc>
        <w:tc>
          <w:tcPr>
            <w:tcW w:type="dxa" w:w="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16,7</w:t>
            </w:r>
          </w:p>
        </w:tc>
        <w:tc>
          <w:tcPr>
            <w:tcW w:type="dxa" w:w="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0,28</w:t>
            </w:r>
          </w:p>
        </w:tc>
        <w:tc>
          <w:tcPr>
            <w:tcW w:type="dxa" w:w="9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0,09</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r>
      <w:tr>
        <w:tc>
          <w:tcPr>
            <w:tcW w:type="dxa" w:w="16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65242,3</w:t>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117,9</w:t>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3,08</w:t>
            </w:r>
          </w:p>
        </w:tc>
        <w:tc>
          <w:tcPr>
            <w:tcW w:type="dxa" w:w="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59370,3</w:t>
            </w:r>
          </w:p>
        </w:tc>
        <w:tc>
          <w:tcPr>
            <w:tcW w:type="dxa" w:w="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119,0</w:t>
            </w:r>
          </w:p>
        </w:tc>
        <w:tc>
          <w:tcPr>
            <w:tcW w:type="dxa" w:w="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16,9</w:t>
            </w:r>
          </w:p>
        </w:tc>
        <w:tc>
          <w:tcPr>
            <w:tcW w:type="dxa" w:w="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3,20</w:t>
            </w:r>
          </w:p>
        </w:tc>
        <w:tc>
          <w:tcPr>
            <w:tcW w:type="dxa" w:w="9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r>
      <w:tr>
        <w:tc>
          <w:tcPr>
            <w:tcW w:type="dxa" w:w="16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20327,0</w:t>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0,59</w:t>
            </w:r>
          </w:p>
        </w:tc>
        <w:tc>
          <w:tcPr>
            <w:tcW w:type="dxa" w:w="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20803,8</w:t>
            </w:r>
          </w:p>
        </w:tc>
        <w:tc>
          <w:tcPr>
            <w:tcW w:type="dxa" w:w="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112,5</w:t>
            </w:r>
          </w:p>
        </w:tc>
        <w:tc>
          <w:tcPr>
            <w:tcW w:type="dxa" w:w="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w:t>
            </w:r>
          </w:p>
        </w:tc>
        <w:tc>
          <w:tcPr>
            <w:tcW w:type="dxa" w:w="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0,71</w:t>
            </w:r>
          </w:p>
        </w:tc>
        <w:tc>
          <w:tcPr>
            <w:tcW w:type="dxa" w:w="9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16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Услуги</w:t>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166062,2</w:t>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2,36</w:t>
            </w:r>
          </w:p>
        </w:tc>
        <w:tc>
          <w:tcPr>
            <w:tcW w:type="dxa" w:w="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164672,3</w:t>
            </w:r>
          </w:p>
        </w:tc>
        <w:tc>
          <w:tcPr>
            <w:tcW w:type="dxa" w:w="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c>
          <w:tcPr>
            <w:tcW w:type="dxa" w:w="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46,9</w:t>
            </w:r>
          </w:p>
        </w:tc>
        <w:tc>
          <w:tcPr>
            <w:tcW w:type="dxa" w:w="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2,56</w:t>
            </w:r>
          </w:p>
        </w:tc>
        <w:tc>
          <w:tcPr>
            <w:tcW w:type="dxa" w:w="9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r>
      <w:tr>
        <w:tc>
          <w:tcPr>
            <w:tcW w:type="dxa" w:w="16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Чистые налоги на продукты</w:t>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40797,0</w:t>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w:t>
            </w:r>
          </w:p>
        </w:tc>
        <w:tc>
          <w:tcPr>
            <w:tcW w:type="dxa" w:w="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47821,9</w:t>
            </w:r>
          </w:p>
        </w:tc>
        <w:tc>
          <w:tcPr>
            <w:tcW w:type="dxa" w:w="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c>
          <w:tcPr>
            <w:tcW w:type="dxa" w:w="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w:t>
            </w:r>
          </w:p>
        </w:tc>
        <w:tc>
          <w:tcPr>
            <w:tcW w:type="dxa" w:w="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9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Ожидаемый экономический рост на уровне 7,8% будет обеспечиваться вкладом в ВВП всех секторов экономики. При этом наибольший вклад будет обеспечен со стороны сектора услуг (2,6 процентного пункта) и промышленности (3,2 процентного пункта), а вклады строительства (0,7 процентного пункта) и сельского хозяйства (0,3 процентного пункта) будут минимальными.</w:t>
      </w:r>
    </w:p>
    <w:p>
      <w:pPr>
        <w:spacing w:after="120"/>
        <w:jc w:val="both"/>
      </w:pPr>
      <w:r>
        <w:rPr>
          <w:rFonts w:ascii="Arial" w:cs="Arial" w:eastAsia="Arial" w:hAnsi="Arial"/>
          <w:sz w:val="24"/>
          <w:szCs w:val="24"/>
        </w:rPr>
        <w:t xml:space="preserve">Ожидаемый высокий уровень экономического роста обусловлен низкой базой объемов промышленного производства в 2012 году (отрицательный вклад 4,64 процентного пункта), тем самым обеспечив в ожидаемом 2013 году наибольший положительный вклад в структуре ВВП (3,2 процентного пункта).</w:t>
      </w:r>
    </w:p>
    <w:p>
      <w:pPr>
        <w:spacing w:after="120"/>
        <w:jc w:val="both"/>
      </w:pPr>
      <w:r>
        <w:rPr>
          <w:rFonts w:ascii="Arial" w:cs="Arial" w:eastAsia="Arial" w:hAnsi="Arial"/>
          <w:sz w:val="24"/>
          <w:szCs w:val="24"/>
        </w:rPr>
        <w:t xml:space="preserve">В региональном разрезе основная доля производства ВВП в 2013 году будет обеспечиваться за счет функционирования экономик гор. Бишкек, Чуйской, Иссык-Кульской, Джалал-Абадской областей, с удельным весом 76,5%, суммарный вклад которых в ВВП республики составит 6,7%. Значительная доля в общем объеме производства ВВП Джалал-Абадской (11,6%) и Иссык-Кульской (11,4%) областей связана с тем, что на территории Джалал-Абадской области производится около 90% вырабатываемой в республике электроэнергии, а на территории Иссык-Кульской области расположены предприятия по разработке месторождения Кумтор.</w:t>
      </w:r>
    </w:p>
    <w:p>
      <w:pPr>
        <w:spacing w:after="120"/>
        <w:jc w:val="both"/>
      </w:pPr>
      <w:r>
        <w:rPr>
          <w:rFonts w:ascii="Arial" w:cs="Arial" w:eastAsia="Arial" w:hAnsi="Arial"/>
          <w:sz w:val="24"/>
          <w:szCs w:val="24"/>
        </w:rPr>
        <w:t xml:space="preserve">Оставшаяся часть распределилась между другими областями с наименьшими вкладами (на уровне 1,1%) Ошской, Баткенской, Нарынской и Таласской областей и гор. Ош.</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Вклады регионов в производство ВВП</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57"/>
        <w:gridCol w:w="1410"/>
        <w:gridCol w:w="1410"/>
        <w:gridCol w:w="1275"/>
        <w:gridCol w:w="1275"/>
        <w:gridCol w:w="1275"/>
        <w:gridCol w:w="1275"/>
      </w:tblGrid>
      <w:tr>
        <w:tc>
          <w:tcPr>
            <w:tcW w:type="dxa" w:w="2257"/>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Показатели</w:t>
            </w:r>
          </w:p>
        </w:tc>
        <w:tc>
          <w:tcPr>
            <w:tcW w:type="dxa" w:w="2820"/>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год, предварительный факт</w:t>
            </w:r>
          </w:p>
        </w:tc>
        <w:tc>
          <w:tcPr>
            <w:tcW w:type="dxa" w:w="5100"/>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год, ожидаемый</w:t>
            </w:r>
          </w:p>
        </w:tc>
      </w:tr>
      <w:tr>
        <w:tc>
          <w:tcPr>
            <w:vMerge w:val="continue"/>
            <w:tcBorders>
              <w:top w:val="single" w:color="CBBF9E" w:sz="4"/>
              <w:left w:val="single" w:color="CBBF9E" w:sz="4"/>
              <w:bottom w:val="single" w:color="CBBF9E" w:sz="4"/>
              <w:right w:val="single" w:color="CBBF9E" w:sz="4"/>
            </w:tcBorders>
          </w:tcPr>
          <w:p/>
        </w:tc>
        <w:tc>
          <w:tcPr>
            <w:tcW w:type="dxa" w:w="1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1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1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w:t>
            </w:r>
          </w:p>
          <w:p>
            <w:pPr>
              <w:jc w:val="left"/>
            </w:pPr>
            <w:r>
              <w:rPr>
                <w:rFonts w:ascii="Arial" w:cs="Arial" w:eastAsia="Arial" w:hAnsi="Arial"/>
                <w:sz w:val="24"/>
                <w:szCs w:val="24"/>
              </w:rPr>
              <w:t xml:space="preserve">к ВВП</w:t>
            </w:r>
          </w:p>
        </w:tc>
        <w:tc>
          <w:tcPr>
            <w:tcW w:type="dxa" w:w="1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вклад в рост ВВП, %</w:t>
            </w:r>
          </w:p>
        </w:tc>
      </w:tr>
      <w:tr>
        <w:tc>
          <w:tcPr>
            <w:tcW w:type="dxa" w:w="22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 (Республика)</w:t>
            </w:r>
          </w:p>
        </w:tc>
        <w:tc>
          <w:tcPr>
            <w:tcW w:type="dxa" w:w="1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304350,1</w:t>
            </w:r>
          </w:p>
        </w:tc>
        <w:tc>
          <w:tcPr>
            <w:tcW w:type="dxa" w:w="1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99,1</w:t>
            </w:r>
          </w:p>
        </w:tc>
        <w:tc>
          <w:tcPr>
            <w:tcW w:type="dxa" w:w="1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351140,8</w:t>
            </w:r>
          </w:p>
        </w:tc>
        <w:tc>
          <w:tcPr>
            <w:tcW w:type="dxa" w:w="1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c>
          <w:tcPr>
            <w:tcW w:type="dxa" w:w="1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w:t>
            </w:r>
          </w:p>
        </w:tc>
      </w:tr>
      <w:tr>
        <w:tc>
          <w:tcPr>
            <w:tcW w:type="dxa" w:w="22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14990,7</w:t>
            </w:r>
          </w:p>
        </w:tc>
        <w:tc>
          <w:tcPr>
            <w:tcW w:type="dxa" w:w="1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104,6</w:t>
            </w:r>
          </w:p>
        </w:tc>
        <w:tc>
          <w:tcPr>
            <w:tcW w:type="dxa" w:w="1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17118,6</w:t>
            </w:r>
          </w:p>
        </w:tc>
        <w:tc>
          <w:tcPr>
            <w:tcW w:type="dxa" w:w="1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103,3</w:t>
            </w:r>
          </w:p>
        </w:tc>
        <w:tc>
          <w:tcPr>
            <w:tcW w:type="dxa" w:w="1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w:t>
            </w:r>
          </w:p>
        </w:tc>
        <w:tc>
          <w:tcPr>
            <w:tcW w:type="dxa" w:w="1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0,16</w:t>
            </w:r>
          </w:p>
        </w:tc>
      </w:tr>
      <w:tr>
        <w:tc>
          <w:tcPr>
            <w:tcW w:type="dxa" w:w="22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35336,0</w:t>
            </w:r>
          </w:p>
        </w:tc>
        <w:tc>
          <w:tcPr>
            <w:tcW w:type="dxa" w:w="1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1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39975,2</w:t>
            </w:r>
          </w:p>
        </w:tc>
        <w:tc>
          <w:tcPr>
            <w:tcW w:type="dxa" w:w="1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103,2</w:t>
            </w:r>
          </w:p>
        </w:tc>
        <w:tc>
          <w:tcPr>
            <w:tcW w:type="dxa" w:w="1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w:t>
            </w:r>
          </w:p>
        </w:tc>
        <w:tc>
          <w:tcPr>
            <w:tcW w:type="dxa" w:w="1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0,37</w:t>
            </w:r>
          </w:p>
        </w:tc>
      </w:tr>
      <w:tr>
        <w:tc>
          <w:tcPr>
            <w:tcW w:type="dxa" w:w="22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34847,7</w:t>
            </w:r>
          </w:p>
        </w:tc>
        <w:tc>
          <w:tcPr>
            <w:tcW w:type="dxa" w:w="1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69,9</w:t>
            </w:r>
          </w:p>
        </w:tc>
        <w:tc>
          <w:tcPr>
            <w:tcW w:type="dxa" w:w="1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41700,4</w:t>
            </w:r>
          </w:p>
        </w:tc>
        <w:tc>
          <w:tcPr>
            <w:tcW w:type="dxa" w:w="1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124,5</w:t>
            </w:r>
          </w:p>
        </w:tc>
        <w:tc>
          <w:tcPr>
            <w:tcW w:type="dxa" w:w="1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w:t>
            </w:r>
          </w:p>
        </w:tc>
        <w:tc>
          <w:tcPr>
            <w:tcW w:type="dxa" w:w="1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2,81</w:t>
            </w:r>
          </w:p>
        </w:tc>
      </w:tr>
      <w:tr>
        <w:tc>
          <w:tcPr>
            <w:tcW w:type="dxa" w:w="22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8716,3</w:t>
            </w:r>
          </w:p>
        </w:tc>
        <w:tc>
          <w:tcPr>
            <w:tcW w:type="dxa" w:w="1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w:t>
            </w:r>
          </w:p>
        </w:tc>
        <w:tc>
          <w:tcPr>
            <w:tcW w:type="dxa" w:w="1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10076,3</w:t>
            </w:r>
          </w:p>
        </w:tc>
        <w:tc>
          <w:tcPr>
            <w:tcW w:type="dxa" w:w="1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w:t>
            </w:r>
          </w:p>
        </w:tc>
        <w:tc>
          <w:tcPr>
            <w:tcW w:type="dxa" w:w="1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1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0,19</w:t>
            </w:r>
          </w:p>
        </w:tc>
      </w:tr>
      <w:tr>
        <w:tc>
          <w:tcPr>
            <w:tcW w:type="dxa" w:w="22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30820,3</w:t>
            </w:r>
          </w:p>
        </w:tc>
        <w:tc>
          <w:tcPr>
            <w:tcW w:type="dxa" w:w="1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c>
          <w:tcPr>
            <w:tcW w:type="dxa" w:w="1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35357,1</w:t>
            </w:r>
          </w:p>
        </w:tc>
        <w:tc>
          <w:tcPr>
            <w:tcW w:type="dxa" w:w="1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104,8</w:t>
            </w:r>
          </w:p>
        </w:tc>
        <w:tc>
          <w:tcPr>
            <w:tcW w:type="dxa" w:w="1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w:t>
            </w:r>
          </w:p>
        </w:tc>
        <w:tc>
          <w:tcPr>
            <w:tcW w:type="dxa" w:w="1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0,49</w:t>
            </w:r>
          </w:p>
        </w:tc>
      </w:tr>
      <w:tr>
        <w:tc>
          <w:tcPr>
            <w:tcW w:type="dxa" w:w="22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7352,5</w:t>
            </w:r>
          </w:p>
        </w:tc>
        <w:tc>
          <w:tcPr>
            <w:tcW w:type="dxa" w:w="1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103,8</w:t>
            </w:r>
          </w:p>
        </w:tc>
        <w:tc>
          <w:tcPr>
            <w:tcW w:type="dxa" w:w="1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8180,8</w:t>
            </w:r>
          </w:p>
        </w:tc>
        <w:tc>
          <w:tcPr>
            <w:tcW w:type="dxa" w:w="1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102,8</w:t>
            </w:r>
          </w:p>
        </w:tc>
        <w:tc>
          <w:tcPr>
            <w:tcW w:type="dxa" w:w="1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1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0,07</w:t>
            </w:r>
          </w:p>
        </w:tc>
      </w:tr>
      <w:tr>
        <w:tc>
          <w:tcPr>
            <w:tcW w:type="dxa" w:w="22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43313,7</w:t>
            </w:r>
          </w:p>
        </w:tc>
        <w:tc>
          <w:tcPr>
            <w:tcW w:type="dxa" w:w="1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95,9</w:t>
            </w:r>
          </w:p>
        </w:tc>
        <w:tc>
          <w:tcPr>
            <w:tcW w:type="dxa" w:w="1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49810,8</w:t>
            </w:r>
          </w:p>
        </w:tc>
        <w:tc>
          <w:tcPr>
            <w:tcW w:type="dxa" w:w="1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108,2</w:t>
            </w:r>
          </w:p>
        </w:tc>
        <w:tc>
          <w:tcPr>
            <w:tcW w:type="dxa" w:w="1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w:t>
            </w:r>
          </w:p>
        </w:tc>
        <w:tc>
          <w:tcPr>
            <w:tcW w:type="dxa" w:w="1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w:t>
            </w:r>
          </w:p>
        </w:tc>
      </w:tr>
      <w:tr>
        <w:tc>
          <w:tcPr>
            <w:tcW w:type="dxa" w:w="22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 Бишкек</w:t>
            </w:r>
          </w:p>
        </w:tc>
        <w:tc>
          <w:tcPr>
            <w:tcW w:type="dxa" w:w="1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119254,4</w:t>
            </w:r>
          </w:p>
        </w:tc>
        <w:tc>
          <w:tcPr>
            <w:tcW w:type="dxa" w:w="1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c>
          <w:tcPr>
            <w:tcW w:type="dxa" w:w="1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137748,4</w:t>
            </w:r>
          </w:p>
        </w:tc>
        <w:tc>
          <w:tcPr>
            <w:tcW w:type="dxa" w:w="1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c>
          <w:tcPr>
            <w:tcW w:type="dxa" w:w="1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39,2</w:t>
            </w:r>
          </w:p>
        </w:tc>
        <w:tc>
          <w:tcPr>
            <w:tcW w:type="dxa" w:w="1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w:t>
            </w:r>
          </w:p>
        </w:tc>
      </w:tr>
      <w:tr>
        <w:tc>
          <w:tcPr>
            <w:tcW w:type="dxa" w:w="22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 Ош</w:t>
            </w:r>
          </w:p>
        </w:tc>
        <w:tc>
          <w:tcPr>
            <w:tcW w:type="dxa" w:w="1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9718,6</w:t>
            </w:r>
          </w:p>
        </w:tc>
        <w:tc>
          <w:tcPr>
            <w:tcW w:type="dxa" w:w="1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w:t>
            </w:r>
          </w:p>
        </w:tc>
        <w:tc>
          <w:tcPr>
            <w:tcW w:type="dxa" w:w="1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11173,2</w:t>
            </w:r>
          </w:p>
        </w:tc>
        <w:tc>
          <w:tcPr>
            <w:tcW w:type="dxa" w:w="1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104,9</w:t>
            </w:r>
          </w:p>
        </w:tc>
        <w:tc>
          <w:tcPr>
            <w:tcW w:type="dxa" w:w="1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1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0,16</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результате более низкой, чем ожидалось, инфляции в конце 2012 года и за 5 месяцев 2013 года (101,4%), оценка ожидаемого роста индекса потребительских цен в 2013 году уменьшилась с 8,5% до 6,5%-7,0% к предыдущему году.</w:t>
      </w:r>
    </w:p>
    <w:p>
      <w:pPr>
        <w:spacing w:after="120"/>
        <w:jc w:val="both"/>
      </w:pPr>
      <w:r>
        <w:rPr>
          <w:rFonts w:ascii="Arial" w:cs="Arial" w:eastAsia="Arial" w:hAnsi="Arial"/>
          <w:sz w:val="24"/>
          <w:szCs w:val="24"/>
        </w:rPr>
        <w:t xml:space="preserve">Климатические условия не только в Кыргызской Республике, но и в соседних странах значительно смягчились по сравнению с предыдущим периодом. Завершение ярового сева и хорошее состояние озимых, благоприятные климатические факторы во многих регионах дают повод надеяться на высокий урожай зерновых, который позитивно повлияет на цены. Хороший урожай и высокое предложение предполагают снижение цены на зерно будущего урожая.</w:t>
      </w:r>
    </w:p>
    <w:p>
      <w:pPr>
        <w:spacing w:after="120"/>
        <w:jc w:val="both"/>
      </w:pPr>
      <w:r>
        <w:rPr>
          <w:rFonts w:ascii="Arial" w:cs="Arial" w:eastAsia="Arial" w:hAnsi="Arial"/>
          <w:sz w:val="24"/>
          <w:szCs w:val="24"/>
        </w:rPr>
        <w:t xml:space="preserve">Прогнозируемая умеренная динамика мировых цен на зерно и импортируемое продовольствие будет обеспечивать умеренный рост внутренних цен на продукты, который существенно влияет на потребительские цены. Согласно подготовленному Продовольственной и сельскохозяйственной организацией ООН текущему прогнозу относительно производства пшеницы в мире, его объем в 2013 году составит 695 млн. тонн, что на 5,4% выше урожая прошлого года и всего на 6 млн. т ниже рекордного урожая 2011 года. Ожидается, что основная доля этого прироста придется на страны ЕС и СНГ, где в силу высоких цен произошло расширение посевных площадей, а также в связи с ожидаемым восстановлением обычных объемов урожая в Российской Федерации и Украине, где в прошлом году случилась засуха. По Азии прогнозы также благоприятны, поскольку в основных странах-производителях ожидаются высокие или рекордные урожаи.</w:t>
      </w:r>
    </w:p>
    <w:p>
      <w:pPr>
        <w:spacing w:after="120"/>
        <w:jc w:val="both"/>
      </w:pPr>
      <w:r>
        <w:rPr>
          <w:rFonts w:ascii="Arial" w:cs="Arial" w:eastAsia="Arial" w:hAnsi="Arial"/>
          <w:sz w:val="24"/>
          <w:szCs w:val="24"/>
        </w:rPr>
        <w:t xml:space="preserve">В основу ожидаемого уровня инфляции заложены следующие предпосылки и условия: а) снижение монетарной составляющей инфляции путем ограничения роста денежной массы и стимулирования сбережений населения и регулирования спроса; б) прогнозируемые умеренные показатели инфляции в странах-основных торговых партнерах (Россия - 5,8%, Казахстан - 6,0 - 8,0%, Китай - 3,1%, Еврозона - 1,6%, Мир - 3,8%); в) уменьшение рисков стабильных поставок из стран - поставщиков ГСМ (РФ); г) сезонные колебания цен на сельхозпродукцию; д) успешное применение механизмов таможенно-тарифного регулирования; е) умеренный рост цен на нефтепродукты (Urals до 100-105 долларов США за баррель)12.</w:t>
      </w:r>
    </w:p>
    <w:p>
      <w:pPr>
        <w:spacing w:after="120"/>
        <w:jc w:val="both"/>
      </w:pPr>
      <w:r>
        <w:rPr>
          <w:rFonts w:ascii="Arial" w:cs="Arial" w:eastAsia="Arial" w:hAnsi="Arial"/>
          <w:sz w:val="24"/>
          <w:szCs w:val="24"/>
        </w:rPr>
        <w:t xml:space="preserve">При этом необходимо учитывать возможные риски роста индекса потребительских цен, которые повлияют на повышение целевых ориентиров в 2013 году, такие как: рост мировых цен на продовольствие (цены в 2013 году могут укрепиться на фоне снижения производства и завершения запасов); традиционная зависимость внутреннего рынка хлебопродуктов от импорта муки и зерна, ГСМ (Россия, Казахстан).</w:t>
      </w:r>
    </w:p>
    <w:p>
      <w:pPr>
        <w:spacing w:after="120"/>
        <w:jc w:val="both"/>
      </w:pPr>
      <w:r>
        <w:rPr>
          <w:rFonts w:ascii="Arial" w:cs="Arial" w:eastAsia="Arial" w:hAnsi="Arial"/>
          <w:sz w:val="24"/>
          <w:szCs w:val="24"/>
        </w:rPr>
        <w:t xml:space="preserve">Для недопущения роста инфляции и удержания ее в запланированном коридоре будет продолжена реализация комплекса мер по обеспечению стабильности цен на внутреннем рынке. На постоянной основе будет проводиться мониторинг ситуации на рынке розничных цен на нефтепродукты, продовольственные товары. В случае выявления фактов нарушения антимонопольного законодательства будут приниматься меры антимонопольного регулирования. Будет усилена работа по защите конкуренции, выявлению и пресечению недобросовестной конкуренции, ценового сговора, злоупотреблений субъектами рынка своим доминирующим положением, спекулятивного роста цен, сокращению посреднических звеньев между производителями продукции и конечными потребителями.</w:t>
      </w:r>
    </w:p>
    <w:p>
      <w:pPr>
        <w:spacing w:after="120"/>
        <w:jc w:val="both"/>
      </w:pPr>
      <w:r>
        <w:rPr>
          <w:rFonts w:ascii="Arial" w:cs="Arial" w:eastAsia="Arial" w:hAnsi="Arial"/>
          <w:sz w:val="24"/>
          <w:szCs w:val="24"/>
        </w:rPr>
        <w:t xml:space="preserve">Денежно-кредитная политика будет направлена на сдерживание монетарных факторов инфляции посредством применения инструментов денежно-кредитной политики. При этом первоочередной задачей является формирование адекватных инфляционных ожиданий. Будет сохраняться политика плавающего обменного курса, при которой валютные интервенции будут проводиться в целях недопущения резких колебаний обменного курса.</w:t>
      </w:r>
    </w:p>
    <w:p>
      <w:pPr>
        <w:spacing w:after="120"/>
        <w:jc w:val="both"/>
      </w:pPr>
      <w:r>
        <w:rPr>
          <w:rFonts w:ascii="Arial" w:cs="Arial" w:eastAsia="Arial" w:hAnsi="Arial"/>
          <w:sz w:val="24"/>
          <w:szCs w:val="24"/>
        </w:rPr>
        <w:t xml:space="preserve">Основные направления денежно-кредитной, налогово-бюджетной, инвестиционной, социальной политики будут проводиться в соответствии с принятым Совместным заявлением Правительства Кыргызской Республики и Национального банка Кыргызской Республики об экономической политике на 2013 год (постановление Правительства Кыргызской Республики и Национального банка Кыргызской Республики от 31 января 2013 года № 42/52/1).</w:t>
      </w:r>
    </w:p>
    <w:p>
      <w:pPr>
        <w:spacing w:after="120"/>
        <w:jc w:val="both"/>
      </w:pPr>
      <w:r>
        <w:rPr>
          <w:rFonts w:ascii="Arial" w:cs="Arial" w:eastAsia="Arial" w:hAnsi="Arial"/>
          <w:sz w:val="24"/>
          <w:szCs w:val="24"/>
        </w:rPr>
        <w:t xml:space="preserve">В основных секторах экономики ожидаемые показатели на 2013 год выглядят следующем образом:</w:t>
      </w:r>
    </w:p>
    <w:p>
      <w:pPr>
        <w:spacing w:after="120"/>
        <w:jc w:val="both"/>
      </w:pPr>
      <w:r>
        <w:rPr>
          <w:rFonts w:ascii="Arial" w:cs="Arial" w:eastAsia="Arial" w:hAnsi="Arial"/>
          <w:sz w:val="24"/>
          <w:szCs w:val="24"/>
        </w:rPr>
        <w:t xml:space="preserve">(1) В сельском хозяйстве в 2013 году темп реального прироста ожидается на уровне 1,6%, вместо ранее прогнозируемого -1,0%, за счет прироста в растениеводстве - на 2,3% (против 1,5%) и животноводстве - на 1,0% (против 0,5%). Удельный вес в общем объеме ВВП составит 16,7%, а вклад в рост ВВП - 0,3 процентного пункта.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Изменение динамики темпов роста в сельском хозяйстве, в процентах к предыдущему году</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43"/>
        <w:gridCol w:w="798"/>
        <w:gridCol w:w="1543"/>
        <w:gridCol w:w="1522"/>
        <w:gridCol w:w="832"/>
        <w:gridCol w:w="1140"/>
      </w:tblGrid>
      <w:tr>
        <w:tc>
          <w:tcPr>
            <w:tcW w:type="dxa" w:w="4343"/>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Показатели</w:t>
            </w:r>
          </w:p>
        </w:tc>
        <w:tc>
          <w:tcPr>
            <w:tcW w:type="dxa" w:w="79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 измер.</w:t>
            </w:r>
          </w:p>
          <w:p>
            <w:pPr>
              <w:jc w:val="left"/>
            </w:pPr>
            <w:r>
              <w:rPr>
                <w:rFonts w:ascii="Arial" w:cs="Arial" w:eastAsia="Arial" w:hAnsi="Arial"/>
                <w:sz w:val="24"/>
                <w:szCs w:val="24"/>
              </w:rPr>
              <w:t xml:space="preserve"/>
            </w:r>
          </w:p>
        </w:tc>
        <w:tc>
          <w:tcPr>
            <w:tcW w:type="dxa" w:w="154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152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w:t>
            </w:r>
          </w:p>
        </w:tc>
        <w:tc>
          <w:tcPr>
            <w:tcW w:type="dxa" w:w="83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w:t>
            </w:r>
          </w:p>
        </w:tc>
        <w:tc>
          <w:tcPr>
            <w:tcW w:type="dxa" w:w="114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Отклонение</w:t>
            </w:r>
          </w:p>
          <w:p>
            <w:pPr>
              <w:jc w:val="left"/>
            </w:pPr>
            <w:r>
              <w:rPr>
                <w:rFonts w:ascii="Arial" w:cs="Arial" w:eastAsia="Arial" w:hAnsi="Arial"/>
                <w:sz w:val="24"/>
                <w:szCs w:val="24"/>
              </w:rPr>
              <w:t xml:space="preserve">от прогноза (+,-)</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предварительный факт.</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утвержденный прогноз</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w:t>
            </w:r>
          </w:p>
        </w:tc>
        <w:tc>
          <w:tcPr>
            <w:vMerge w:val="continue"/>
            <w:tcBorders>
              <w:top w:val="single" w:color="CBBF9E" w:sz="4"/>
              <w:left w:val="none" w:color="auto" w:sz="0"/>
              <w:bottom w:val="single" w:color="CBBF9E" w:sz="4"/>
              <w:right w:val="single" w:color="CBBF9E" w:sz="4"/>
            </w:tcBorders>
          </w:tcPr>
          <w:p/>
        </w:tc>
      </w:tr>
      <w:tr>
        <w:tc>
          <w:tcPr>
            <w:tcW w:type="dxa" w:w="4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сельского хозяйства (включая рыбное хозяйство)</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167560,1</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184990,3</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184200,8</w:t>
            </w:r>
          </w:p>
        </w:tc>
        <w:tc>
          <w:tcPr>
            <w:tcW w:type="dxa" w:w="1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-789,5</w:t>
            </w:r>
          </w:p>
        </w:tc>
      </w:tr>
      <w:tr>
        <w:tc>
          <w:tcPr>
            <w:tcW w:type="dxa" w:w="4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роста</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101,6</w:t>
            </w:r>
          </w:p>
        </w:tc>
        <w:tc>
          <w:tcPr>
            <w:tcW w:type="dxa" w:w="1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r>
      <w:tr>
        <w:tc>
          <w:tcPr>
            <w:tcW w:type="dxa" w:w="4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Растениеводство</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84526,2</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101057,0</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94244,1</w:t>
            </w:r>
          </w:p>
        </w:tc>
        <w:tc>
          <w:tcPr>
            <w:tcW w:type="dxa" w:w="1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-6812,9</w:t>
            </w:r>
          </w:p>
        </w:tc>
      </w:tr>
      <w:tr>
        <w:tc>
          <w:tcPr>
            <w:tcW w:type="dxa" w:w="4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роста</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100,6</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w:t>
            </w:r>
          </w:p>
        </w:tc>
        <w:tc>
          <w:tcPr>
            <w:tcW w:type="dxa" w:w="1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w:t>
            </w:r>
          </w:p>
        </w:tc>
      </w:tr>
      <w:tr>
        <w:tc>
          <w:tcPr>
            <w:tcW w:type="dxa" w:w="4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Животноводство</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80138,8</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81316,7</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87061,7</w:t>
            </w:r>
          </w:p>
        </w:tc>
        <w:tc>
          <w:tcPr>
            <w:tcW w:type="dxa" w:w="1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5745</w:t>
            </w:r>
          </w:p>
        </w:tc>
      </w:tr>
      <w:tr>
        <w:tc>
          <w:tcPr>
            <w:tcW w:type="dxa" w:w="4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роста</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101,8</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100,5</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1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основу ожидаемого роста показателей в сельском хозяйстве заложены следующие предпосылки:</w:t>
      </w:r>
    </w:p>
    <w:p>
      <w:pPr>
        <w:spacing w:after="120"/>
        <w:jc w:val="both"/>
      </w:pPr>
      <w:r>
        <w:rPr>
          <w:rFonts w:ascii="Arial" w:cs="Arial" w:eastAsia="Arial" w:hAnsi="Arial"/>
          <w:sz w:val="24"/>
          <w:szCs w:val="24"/>
        </w:rPr>
        <w:t xml:space="preserve">- увеличение поголовья крупного рогатого скота по итогам 2012 года;</w:t>
      </w:r>
    </w:p>
    <w:p>
      <w:pPr>
        <w:spacing w:after="120"/>
        <w:jc w:val="both"/>
      </w:pPr>
      <w:r>
        <w:rPr>
          <w:rFonts w:ascii="Arial" w:cs="Arial" w:eastAsia="Arial" w:hAnsi="Arial"/>
          <w:sz w:val="24"/>
          <w:szCs w:val="24"/>
        </w:rPr>
        <w:t xml:space="preserve">- увеличение структуры посевных площадей на 2013 год (посевные площади сельскохозяйственных культур намечено довести до 1171,3 тыс. га, или на 4,0 тыс. га больше прошлогоднего);</w:t>
      </w:r>
    </w:p>
    <w:p>
      <w:pPr>
        <w:spacing w:after="120"/>
        <w:jc w:val="both"/>
      </w:pPr>
      <w:r>
        <w:rPr>
          <w:rFonts w:ascii="Arial" w:cs="Arial" w:eastAsia="Arial" w:hAnsi="Arial"/>
          <w:sz w:val="24"/>
          <w:szCs w:val="24"/>
        </w:rPr>
        <w:t xml:space="preserve">- увеличение площади озимого сева под урожай 2013 года на 26,1 тыс. га;</w:t>
      </w:r>
    </w:p>
    <w:p>
      <w:pPr>
        <w:spacing w:after="120"/>
        <w:jc w:val="both"/>
      </w:pPr>
      <w:r>
        <w:rPr>
          <w:rFonts w:ascii="Arial" w:cs="Arial" w:eastAsia="Arial" w:hAnsi="Arial"/>
          <w:sz w:val="24"/>
          <w:szCs w:val="24"/>
        </w:rPr>
        <w:t xml:space="preserve">- эффект от ранее предоставленных льготных кредитов по программе «Доступные кредиты фермерам - 2»;</w:t>
      </w:r>
    </w:p>
    <w:p>
      <w:pPr>
        <w:spacing w:after="120"/>
        <w:jc w:val="both"/>
      </w:pPr>
      <w:r>
        <w:rPr>
          <w:rFonts w:ascii="Arial" w:cs="Arial" w:eastAsia="Arial" w:hAnsi="Arial"/>
          <w:sz w:val="24"/>
          <w:szCs w:val="24"/>
        </w:rPr>
        <w:t xml:space="preserve">- оказание существенной государственной и спонсорской поддержки крестьянским и фермерским хозяйствам: предоставление в лизинг сельхозтехники (за счет кредита Правительства Турецкой Республики закуплено 225 единиц тракторов, 180 единиц из которых выдано сельхозпроизводителям); семенного материала сельскохозяйственных культур; отпуск ГСМ из госматрезерва по ценам ниже рыночных (для проведения весенних работ необходимо 41,2 тыс. тонн дизельного топлива, по данным на 24 мая текущего года, завезено 37,6 тыс. тонн, что составляет 91,3% от полной потребности), продолжение предоставления льготных кредитов.</w:t>
      </w:r>
    </w:p>
    <w:p>
      <w:pPr>
        <w:spacing w:after="120"/>
        <w:jc w:val="both"/>
      </w:pPr>
      <w:r>
        <w:rPr>
          <w:rFonts w:ascii="Arial" w:cs="Arial" w:eastAsia="Arial" w:hAnsi="Arial"/>
          <w:sz w:val="24"/>
          <w:szCs w:val="24"/>
        </w:rPr>
        <w:t xml:space="preserve">Весенняя посевная кампания 2013 года прошла своевременно. По данным на 24 мая текущего года в республике посевная кампания завершена на 96%. Все крестьяне успели уложиться с посевной в установленные сроки. В течение нескольких дней осталось посеять рис, поздние овощи, картофель и табак. Погодные условия по всем регионам республики для зерновых колосовых установились благоприятные, поэтому и урожай ожидается больше, чем в 2012 году, когда в хлебных зонах наблюдалась засуха. Предполагается собрать в пределах 750 тыс. тонн пшеницы.</w:t>
      </w:r>
    </w:p>
    <w:p>
      <w:pPr>
        <w:spacing w:after="120"/>
        <w:jc w:val="both"/>
      </w:pPr>
      <w:r>
        <w:rPr>
          <w:rFonts w:ascii="Arial" w:cs="Arial" w:eastAsia="Arial" w:hAnsi="Arial"/>
          <w:sz w:val="24"/>
          <w:szCs w:val="24"/>
        </w:rPr>
        <w:t xml:space="preserve">Вклад растениеводства в рост общего объема сельского хозяйства ожидается на 1,2 процентного пункта.</w:t>
      </w:r>
    </w:p>
    <w:p>
      <w:pPr>
        <w:spacing w:after="120"/>
        <w:jc w:val="both"/>
      </w:pPr>
      <w:r>
        <w:rPr>
          <w:rFonts w:ascii="Arial" w:cs="Arial" w:eastAsia="Arial" w:hAnsi="Arial"/>
          <w:sz w:val="24"/>
          <w:szCs w:val="24"/>
        </w:rPr>
        <w:t xml:space="preserve">В животноводстве ожидается реальный рост объемов на 1,0% (вместо прогнозируемого ранее на 0,5%), за счет увеличения производства скота и птицы на убой в живом весе во всех категориях хозяйств на 1,1%, где мясо в живом весе составит 356,3 тыс. тонн. Увеличение производства мяса ожидается в основном за счет увеличения поголовья крупного рогатого скота на 28,9 тыс. голов, овец и коз - на 135,8 тыс. голов, лошадей - на 9,8 тыс. голов и домашней птицы - на 261,2 тыс. голов. Производство молока в республике ожидается в объеме 1395,8 тыс. тонн или реально вырастет на 1,0%. Объем производства яиц увеличится на 1,8 млн. шт., при этом реальный темп роста составит 0,4%, темп роста шерсти составит 1,2%.</w:t>
      </w:r>
    </w:p>
    <w:p>
      <w:pPr>
        <w:spacing w:after="120"/>
        <w:jc w:val="both"/>
      </w:pPr>
      <w:r>
        <w:rPr>
          <w:rFonts w:ascii="Arial" w:cs="Arial" w:eastAsia="Arial" w:hAnsi="Arial"/>
          <w:sz w:val="24"/>
          <w:szCs w:val="24"/>
        </w:rPr>
        <w:t xml:space="preserve">Вклад животноводства в рост общего объема сельского хозяйства ожидается на 0,5 процентного пункта.</w:t>
      </w:r>
    </w:p>
    <w:p>
      <w:pPr>
        <w:spacing w:after="120"/>
        <w:jc w:val="both"/>
      </w:pPr>
      <w:r>
        <w:rPr>
          <w:rFonts w:ascii="Arial" w:cs="Arial" w:eastAsia="Arial" w:hAnsi="Arial"/>
          <w:sz w:val="24"/>
          <w:szCs w:val="24"/>
        </w:rPr>
        <w:t xml:space="preserve">Основную долю сельскохозяйственной продукции производят Джалал-Абадская (18,6%), Ошская (19,8%), Иссык-Кульская (12,7%) и Чуйская (23,0%) области, суммарный удельный вес которых составляет 74,1%.</w:t>
      </w:r>
    </w:p>
    <w:p>
      <w:pPr>
        <w:spacing w:after="120"/>
        <w:jc w:val="both"/>
      </w:pPr>
      <w:r>
        <w:rPr>
          <w:rFonts w:ascii="Arial" w:cs="Arial" w:eastAsia="Arial" w:hAnsi="Arial"/>
          <w:sz w:val="24"/>
          <w:szCs w:val="24"/>
        </w:rPr>
        <w:t xml:space="preserve">(2) В промышленном секторе13 в 2013 году ожидается увеличение физических объемов производства на 1,8 процентного пункта от ранее прогнозируемого уровня роста в 116,2%. Положительный вклад в рост ВВП составит 3,2 процентного пункта, с удельным весом в общем объеме ВВП 16,9%, сократившись на 1,5 процентного пункта от прогноза (18,4%). Без учета предприятий по разработке месторождения Кумтор, прирост промышленного производства ожидается на уровне 4,6% за счет устойчивой работы производств обрабатывающей и горнодобывающей отраслей.</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Изменение динамики темпов роста в отраслях промышленности, в процентах к предыдущему году</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4"/>
        <w:gridCol w:w="4726"/>
        <w:gridCol w:w="1583"/>
        <w:gridCol w:w="1036"/>
        <w:gridCol w:w="859"/>
        <w:gridCol w:w="1640"/>
      </w:tblGrid>
      <w:tr>
        <w:tc>
          <w:tcPr>
            <w:tcW w:type="dxa" w:w="334"/>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103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w:t>
            </w:r>
          </w:p>
        </w:tc>
        <w:tc>
          <w:tcPr>
            <w:tcW w:type="dxa" w:w="85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w:t>
            </w:r>
          </w:p>
        </w:tc>
        <w:tc>
          <w:tcPr>
            <w:tcW w:type="dxa" w:w="164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Отклонение от прогноза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предварительный факт</w:t>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утвержденный</w:t>
            </w:r>
          </w:p>
          <w:p>
            <w:pPr>
              <w:jc w:val="left"/>
            </w:pPr>
            <w:r>
              <w:rPr>
                <w:rFonts w:ascii="Arial" w:cs="Arial" w:eastAsia="Arial" w:hAnsi="Arial"/>
                <w:sz w:val="24"/>
                <w:szCs w:val="24"/>
              </w:rPr>
              <w:t xml:space="preserve">прогноз</w:t>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w:t>
            </w:r>
          </w:p>
        </w:tc>
        <w:tc>
          <w:tcPr>
            <w:vMerge w:val="continue"/>
            <w:tcBorders>
              <w:top w:val="single" w:color="CBBF9E" w:sz="4"/>
              <w:left w:val="none" w:color="auto" w:sz="0"/>
              <w:bottom w:val="single" w:color="CBBF9E" w:sz="4"/>
              <w:right w:val="single" w:color="CBBF9E" w:sz="4"/>
            </w:tcBorders>
          </w:tcPr>
          <w:p/>
        </w:tc>
      </w:tr>
      <w:tr>
        <w:tc>
          <w:tcPr>
            <w:tcW w:type="dxa" w:w="3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Промышленность, всего</w:t>
            </w:r>
          </w:p>
        </w:tc>
        <w:tc>
          <w:tcPr>
            <w:tcW w:type="dxa" w:w="1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79,8</w:t>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116,2</w:t>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r>
      <w:tr>
        <w:tc>
          <w:tcPr>
            <w:tcW w:type="dxa" w:w="3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Промышленность без учета предприятий по разработке месторождения Кумтор</w:t>
            </w:r>
          </w:p>
        </w:tc>
        <w:tc>
          <w:tcPr>
            <w:tcW w:type="dxa" w:w="1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w:t>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104,6</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r>
      <w:tr>
        <w:tc>
          <w:tcPr>
            <w:tcW w:type="dxa" w:w="3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4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Горнодобывающая промышленность</w:t>
            </w:r>
          </w:p>
        </w:tc>
        <w:tc>
          <w:tcPr>
            <w:tcW w:type="dxa" w:w="1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122,5</w:t>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103,2</w:t>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101,7</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r>
      <w:tr>
        <w:tc>
          <w:tcPr>
            <w:tcW w:type="dxa" w:w="3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4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Обрабатывающая промышленность</w:t>
            </w:r>
          </w:p>
        </w:tc>
        <w:tc>
          <w:tcPr>
            <w:tcW w:type="dxa" w:w="1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72,8</w:t>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120,3</w:t>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123,8</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r>
      <w:tr>
        <w:tc>
          <w:tcPr>
            <w:tcW w:type="dxa" w:w="3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4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 и распределение электроэнергии, газа и воды</w:t>
            </w:r>
          </w:p>
        </w:tc>
        <w:tc>
          <w:tcPr>
            <w:tcW w:type="dxa" w:w="1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100,9</w:t>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98,5</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настоящее время экономический рост сконцентрирован на нескольких базовых предприятиях производства обрабатывающей промышленности, что делает экономику уязвимой и слабой в случае появления проблем в одном из этих предприятий, как это характеризовала ситуация 2012 года.</w:t>
      </w:r>
    </w:p>
    <w:p>
      <w:pPr>
        <w:spacing w:after="120"/>
        <w:jc w:val="both"/>
      </w:pPr>
      <w:r>
        <w:rPr>
          <w:rFonts w:ascii="Arial" w:cs="Arial" w:eastAsia="Arial" w:hAnsi="Arial"/>
          <w:sz w:val="24"/>
          <w:szCs w:val="24"/>
        </w:rPr>
        <w:t xml:space="preserve">Основную долю в структуре обрабатывающей промышленности занимают металлургическое производство и производство готовых металлических изделий (52,8%), производство пищевых продуктов, включая напитки и табак (17,6%), текстильное и швейное производство (9%), производство прочих неметаллических минеральных продуктов (10,7%), суммарный удельный вес которых составляет 90,1%.</w:t>
      </w:r>
    </w:p>
    <w:p>
      <w:pPr>
        <w:spacing w:after="120"/>
        <w:jc w:val="both"/>
      </w:pPr>
      <w:r>
        <w:rPr>
          <w:rFonts w:ascii="Arial" w:cs="Arial" w:eastAsia="Arial" w:hAnsi="Arial"/>
          <w:sz w:val="24"/>
          <w:szCs w:val="24"/>
        </w:rPr>
        <w:t xml:space="preserve">В обрабатывающей промышленности ожидается увеличение производства за счет роста объемов в металлургическом производстве на 7,8 процентного пункта от ранее прогнозируемого уровня роста на 30,9%. Пересмотрены рост прогнозных значений производства пищевых продуктов, включая напитки и табак на 4,6%, вместо 3,9%, химическое производство - на 89,2%, вместо 1,2%, производство прочих неметаллических минеральных продуктов - до 12,0%, вместо прогноза на 8,3%, производство нефтепродуктов - до 5,8%, вместо прогноза на 1,6%.</w:t>
      </w:r>
    </w:p>
    <w:p>
      <w:pPr>
        <w:spacing w:after="120"/>
        <w:jc w:val="both"/>
      </w:pPr>
      <w:r>
        <w:rPr>
          <w:rFonts w:ascii="Arial" w:cs="Arial" w:eastAsia="Arial" w:hAnsi="Arial"/>
          <w:sz w:val="24"/>
          <w:szCs w:val="24"/>
        </w:rPr>
        <w:t xml:space="preserve">Основными предпосылками ожидаемого увеличения объемов промышленного производства явились:</w:t>
      </w:r>
    </w:p>
    <w:p>
      <w:pPr>
        <w:spacing w:after="120"/>
        <w:jc w:val="both"/>
      </w:pPr>
      <w:r>
        <w:rPr>
          <w:rFonts w:ascii="Arial" w:cs="Arial" w:eastAsia="Arial" w:hAnsi="Arial"/>
          <w:sz w:val="24"/>
          <w:szCs w:val="24"/>
        </w:rPr>
        <w:t xml:space="preserve">- в металлургическом производстве объемы увеличатся за счет постепенного восстановления добычи золота на руднике Кумтор после ремонтных работ в 2012 году, где реальный объем возрастет более чем на 40,0%. Влияние Кумтора на развитие промышленного производства остается доминирующим, удельный вес которого в промышленности продолжает оставаться высоким, составив 39,1%;</w:t>
      </w:r>
    </w:p>
    <w:p>
      <w:pPr>
        <w:spacing w:after="120"/>
        <w:jc w:val="both"/>
      </w:pPr>
      <w:r>
        <w:rPr>
          <w:rFonts w:ascii="Arial" w:cs="Arial" w:eastAsia="Arial" w:hAnsi="Arial"/>
          <w:sz w:val="24"/>
          <w:szCs w:val="24"/>
        </w:rPr>
        <w:t xml:space="preserve">- ожидаемый рост производства пищевых продуктов, включая напитки и табак, за счет пересмотра показателей в сельском хозяйстве в сторону увеличения из-за наступления благоприятных природных условий и ожидаемых эффектов, ранее выданных кредитов по программе «Доступные кредиты фермерам»;</w:t>
      </w:r>
    </w:p>
    <w:p>
      <w:pPr>
        <w:spacing w:after="120"/>
        <w:jc w:val="both"/>
      </w:pPr>
      <w:r>
        <w:rPr>
          <w:rFonts w:ascii="Arial" w:cs="Arial" w:eastAsia="Arial" w:hAnsi="Arial"/>
          <w:sz w:val="24"/>
          <w:szCs w:val="24"/>
        </w:rPr>
        <w:t xml:space="preserve">- в химическом производстве объемы увеличены за счет роста объемов производства фармацевтической, резино-технической, лакокрасочной продукции. Кроме того предприятия ОАО «Кыргызский химико-металлургический завод», в связи с вводом дополнительных мощностей, и Хайдарканское ртутное АО в ожидаемом периоде предусматривают рост объемов производства;</w:t>
      </w:r>
    </w:p>
    <w:p>
      <w:pPr>
        <w:spacing w:after="120"/>
        <w:jc w:val="both"/>
      </w:pPr>
      <w:r>
        <w:rPr>
          <w:rFonts w:ascii="Arial" w:cs="Arial" w:eastAsia="Arial" w:hAnsi="Arial"/>
          <w:sz w:val="24"/>
          <w:szCs w:val="24"/>
        </w:rPr>
        <w:t xml:space="preserve">- в производстве строительных материалов ожидаемый рост производства на 12%, в большей степени, будет обусловлен наращиванием производства для освоения производственной мощности стекольного завода ОсОО «Интергласс», удельный вес которого в общем объеме производства строительных материалов составляет порядка 20%, а также стабильной работой цементного производства (наибольший удельный вес в данной отрасли - свыше 50%). Прирост производства строительных материалов будет поддерживаться спросом на продукцию строительных материалов, связанный, прежде всего, с продолжением работ по восстановлению и строительству жилья, социальной и инженерной инфраструктуры, строительству и реконструкции объектов социально-экономического значения (в сфере образования, здравоохранения, культуры и спорта, жилищного строительства), строительству и реконструкции автодорог в республике;</w:t>
      </w:r>
    </w:p>
    <w:p>
      <w:pPr>
        <w:spacing w:after="120"/>
        <w:jc w:val="both"/>
      </w:pPr>
      <w:r>
        <w:rPr>
          <w:rFonts w:ascii="Arial" w:cs="Arial" w:eastAsia="Arial" w:hAnsi="Arial"/>
          <w:sz w:val="24"/>
          <w:szCs w:val="24"/>
        </w:rPr>
        <w:t xml:space="preserve">- объем производства нефтепродуктов увеличится за счет ввода первых очередей нефтеперерабатывающих заводов в гг.Кара-Балта и Токмок, где первые пробные партии производства ожидаются во II втором полугодии 2013 года.</w:t>
      </w:r>
    </w:p>
    <w:p>
      <w:pPr>
        <w:spacing w:after="120"/>
        <w:jc w:val="both"/>
      </w:pPr>
      <w:r>
        <w:rPr>
          <w:rFonts w:ascii="Arial" w:cs="Arial" w:eastAsia="Arial" w:hAnsi="Arial"/>
          <w:sz w:val="24"/>
          <w:szCs w:val="24"/>
        </w:rPr>
        <w:t xml:space="preserve">В горнодобывающей промышленности ожидается реальный рост производства на 1,7%, за счет увеличения добычи угля, лигнита и торфа на 3,9%; сырой нефти и природного газа; предоставление услуг в этих областях на 3,0%. Добыча природного песка и гранулы, каменной крошки, гравия, щебня ожидается в тех объемах, что в 2012 году.</w:t>
      </w:r>
    </w:p>
    <w:p>
      <w:pPr>
        <w:spacing w:after="120"/>
        <w:jc w:val="both"/>
      </w:pPr>
      <w:r>
        <w:rPr>
          <w:rFonts w:ascii="Arial" w:cs="Arial" w:eastAsia="Arial" w:hAnsi="Arial"/>
          <w:sz w:val="24"/>
          <w:szCs w:val="24"/>
        </w:rPr>
        <w:t xml:space="preserve">В энергетической отрасли ожидаемое реальное сокращение объемов производства на 2,4 процентного пункта от ранее прогнозируемого показателя обусловлено, в основном, за счет снижения выработки электроэнергии из-за наступления маловодного периода. Прогнозные показатели выработки электроэнергии на 2013 и последующие годы рассчитаны с учетом среднемноголетней приточности в створе Токтогульского гидроузла и предусматривают рост внутреннего потребления электроэнергии и постепенное снижение объемов экспорта электроэнергии в целях недопущения глубокой сработки Токтогульского водохранилища. Объем покупного газа увеличится в среднем за год на 10,0%, поскольку резервы для роста в электроэнергетической отрасли исчерпаны в 2012 году, и новые мощности для выработки дополнительных объемов электроэнергии ещё не будут введены.</w:t>
      </w:r>
    </w:p>
    <w:p>
      <w:pPr>
        <w:spacing w:after="120"/>
        <w:jc w:val="both"/>
      </w:pPr>
      <w:r>
        <w:rPr>
          <w:rFonts w:ascii="Arial" w:cs="Arial" w:eastAsia="Arial" w:hAnsi="Arial"/>
          <w:sz w:val="24"/>
          <w:szCs w:val="24"/>
        </w:rPr>
        <w:t xml:space="preserve">Ожидается, что рост физического объема промышленной продукции будет достигнут во всех регионах республики. В разрезе регионов основной вклад в объем промышленного производства традиционно вносит Иссык-Кульская (24,1%), Чуйская (42,0%) области и гор. Бишкек (21,1%), суммарная доля которых составляет 87,2%.</w:t>
      </w:r>
    </w:p>
    <w:p>
      <w:pPr>
        <w:spacing w:after="120"/>
        <w:jc w:val="both"/>
      </w:pPr>
      <w:r>
        <w:rPr>
          <w:rFonts w:ascii="Arial" w:cs="Arial" w:eastAsia="Arial" w:hAnsi="Arial"/>
          <w:sz w:val="24"/>
          <w:szCs w:val="24"/>
        </w:rPr>
        <w:t xml:space="preserve">При этом следует отметить, что номинальные объемы промышленного производства сокращены до 155,2 млрд. сомов, против ранее прогнозируемого 184,5 млрд. сомов, из-за уменьшения номинального объема в металлургическом производстве за счет пересчета из-за резкого падения мировой цены на золото, что в свою очередь, негативно отразилось на уменьшение номинального объема ВВП (см. раздел 4).</w:t>
      </w:r>
    </w:p>
    <w:p>
      <w:pPr>
        <w:spacing w:after="120"/>
        <w:jc w:val="both"/>
      </w:pPr>
      <w:r>
        <w:rPr>
          <w:rFonts w:ascii="Arial" w:cs="Arial" w:eastAsia="Arial" w:hAnsi="Arial"/>
          <w:sz w:val="24"/>
          <w:szCs w:val="24"/>
        </w:rPr>
        <w:t xml:space="preserve">(3) В секторе строительства в 2013 году ожидается увеличение общего объема капитальных вложений с реальным ростом на 12,8% и составит 73,3 млрд. сомов. Исходя из планируемых объемов капитализации экономики, ожидается реальное увеличение общего объема валовой продукции строительства в 2013 году на 12,5% и составит 65,9 млрд. сомов. Положительный вклад строительного сектора в темпы экономического роста составит 0,7 процентного пункта, а удельный вес в структуре производства ВВП - 5,9%.</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Изменение динамики темпов роста в строительной отрасли, в процентах к предыдущему году</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70"/>
        <w:gridCol w:w="1008"/>
        <w:gridCol w:w="1950"/>
        <w:gridCol w:w="1924"/>
        <w:gridCol w:w="1087"/>
        <w:gridCol w:w="1439"/>
      </w:tblGrid>
      <w:tr>
        <w:tc>
          <w:tcPr>
            <w:tcW w:type="dxa" w:w="2770"/>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Показатели</w:t>
            </w:r>
          </w:p>
        </w:tc>
        <w:tc>
          <w:tcPr>
            <w:tcW w:type="dxa" w:w="100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 измер.</w:t>
            </w:r>
          </w:p>
        </w:tc>
        <w:tc>
          <w:tcPr>
            <w:tcW w:type="dxa" w:w="195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19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w:t>
            </w:r>
          </w:p>
        </w:tc>
        <w:tc>
          <w:tcPr>
            <w:tcW w:type="dxa" w:w="108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w:t>
            </w:r>
          </w:p>
        </w:tc>
        <w:tc>
          <w:tcPr>
            <w:tcW w:type="dxa" w:w="143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Отклонение</w:t>
            </w:r>
          </w:p>
          <w:p>
            <w:pPr>
              <w:jc w:val="left"/>
            </w:pPr>
            <w:r>
              <w:rPr>
                <w:rFonts w:ascii="Arial" w:cs="Arial" w:eastAsia="Arial" w:hAnsi="Arial"/>
                <w:sz w:val="24"/>
                <w:szCs w:val="24"/>
              </w:rPr>
              <w:t xml:space="preserve">от прогноза (+,-)</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предварительный факт.</w:t>
            </w:r>
          </w:p>
        </w:tc>
        <w:tc>
          <w:tcPr>
            <w:tcW w:type="dxa" w:w="1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утвержденный прогноз</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w:t>
            </w:r>
          </w:p>
        </w:tc>
        <w:tc>
          <w:tcPr>
            <w:vMerge w:val="continue"/>
            <w:tcBorders>
              <w:top w:val="single" w:color="CBBF9E" w:sz="4"/>
              <w:left w:val="none" w:color="auto" w:sz="0"/>
              <w:bottom w:val="single" w:color="CBBF9E" w:sz="4"/>
              <w:right w:val="single" w:color="CBBF9E" w:sz="4"/>
            </w:tcBorders>
          </w:tcPr>
          <w:p/>
        </w:tc>
      </w:tr>
      <w:tr>
        <w:tc>
          <w:tcPr>
            <w:tcW w:type="dxa" w:w="27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строительства</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54625,0</w:t>
            </w:r>
          </w:p>
        </w:tc>
        <w:tc>
          <w:tcPr>
            <w:tcW w:type="dxa" w:w="1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63741,1</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65939,2</w:t>
            </w:r>
          </w:p>
        </w:tc>
        <w:tc>
          <w:tcPr>
            <w:tcW w:type="dxa" w:w="14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2198,1</w:t>
            </w:r>
          </w:p>
        </w:tc>
      </w:tr>
      <w:tr>
        <w:tc>
          <w:tcPr>
            <w:tcW w:type="dxa" w:w="27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роста</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117,3</w:t>
            </w:r>
          </w:p>
        </w:tc>
        <w:tc>
          <w:tcPr>
            <w:tcW w:type="dxa" w:w="1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112,5</w:t>
            </w:r>
          </w:p>
        </w:tc>
        <w:tc>
          <w:tcPr>
            <w:tcW w:type="dxa" w:w="14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27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Инвестиции в основной капитал</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62625,0</w:t>
            </w:r>
          </w:p>
        </w:tc>
        <w:tc>
          <w:tcPr>
            <w:tcW w:type="dxa" w:w="1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72846,9</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73256,7</w:t>
            </w:r>
          </w:p>
        </w:tc>
        <w:tc>
          <w:tcPr>
            <w:tcW w:type="dxa" w:w="14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409,8</w:t>
            </w:r>
          </w:p>
        </w:tc>
      </w:tr>
      <w:tr>
        <w:tc>
          <w:tcPr>
            <w:tcW w:type="dxa" w:w="27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роста</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121,5</w:t>
            </w:r>
          </w:p>
        </w:tc>
        <w:tc>
          <w:tcPr>
            <w:tcW w:type="dxa" w:w="1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112,5</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112,8</w:t>
            </w:r>
          </w:p>
        </w:tc>
        <w:tc>
          <w:tcPr>
            <w:tcW w:type="dxa" w:w="14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основу ожидаемого роста показателей строительства на 2013 год заложены следующие основные предпосылки:</w:t>
      </w:r>
    </w:p>
    <w:p>
      <w:pPr>
        <w:spacing w:after="120"/>
        <w:jc w:val="both"/>
      </w:pPr>
      <w:r>
        <w:rPr>
          <w:rFonts w:ascii="Arial" w:cs="Arial" w:eastAsia="Arial" w:hAnsi="Arial"/>
          <w:sz w:val="24"/>
          <w:szCs w:val="24"/>
        </w:rPr>
        <w:t xml:space="preserve">- скрытые резервы ввода дополнительных объемов строительных мощностей, многоэтажные строения частных предпринимателей и зарубежных компаний, начало строительства Верхне-Нарынского каскада ГЭС (4 станции) и расширение строительных работ в горнодобывающей и обрабатывающей промышленности;</w:t>
      </w:r>
    </w:p>
    <w:p>
      <w:pPr>
        <w:spacing w:after="120"/>
        <w:jc w:val="both"/>
      </w:pPr>
      <w:r>
        <w:rPr>
          <w:rFonts w:ascii="Arial" w:cs="Arial" w:eastAsia="Arial" w:hAnsi="Arial"/>
          <w:sz w:val="24"/>
          <w:szCs w:val="24"/>
        </w:rPr>
        <w:t xml:space="preserve">- увеличение суммы финансирования за счет средств республиканского бюджета на 2013 год (по сравнению с 2012 годом больше на 751,6 млн. сомов), Программа капитального строительства объектов утверждена в размере 2,4 млрд. сомов;</w:t>
      </w:r>
    </w:p>
    <w:p>
      <w:pPr>
        <w:spacing w:after="120"/>
        <w:jc w:val="both"/>
      </w:pPr>
      <w:r>
        <w:rPr>
          <w:rFonts w:ascii="Arial" w:cs="Arial" w:eastAsia="Arial" w:hAnsi="Arial"/>
          <w:sz w:val="24"/>
          <w:szCs w:val="24"/>
        </w:rPr>
        <w:t xml:space="preserve">- мероприятия, направленные на устранение фактов долгостроев и скорейшего завершения строительства приоритетных объектов;</w:t>
      </w:r>
    </w:p>
    <w:p>
      <w:pPr>
        <w:spacing w:after="120"/>
        <w:jc w:val="both"/>
      </w:pPr>
      <w:r>
        <w:rPr>
          <w:rFonts w:ascii="Arial" w:cs="Arial" w:eastAsia="Arial" w:hAnsi="Arial"/>
          <w:sz w:val="24"/>
          <w:szCs w:val="24"/>
        </w:rPr>
        <w:t xml:space="preserve">- планирование значительных капитальных вложений для улучшения социально-экономической инфраструктуры приграничных сел Баткенской области за счет республиканского бюджета (распоряжение Правительства Кыргызской Республики от 28 января 2013 года № 19-р).</w:t>
      </w:r>
    </w:p>
    <w:p>
      <w:pPr>
        <w:spacing w:after="120"/>
        <w:jc w:val="both"/>
      </w:pPr>
      <w:r>
        <w:rPr>
          <w:rFonts w:ascii="Arial" w:cs="Arial" w:eastAsia="Arial" w:hAnsi="Arial"/>
          <w:sz w:val="24"/>
          <w:szCs w:val="24"/>
        </w:rPr>
        <w:t xml:space="preserve">В 2013 году из республиканского бюджета Кыргызской Республики планируется направить финансирование в приоритетном порядке на завершение объектов образования, где обучение проходит в палатках, аварийные объекты, а также на завершение в текущем году объектов высокой строительной готовности. При этом раскладе запланировано финансирование на завершение 87 объектов, из них 40 объектов образования, 15 объектов здравоохранения, 6 мостов, 4 дорог, 4 объектов пограничной службы, 7 переходящих объектов Государственной дирекции по восстановлению и развитию городов Ош и Джалал-Абад и 9 прочих объектов.</w:t>
      </w:r>
    </w:p>
    <w:p>
      <w:pPr>
        <w:spacing w:after="120"/>
        <w:jc w:val="both"/>
      </w:pPr>
      <w:r>
        <w:rPr>
          <w:rFonts w:ascii="Arial" w:cs="Arial" w:eastAsia="Arial" w:hAnsi="Arial"/>
          <w:sz w:val="24"/>
          <w:szCs w:val="24"/>
        </w:rPr>
        <w:t xml:space="preserve">В структуре капитальных вложений соотношение внутренних и внешних источников финансирования составит 70,1% и 29,9%, соответственно.</w:t>
      </w:r>
    </w:p>
    <w:p>
      <w:pPr>
        <w:spacing w:after="120"/>
        <w:jc w:val="both"/>
      </w:pPr>
      <w:r>
        <w:rPr>
          <w:rFonts w:ascii="Arial" w:cs="Arial" w:eastAsia="Arial" w:hAnsi="Arial"/>
          <w:sz w:val="24"/>
          <w:szCs w:val="24"/>
        </w:rPr>
        <w:t xml:space="preserve">Исходя из ожидаемого уровня капитальных вложений в экономику, объем валовых инвестиций составит 116,9 млрд. сомов или 33,3% к ВВП.</w:t>
      </w:r>
    </w:p>
    <w:p>
      <w:pPr>
        <w:spacing w:after="120"/>
        <w:jc w:val="both"/>
      </w:pPr>
      <w:r>
        <w:rPr>
          <w:rFonts w:ascii="Arial" w:cs="Arial" w:eastAsia="Arial" w:hAnsi="Arial"/>
          <w:sz w:val="24"/>
          <w:szCs w:val="24"/>
        </w:rPr>
        <w:t xml:space="preserve">Государственные инвестиции ожидаются в сумме 18,7 млрд. сомов или удельный вес в ВВП - 5,3% в том числе, доля прямых государственных инвестиций (далее - ПГИ) - 4,2%. Ресурсы ПГИ будут, преимущественно, направлены на строительство инфраструктурных объектов и объектов энергетики.</w:t>
      </w:r>
    </w:p>
    <w:p>
      <w:pPr>
        <w:spacing w:after="120"/>
        <w:jc w:val="both"/>
      </w:pPr>
      <w:r>
        <w:rPr>
          <w:rFonts w:ascii="Arial" w:cs="Arial" w:eastAsia="Arial" w:hAnsi="Arial"/>
          <w:sz w:val="24"/>
          <w:szCs w:val="24"/>
        </w:rPr>
        <w:t xml:space="preserve">Частные инвестиции, включая прямые иностранные инвестиции, ожидаются в объеме, которые превысят объем государственных инвестиций в 5,2 раза и составят 98,3 млрд. сомов или 28% к ВВП. При этом ожидается приток прямых иностранных инвестиций в сумме 40,9 млрд. сомов или 845,9 млн. долларов США, где рост составит 43,2% по сравнению с 2012 годом.</w:t>
      </w:r>
    </w:p>
    <w:p>
      <w:pPr>
        <w:spacing w:after="120"/>
        <w:jc w:val="both"/>
      </w:pPr>
      <w:r>
        <w:rPr>
          <w:rFonts w:ascii="Arial" w:cs="Arial" w:eastAsia="Arial" w:hAnsi="Arial"/>
          <w:sz w:val="24"/>
          <w:szCs w:val="24"/>
        </w:rPr>
        <w:t xml:space="preserve">В региональном разрезе основной вклад в рост валовой продукции строительства внесут гор. Бишкек (3,97 процентного пункта), Иссык-Кульская (3,11 процентного пункта), Чуйская (1,98 процентного пункта) и Джалал-Абадская (1,95 процентного пункта) области. Основной вклад в капитализацию экономики ожидается со стороны таких регионов, как Джалал-Абадская, Иссык-Кульская, Чуйская области и гор. Бишкек, суммарная доля которых в общем объеме капитальных вложений в 2013 году составит 80,6%, связанных со строительством автодорожной и энергетической инфраструктуры, жилья и объектов сферы услуг на этих территориях.</w:t>
      </w:r>
    </w:p>
    <w:p>
      <w:pPr>
        <w:spacing w:after="120"/>
        <w:jc w:val="both"/>
      </w:pPr>
      <w:r>
        <w:rPr>
          <w:rFonts w:ascii="Arial" w:cs="Arial" w:eastAsia="Arial" w:hAnsi="Arial"/>
          <w:sz w:val="24"/>
          <w:szCs w:val="24"/>
        </w:rPr>
        <w:t xml:space="preserve">(4) Сфера услуг занимает доминирующую долю в структуре ВВП (46,9%), где ожидается реальное увеличение на 5,7%, которое будет обеспечиваться за счет роста торговли на 7,5%, транспортных услуг - на 7,8%, услуг связи - на 12,5%, услуг финансовой деятельности - на 5,4% и услуг гостиниц и ресторанов - на 8,1%. Положительный вклад сферы услуг в формирование ВВП составит 2,56 процентного пункта.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Изменение динамики темпов роста в отраслях сферы услуг, в процентах к предыдущему году</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539"/>
        <w:gridCol w:w="1325"/>
        <w:gridCol w:w="1085"/>
        <w:gridCol w:w="896"/>
        <w:gridCol w:w="1333"/>
      </w:tblGrid>
      <w:tr>
        <w:tc>
          <w:tcPr>
            <w:tcW w:type="dxa" w:w="5539"/>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108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w:t>
            </w:r>
          </w:p>
        </w:tc>
        <w:tc>
          <w:tcPr>
            <w:tcW w:type="dxa" w:w="89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w:t>
            </w:r>
          </w:p>
        </w:tc>
        <w:tc>
          <w:tcPr>
            <w:tcW w:type="dxa" w:w="133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Отклонение от прогноза, процентный пункт</w:t>
            </w:r>
          </w:p>
        </w:tc>
      </w:tr>
      <w:tr>
        <w:tc>
          <w:tcPr>
            <w:vMerge w:val="continue"/>
            <w:tcBorders>
              <w:top w:val="single" w:color="CBBF9E" w:sz="4"/>
              <w:left w:val="single" w:color="CBBF9E" w:sz="4"/>
              <w:bottom w:val="single" w:color="CBBF9E" w:sz="4"/>
              <w:right w:val="single" w:color="CBBF9E" w:sz="4"/>
            </w:tcBorders>
          </w:tcP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Предварительный факт</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Утвержденный прогноз</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ожидаемые</w:t>
            </w:r>
          </w:p>
        </w:tc>
        <w:tc>
          <w:tcPr>
            <w:vMerge w:val="continue"/>
            <w:tcBorders>
              <w:top w:val="single" w:color="CBBF9E" w:sz="4"/>
              <w:left w:val="none" w:color="auto" w:sz="0"/>
              <w:bottom w:val="single" w:color="CBBF9E" w:sz="4"/>
              <w:right w:val="single" w:color="CBBF9E" w:sz="4"/>
            </w:tcBorders>
          </w:tcPr>
          <w:p/>
        </w:tc>
      </w:tr>
      <w:tr>
        <w:tc>
          <w:tcPr>
            <w:tcW w:type="dxa" w:w="5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Сфера услуг</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105,7</w:t>
            </w:r>
          </w:p>
        </w:tc>
        <w:tc>
          <w:tcPr>
            <w:tcW w:type="dxa" w:w="1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r>
      <w:tr>
        <w:tc>
          <w:tcPr>
            <w:tcW w:type="dxa" w:w="5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 по отраслям:</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Торговля, ремонт автомобилей, бытовых изделий и предметов личного пользования</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c>
          <w:tcPr>
            <w:tcW w:type="dxa" w:w="1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r>
      <w:tr>
        <w:tc>
          <w:tcPr>
            <w:tcW w:type="dxa" w:w="5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Гостиницы и рестораны</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111,9</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108,1</w:t>
            </w:r>
          </w:p>
        </w:tc>
        <w:tc>
          <w:tcPr>
            <w:tcW w:type="dxa" w:w="1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r>
      <w:tr>
        <w:tc>
          <w:tcPr>
            <w:tcW w:type="dxa" w:w="5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Транспорт и связь</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108,8</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107,7</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109,6</w:t>
            </w:r>
          </w:p>
        </w:tc>
        <w:tc>
          <w:tcPr>
            <w:tcW w:type="dxa" w:w="1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r>
      <w:tr>
        <w:tc>
          <w:tcPr>
            <w:tcW w:type="dxa" w:w="5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них:</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Транспорт</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108,6</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109,1</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c>
          <w:tcPr>
            <w:tcW w:type="dxa" w:w="1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r>
      <w:tr>
        <w:tc>
          <w:tcPr>
            <w:tcW w:type="dxa" w:w="5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Связь</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109,2</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112,5</w:t>
            </w:r>
          </w:p>
        </w:tc>
        <w:tc>
          <w:tcPr>
            <w:tcW w:type="dxa" w:w="1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r>
      <w:tr>
        <w:tc>
          <w:tcPr>
            <w:tcW w:type="dxa" w:w="5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Финансовая деятельность</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104,8</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w:t>
            </w:r>
          </w:p>
        </w:tc>
        <w:tc>
          <w:tcPr>
            <w:tcW w:type="dxa" w:w="1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r>
      <w:tr>
        <w:tc>
          <w:tcPr>
            <w:tcW w:type="dxa" w:w="5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Операции с недвижимым имуществом, аренда и предоставление услуг потребителям</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98,1</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101,1</w:t>
            </w:r>
          </w:p>
        </w:tc>
        <w:tc>
          <w:tcPr>
            <w:tcW w:type="dxa" w:w="1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r>
      <w:tr>
        <w:tc>
          <w:tcPr>
            <w:tcW w:type="dxa" w:w="5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Государственное управление</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101,8</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104,2</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w:t>
            </w:r>
          </w:p>
        </w:tc>
        <w:tc>
          <w:tcPr>
            <w:tcW w:type="dxa" w:w="1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w:t>
            </w:r>
          </w:p>
        </w:tc>
      </w:tr>
      <w:tr>
        <w:tc>
          <w:tcPr>
            <w:tcW w:type="dxa" w:w="5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Образование</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102,1</w:t>
            </w:r>
          </w:p>
        </w:tc>
        <w:tc>
          <w:tcPr>
            <w:tcW w:type="dxa" w:w="1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p>
        </w:tc>
      </w:tr>
      <w:tr>
        <w:tc>
          <w:tcPr>
            <w:tcW w:type="dxa" w:w="5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Здравоохранение и предоставление социальных услуг</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102,4</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102,2</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c>
          <w:tcPr>
            <w:tcW w:type="dxa" w:w="1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w:t>
            </w:r>
          </w:p>
        </w:tc>
      </w:tr>
      <w:tr>
        <w:tc>
          <w:tcPr>
            <w:tcW w:type="dxa" w:w="5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Предоставление коммунальных, социальных и персональных услуг</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97,0</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101,9</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102,2</w:t>
            </w:r>
          </w:p>
        </w:tc>
        <w:tc>
          <w:tcPr>
            <w:tcW w:type="dxa" w:w="1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Политика в секторе услуг на 2013 год будет направлена на улучшение доступности жизненно необходимых услуг и расширение их на всей территории Кыргызской Республики, включая услуги связи, транспорта, услуги микрофинансовых организаций, торговли и других.</w:t>
      </w:r>
    </w:p>
    <w:p>
      <w:pPr>
        <w:spacing w:after="120"/>
        <w:jc w:val="both"/>
      </w:pPr>
      <w:r>
        <w:rPr>
          <w:rFonts w:ascii="Arial" w:cs="Arial" w:eastAsia="Arial" w:hAnsi="Arial"/>
          <w:sz w:val="24"/>
          <w:szCs w:val="24"/>
        </w:rPr>
        <w:t xml:space="preserve">Основную долю в структуре услуг будут занимать торговля (32,3%), услуги транспорта и связи (21,8%), реальный рост которых будет поддерживаться увеличением денежных доходов населения на 15,2% в 2013 году.</w:t>
      </w:r>
    </w:p>
    <w:p>
      <w:pPr>
        <w:spacing w:after="120"/>
        <w:jc w:val="both"/>
      </w:pPr>
      <w:r>
        <w:rPr>
          <w:rFonts w:ascii="Arial" w:cs="Arial" w:eastAsia="Arial" w:hAnsi="Arial"/>
          <w:sz w:val="24"/>
          <w:szCs w:val="24"/>
        </w:rPr>
        <w:t xml:space="preserve">Увеличению торговли будет способствовать расширение покупательского спроса, увеличение крупных сетевых предприятий торговли, которые оказывают положительное влияние на качество предоставляемых услуг. В целях достижения баланса различных форм торговли, формирования взвешенной государственной политики, направленной на урегулирование взаимоотношений между субъектами торговли и поставщиками, принят Закон Кыргызской Республики «О внесении изменений и дополнений в </w:t>
      </w:r>
      <w:hyperlink w:history="1" r:id="rIdt2w1orq5bey3jxltmpr5l">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внутренней торговле в Кыргызской Республике» и внесены изменения в действующий Свод правил торговли на территории Кыргызской Республики (</w:t>
      </w:r>
      <w:hyperlink w:history="1" r:id="rIdjgkrxk7hhj3lpsj9angu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25 сентября 2012 года № 633). Планируется разработать и внедрить новую методику учета товарооборота, что позволит выработать меры по сокращению объема ненаблюдаемой экономики во внутренней торговле.</w:t>
      </w:r>
    </w:p>
    <w:p>
      <w:pPr>
        <w:spacing w:after="120"/>
        <w:jc w:val="both"/>
      </w:pPr>
      <w:r>
        <w:rPr>
          <w:rFonts w:ascii="Arial" w:cs="Arial" w:eastAsia="Arial" w:hAnsi="Arial"/>
          <w:sz w:val="24"/>
          <w:szCs w:val="24"/>
        </w:rPr>
        <w:t xml:space="preserve">Основным приоритетом в развитии дорожной сети является создание международных транспортных коридоров. Для развития транзитного потенциала будет продолжена реабилитация автодорог республики: Ош-Сарыташ-Иркештам, Сарыташ-Карамык, Ош-Баткен-Исфана, Бишкек-Нарын-Торугарт, Тараз-Талас-Суусамыр. Особое внимание уделяется обеспечению транспортной независимости страны за счет строительства объездных дорог в обход территорий соседних государств.</w:t>
      </w:r>
    </w:p>
    <w:p>
      <w:pPr>
        <w:spacing w:after="120"/>
        <w:jc w:val="both"/>
      </w:pPr>
      <w:r>
        <w:rPr>
          <w:rFonts w:ascii="Arial" w:cs="Arial" w:eastAsia="Arial" w:hAnsi="Arial"/>
          <w:sz w:val="24"/>
          <w:szCs w:val="24"/>
        </w:rPr>
        <w:t xml:space="preserve">Рост услуг связи будет обеспечиваться за счет построения современной сети передачи данных, которая станет базисом для повышения транзитного потенциала Кыргызской Республики. Продолжится активная работа по реализации проектов строительства волоконно-оптических линий связи (ВОЛС) в Кыргызской Республике по направлениям Таджикистан, Узбекистан и Китай, строительство ВОЛС, в частности, по направлениям Балыкчы-Каракол, Ош-Иркештам и Ош-Узген - Джалал-Абад-Таш-Кумыр. Увеличится количество пользователей за счет снижения тарифов сотовой связи и Интернета.</w:t>
      </w:r>
    </w:p>
    <w:p>
      <w:pPr>
        <w:spacing w:after="120"/>
        <w:jc w:val="both"/>
      </w:pPr>
      <w:r>
        <w:rPr>
          <w:rFonts w:ascii="Arial" w:cs="Arial" w:eastAsia="Arial" w:hAnsi="Arial"/>
          <w:sz w:val="24"/>
          <w:szCs w:val="24"/>
        </w:rPr>
        <w:t xml:space="preserve">Туризм рассматривается как один из главных экономических приоритетов страны. Для развития данного направления будет разработан и запущен единый информационный туристический портал, содержащий информацию о бронировании мест в средствах размещения, доступных турах, картах, планировании туров, отзывах туристов и форумах. Организовывается участие отечественных туристических компаний в специализированных туристических выставках и ярмарках (Берлин, Москва, Новосибирск, Екатеринбург, Алматы, Токио, Мадрид), разработаны и изданы печатные информационные материалы о туристических ресурсах Кыргызской Республики, ориентированные на конкретные целевые рынки.</w:t>
      </w:r>
    </w:p>
    <w:p>
      <w:pPr>
        <w:spacing w:after="120"/>
        <w:jc w:val="both"/>
      </w:pPr>
      <w:r>
        <w:rPr>
          <w:rFonts w:ascii="Arial" w:cs="Arial" w:eastAsia="Arial" w:hAnsi="Arial"/>
          <w:sz w:val="24"/>
          <w:szCs w:val="24"/>
        </w:rPr>
        <w:t xml:space="preserve">В региональном разрезе основной вклад в объем рыночных услуг будет внесен от деятельности гор. Бишкек (55,9%), а также Чуйской (11,3%), Джалал-Абадской (8,4%), Ошской (6,7%) областей. Их суммарный удельный вес составит 82,3%, что непосредственно связано с деловой активностью данных регионов и высокими доходами населения по сравнению с другими областями республики.</w:t>
      </w:r>
    </w:p>
    <w:p>
      <w:pPr>
        <w:spacing w:after="120"/>
        <w:jc w:val="both"/>
      </w:pPr>
      <w:r>
        <w:rPr>
          <w:rFonts w:ascii="Arial" w:cs="Arial" w:eastAsia="Arial" w:hAnsi="Arial"/>
          <w:sz w:val="24"/>
          <w:szCs w:val="24"/>
        </w:rPr>
        <w:t xml:space="preserve">Внешнеэкономическая деятельность в 2013 году будет складываться под влиянием таких факторов, как: (а) рост внутреннего производства на 7,8%; (б) риски, связанные с ограничениями экспорта товаров из-за вступления в силу условий действия Таможенного союза и переноса всех видов государственного контроля на внешние границы Таможенного союза, (в) прогнозируемое снижение мировых цен на золото.</w:t>
      </w:r>
    </w:p>
    <w:p>
      <w:pPr>
        <w:spacing w:after="120"/>
        <w:jc w:val="both"/>
      </w:pPr>
      <w:r>
        <w:rPr>
          <w:rFonts w:ascii="Arial" w:cs="Arial" w:eastAsia="Arial" w:hAnsi="Arial"/>
          <w:sz w:val="24"/>
          <w:szCs w:val="24"/>
        </w:rPr>
        <w:t xml:space="preserve">С учетом этих факторов объем внешнеторгового оборота ожидается на уровне 8300 млн. долларов США с номинальным превышением уровня 2012 года на 14,2%, в том числе экспорт составит 2100 млн. долларов США (рост - на 10,9%), импорт - 6200 млн. долларов США (рост на 15,4%).</w:t>
      </w:r>
    </w:p>
    <w:p>
      <w:pPr>
        <w:spacing w:after="120"/>
        <w:jc w:val="both"/>
      </w:pPr>
      <w:r>
        <w:rPr>
          <w:rFonts w:ascii="Arial" w:cs="Arial" w:eastAsia="Arial" w:hAnsi="Arial"/>
          <w:sz w:val="24"/>
          <w:szCs w:val="24"/>
        </w:rPr>
        <w:t xml:space="preserve">Рост объемов экспорта ожидается за счет увеличения экспорта золота почти на 16%, доля которого в структуре экспорта увеличится до 31,1% в 2013 году, против 29,7% в 2012 году. Объемы экспорта без учета золота увеличатся за счет увеличения экспорта одежды и ее принадлежностей - на 15,3%, овощей и фруктов - на 6,2%, хлопка-волокна - на 3,5%, ламп накаливания - на 6,0%, цемента - на 10,1%, ртути - на 35,8% и др.</w:t>
      </w:r>
    </w:p>
    <w:p>
      <w:pPr>
        <w:spacing w:after="120"/>
        <w:jc w:val="both"/>
      </w:pPr>
      <w:r>
        <w:rPr>
          <w:rFonts w:ascii="Arial" w:cs="Arial" w:eastAsia="Arial" w:hAnsi="Arial"/>
          <w:sz w:val="24"/>
          <w:szCs w:val="24"/>
        </w:rPr>
        <w:t xml:space="preserve">Импортные поступления увеличатся почти по всем основным статьям, таким как нефтепродукты - на 15,4%, газ природный - на 4,9%, а также некоторым основным видам товаров, которые не производятся в Кыргызской Республике. Таких как, машины и оборудования для промышленности - на 15,4%, электрические машины и аппараты - на 17,0%, удобрения - на 14,9%, транспортные средства - на 15,4%, фармацевтическая продукция - на 15,3%, продтовары - на 12% и др.</w:t>
      </w:r>
    </w:p>
    <w:p>
      <w:pPr>
        <w:spacing w:after="120"/>
        <w:jc w:val="both"/>
      </w:pPr>
      <w:r>
        <w:rPr>
          <w:rFonts w:ascii="Arial" w:cs="Arial" w:eastAsia="Arial" w:hAnsi="Arial"/>
          <w:sz w:val="24"/>
          <w:szCs w:val="24"/>
        </w:rPr>
        <w:t xml:space="preserve">Из-за опережающей динамики роста импорта над экспортом, отрицательное сальдо чистого экспорта товаров и услуг к ВВП в 2013 году (-50,0%) останется практически на уровне 2012 года, которое обусловлено сокращением экспорта золота из-за падения производства и постепенным его восстановлением.</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ВВП по использованию (в % к ВВП)</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91"/>
        <w:gridCol w:w="2143"/>
        <w:gridCol w:w="2143"/>
      </w:tblGrid>
      <w:tr>
        <w:tc>
          <w:tcPr>
            <w:tcW w:type="dxa" w:w="5891"/>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Показатели</w:t>
            </w:r>
          </w:p>
        </w:tc>
        <w:tc>
          <w:tcPr>
            <w:tcW w:type="dxa" w:w="214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214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w:t>
            </w:r>
          </w:p>
        </w:tc>
      </w:tr>
      <w:tr>
        <w:tc>
          <w:tcPr>
            <w:vMerge w:val="continue"/>
            <w:tcBorders>
              <w:top w:val="single" w:color="CBBF9E" w:sz="4"/>
              <w:left w:val="single" w:color="CBBF9E" w:sz="4"/>
              <w:bottom w:val="single" w:color="CBBF9E" w:sz="4"/>
              <w:right w:val="single" w:color="CBBF9E" w:sz="4"/>
            </w:tcBorders>
          </w:tcPr>
          <w:p/>
        </w:tc>
        <w:tc>
          <w:tcPr>
            <w:tcW w:type="dxa" w:w="21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предв. факт</w:t>
            </w:r>
          </w:p>
        </w:tc>
        <w:tc>
          <w:tcPr>
            <w:tcW w:type="dxa" w:w="21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w:t>
            </w:r>
          </w:p>
        </w:tc>
      </w:tr>
      <w:tr>
        <w:tc>
          <w:tcPr>
            <w:tcW w:type="dxa" w:w="58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Потребление</w:t>
            </w:r>
          </w:p>
        </w:tc>
        <w:tc>
          <w:tcPr>
            <w:tcW w:type="dxa" w:w="21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117,3</w:t>
            </w:r>
          </w:p>
        </w:tc>
        <w:tc>
          <w:tcPr>
            <w:tcW w:type="dxa" w:w="21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116,7</w:t>
            </w:r>
          </w:p>
        </w:tc>
      </w:tr>
      <w:tr>
        <w:tc>
          <w:tcPr>
            <w:tcW w:type="dxa" w:w="58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Государственное</w:t>
            </w:r>
          </w:p>
        </w:tc>
        <w:tc>
          <w:tcPr>
            <w:tcW w:type="dxa" w:w="21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19,8</w:t>
            </w:r>
          </w:p>
        </w:tc>
        <w:tc>
          <w:tcPr>
            <w:tcW w:type="dxa" w:w="21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w:t>
            </w:r>
          </w:p>
        </w:tc>
      </w:tr>
      <w:tr>
        <w:tc>
          <w:tcPr>
            <w:tcW w:type="dxa" w:w="58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Частное</w:t>
            </w:r>
          </w:p>
        </w:tc>
        <w:tc>
          <w:tcPr>
            <w:tcW w:type="dxa" w:w="21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97,5</w:t>
            </w:r>
          </w:p>
        </w:tc>
        <w:tc>
          <w:tcPr>
            <w:tcW w:type="dxa" w:w="21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97,7</w:t>
            </w:r>
          </w:p>
        </w:tc>
      </w:tr>
      <w:tr>
        <w:tc>
          <w:tcPr>
            <w:tcW w:type="dxa" w:w="58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Валовые инвестиции</w:t>
            </w:r>
          </w:p>
        </w:tc>
        <w:tc>
          <w:tcPr>
            <w:tcW w:type="dxa" w:w="21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32,9</w:t>
            </w:r>
          </w:p>
        </w:tc>
        <w:tc>
          <w:tcPr>
            <w:tcW w:type="dxa" w:w="21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33,3</w:t>
            </w:r>
          </w:p>
        </w:tc>
      </w:tr>
      <w:tr>
        <w:tc>
          <w:tcPr>
            <w:tcW w:type="dxa" w:w="58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Государственные инвестиции</w:t>
            </w:r>
          </w:p>
        </w:tc>
        <w:tc>
          <w:tcPr>
            <w:tcW w:type="dxa" w:w="21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21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w:t>
            </w:r>
          </w:p>
        </w:tc>
      </w:tr>
      <w:tr>
        <w:tc>
          <w:tcPr>
            <w:tcW w:type="dxa" w:w="58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них ПГИ (внешние)</w:t>
            </w:r>
          </w:p>
        </w:tc>
        <w:tc>
          <w:tcPr>
            <w:tcW w:type="dxa" w:w="21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w:t>
            </w:r>
          </w:p>
        </w:tc>
        <w:tc>
          <w:tcPr>
            <w:tcW w:type="dxa" w:w="21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w:t>
            </w:r>
          </w:p>
        </w:tc>
      </w:tr>
      <w:tr>
        <w:tc>
          <w:tcPr>
            <w:tcW w:type="dxa" w:w="58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Частные инвестиции</w:t>
            </w:r>
          </w:p>
        </w:tc>
        <w:tc>
          <w:tcPr>
            <w:tcW w:type="dxa" w:w="21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26,7</w:t>
            </w:r>
          </w:p>
        </w:tc>
        <w:tc>
          <w:tcPr>
            <w:tcW w:type="dxa" w:w="21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28,0</w:t>
            </w:r>
          </w:p>
        </w:tc>
      </w:tr>
      <w:tr>
        <w:tc>
          <w:tcPr>
            <w:tcW w:type="dxa" w:w="58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Экспорт (товары и услуги)</w:t>
            </w:r>
          </w:p>
        </w:tc>
        <w:tc>
          <w:tcPr>
            <w:tcW w:type="dxa" w:w="21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49,5</w:t>
            </w:r>
          </w:p>
        </w:tc>
        <w:tc>
          <w:tcPr>
            <w:tcW w:type="dxa" w:w="21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50,8</w:t>
            </w:r>
          </w:p>
        </w:tc>
      </w:tr>
      <w:tr>
        <w:tc>
          <w:tcPr>
            <w:tcW w:type="dxa" w:w="58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Импорт (товары и услуги)</w:t>
            </w:r>
          </w:p>
        </w:tc>
        <w:tc>
          <w:tcPr>
            <w:tcW w:type="dxa" w:w="21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99,7</w:t>
            </w:r>
          </w:p>
        </w:tc>
        <w:tc>
          <w:tcPr>
            <w:tcW w:type="dxa" w:w="21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100,8</w:t>
            </w:r>
          </w:p>
        </w:tc>
      </w:tr>
      <w:tr>
        <w:tc>
          <w:tcPr>
            <w:tcW w:type="dxa" w:w="58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Чистый экспорт</w:t>
            </w:r>
          </w:p>
        </w:tc>
        <w:tc>
          <w:tcPr>
            <w:tcW w:type="dxa" w:w="21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-50,2</w:t>
            </w:r>
          </w:p>
        </w:tc>
        <w:tc>
          <w:tcPr>
            <w:tcW w:type="dxa" w:w="21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Удельный вес государственного потребления в структуре использования ВВП составит 19,0%, частного потребления - 97,7%. Рост доли частного потребления, в основном, связан с увеличением номинального размера денежных доходов населения на 15,3%, с повышением среднемесячной номинальной заработной платы на 11,3% и ростом среднемесячного размера пенсии на 9,6%, а также увеличением поступлений трансфертов от мигрантов предположительно до 1,5 млрд. долларов США.</w:t>
      </w:r>
    </w:p>
    <w:p>
      <w:pPr>
        <w:spacing w:after="120"/>
        <w:jc w:val="both"/>
      </w:pPr>
      <w:r>
        <w:rPr>
          <w:rFonts w:ascii="Arial" w:cs="Arial" w:eastAsia="Arial" w:hAnsi="Arial"/>
          <w:sz w:val="24"/>
          <w:szCs w:val="24"/>
        </w:rPr>
        <w:t xml:space="preserve">Исходя из ожидаемых параметров развития экономики в 2013 году, основные социальные показатели, характеризующие уровень жизни, будут складываться следующим образом:</w:t>
      </w:r>
    </w:p>
    <w:p>
      <w:pPr>
        <w:spacing w:after="120"/>
        <w:jc w:val="both"/>
      </w:pPr>
      <w:r>
        <w:rPr>
          <w:rFonts w:ascii="Arial" w:cs="Arial" w:eastAsia="Arial" w:hAnsi="Arial"/>
          <w:sz w:val="24"/>
          <w:szCs w:val="24"/>
        </w:rPr>
        <w:t xml:space="preserve">- объем ВВП на душу населения в 2013 году увеличится на 13,5% и ожидается в размере 64,6 тыс. сомов;</w:t>
      </w:r>
    </w:p>
    <w:p>
      <w:pPr>
        <w:spacing w:after="120"/>
        <w:jc w:val="both"/>
      </w:pPr>
      <w:r>
        <w:rPr>
          <w:rFonts w:ascii="Arial" w:cs="Arial" w:eastAsia="Arial" w:hAnsi="Arial"/>
          <w:sz w:val="24"/>
          <w:szCs w:val="24"/>
        </w:rPr>
        <w:t xml:space="preserve">- ожидается, что денежные доходы населения номинально возрастут на 15,3%, а реальный темп прироста денежных доходов с учетом ожидаемого роста потребительских цен - на 7,3%;</w:t>
      </w:r>
    </w:p>
    <w:p>
      <w:pPr>
        <w:spacing w:after="120"/>
        <w:jc w:val="both"/>
      </w:pPr>
      <w:r>
        <w:rPr>
          <w:rFonts w:ascii="Arial" w:cs="Arial" w:eastAsia="Arial" w:hAnsi="Arial"/>
          <w:sz w:val="24"/>
          <w:szCs w:val="24"/>
        </w:rPr>
        <w:t xml:space="preserve">- в структуре денежных доходов ожидается рост «заработной платы», где среднемесячный номинальный размер возрастет на 11,3%, а реальный рост - на 3,6%. Номинальный размер средней пенсии с учетом компенсации за электроэнергию вырастет на 5,9%;</w:t>
      </w:r>
    </w:p>
    <w:p>
      <w:pPr>
        <w:spacing w:after="120"/>
        <w:jc w:val="both"/>
      </w:pPr>
      <w:r>
        <w:rPr>
          <w:rFonts w:ascii="Arial" w:cs="Arial" w:eastAsia="Arial" w:hAnsi="Arial"/>
          <w:sz w:val="24"/>
          <w:szCs w:val="24"/>
        </w:rPr>
        <w:t xml:space="preserve">- создание рабочих мест и рост численности занятых в экономике на 1,6% ожидается за счет мер политики в области занятости населения, направленных на определение спроса и предложения на рынке труда; совершенствование профессиональной подготовки и переподготовки безработных граждан; активные меры по созданию рабочих мест посредством выдачи микрокредитов;</w:t>
      </w:r>
    </w:p>
    <w:p>
      <w:pPr>
        <w:spacing w:after="120"/>
        <w:jc w:val="both"/>
      </w:pPr>
      <w:r>
        <w:rPr>
          <w:rFonts w:ascii="Arial" w:cs="Arial" w:eastAsia="Arial" w:hAnsi="Arial"/>
          <w:sz w:val="24"/>
          <w:szCs w:val="24"/>
        </w:rPr>
        <w:t xml:space="preserve">- повышение занятости позволит снизить уровень общей безработицы с 8,4% в 2012 году до 8,3% в 2013 году.</w:t>
      </w:r>
    </w:p>
    <w:p>
      <w:pPr>
        <w:spacing w:after="120"/>
        <w:jc w:val="both"/>
      </w:pPr>
      <w:r>
        <w:rPr>
          <w:rFonts w:ascii="Arial" w:cs="Arial" w:eastAsia="Arial" w:hAnsi="Arial"/>
          <w:sz w:val="24"/>
          <w:szCs w:val="24"/>
        </w:rPr>
        <w:t xml:space="preserve">Удельный вес расходов из республиканского бюджета на социальную сферу составит более 50% (включая текущие и инвестиционные).</w:t>
      </w:r>
    </w:p>
    <w:p>
      <w:pPr>
        <w:spacing w:after="120"/>
        <w:jc w:val="both"/>
      </w:pPr>
      <w:r>
        <w:rPr>
          <w:rFonts w:ascii="Arial" w:cs="Arial" w:eastAsia="Arial" w:hAnsi="Arial"/>
          <w:sz w:val="24"/>
          <w:szCs w:val="24"/>
        </w:rPr>
        <w:t xml:space="preserve">Таким образом, ожидаемые макроэкономические показатели на 2013 год претерпели изменения по сравнению с ранее утвержденными прогнозными значениями, в основном, за счет пересчета объемов производства из-за падения мировой цены на золото, сдержанного роста дефлятора ВВП из-за пересмотра показателей мирового экономического роста.</w:t>
      </w:r>
    </w:p>
    <w:p>
      <w:pPr>
        <w:spacing w:after="120"/>
        <w:jc w:val="both"/>
      </w:pPr>
      <w:r>
        <w:rPr>
          <w:rFonts w:ascii="Arial" w:cs="Arial" w:eastAsia="Arial" w:hAnsi="Arial"/>
          <w:sz w:val="24"/>
          <w:szCs w:val="24"/>
        </w:rPr>
        <w:t xml:space="preserve">Намечено проведение работы по выработке пакета мер/рекомендаций, направленных на изыскание резервов и принятие мер по обеспечению доходной части бюджета в 2013 году.</w:t>
      </w:r>
    </w:p>
    <w:p>
      <w:pPr>
        <w:spacing w:after="120"/>
        <w:jc w:val="both"/>
      </w:pPr>
      <w:r>
        <w:rPr>
          <w:rFonts w:ascii="Arial" w:cs="Arial" w:eastAsia="Arial" w:hAnsi="Arial"/>
          <w:sz w:val="24"/>
          <w:szCs w:val="24"/>
        </w:rPr>
        <w:t xml:space="preserve">Основными резервами увеличения объемов ВВП являются:</w:t>
      </w:r>
    </w:p>
    <w:p>
      <w:pPr>
        <w:spacing w:after="120"/>
        <w:jc w:val="both"/>
      </w:pPr>
      <w:r>
        <w:rPr>
          <w:rFonts w:ascii="Arial" w:cs="Arial" w:eastAsia="Arial" w:hAnsi="Arial"/>
          <w:sz w:val="24"/>
          <w:szCs w:val="24"/>
        </w:rPr>
        <w:t xml:space="preserve">- ожидаемый рост в металлургическом производстве за счет наращивания объемов добычи на предприятиях по разработке месторождений Кумтор на 42,6 процентного пункта, ОАО «Кыргызалтын» - на 14,8 процентного пункта (заявлены производителями);</w:t>
      </w:r>
    </w:p>
    <w:p>
      <w:pPr>
        <w:spacing w:after="120"/>
        <w:jc w:val="both"/>
      </w:pPr>
      <w:r>
        <w:rPr>
          <w:rFonts w:ascii="Arial" w:cs="Arial" w:eastAsia="Arial" w:hAnsi="Arial"/>
          <w:sz w:val="24"/>
          <w:szCs w:val="24"/>
        </w:rPr>
        <w:t xml:space="preserve">- ожидаемый рост производства нефтепродуктов за счет ввода и наращивания мощности нефтеперерабатывающих заводов;</w:t>
      </w:r>
    </w:p>
    <w:p>
      <w:pPr>
        <w:spacing w:after="120"/>
        <w:jc w:val="both"/>
      </w:pPr>
      <w:r>
        <w:rPr>
          <w:rFonts w:ascii="Arial" w:cs="Arial" w:eastAsia="Arial" w:hAnsi="Arial"/>
          <w:sz w:val="24"/>
          <w:szCs w:val="24"/>
        </w:rPr>
        <w:t xml:space="preserve">- ожидаемое увеличение темпов роста в сельском хозяйстве на 0,4 процентного пункта, за счет увеличения посевной площади путем вовлечения в оборот неиспользуемой пашни, которая не требует капитальных затрат для проведения мелиоративных работ, повышения урожайности культур из-за благоприятных природно-климатических условий и более точного статистического учета на местах.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Макроэкономический прогноз на 2014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Макроэкономическая политика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Главной целью экономической политики на 2014 год будет сохранение макроэкономической стабильности и закрепление базовых условий для выхода на устойчивые темпы экономического роста.</w:t>
      </w:r>
    </w:p>
    <w:p>
      <w:pPr>
        <w:spacing w:after="120"/>
        <w:jc w:val="both"/>
      </w:pPr>
      <w:r>
        <w:rPr>
          <w:rFonts w:ascii="Arial" w:cs="Arial" w:eastAsia="Arial" w:hAnsi="Arial"/>
          <w:sz w:val="24"/>
          <w:szCs w:val="24"/>
        </w:rPr>
        <w:t xml:space="preserve">В основу разработки макроэкономической политики на 2014 год заложены следующие предпосылки и условия.</w:t>
      </w:r>
    </w:p>
    <w:p>
      <w:pPr>
        <w:spacing w:after="120"/>
        <w:jc w:val="both"/>
      </w:pPr>
      <w:r>
        <w:rPr>
          <w:rFonts w:ascii="Arial" w:cs="Arial" w:eastAsia="Arial" w:hAnsi="Arial"/>
          <w:sz w:val="24"/>
          <w:szCs w:val="24"/>
        </w:rPr>
        <w:t xml:space="preserve">Прогнозируемые благоприятные внешние факторы воздействия:</w:t>
      </w:r>
    </w:p>
    <w:p>
      <w:pPr>
        <w:spacing w:after="120"/>
        <w:jc w:val="both"/>
      </w:pPr>
      <w:r>
        <w:rPr>
          <w:rFonts w:ascii="Arial" w:cs="Arial" w:eastAsia="Arial" w:hAnsi="Arial"/>
          <w:sz w:val="24"/>
          <w:szCs w:val="24"/>
        </w:rPr>
        <w:t xml:space="preserve">- политическая стабильность в регионе и странах - основных торговых партнерах;</w:t>
      </w:r>
    </w:p>
    <w:p>
      <w:pPr>
        <w:spacing w:after="120"/>
        <w:jc w:val="both"/>
      </w:pPr>
      <w:r>
        <w:rPr>
          <w:rFonts w:ascii="Arial" w:cs="Arial" w:eastAsia="Arial" w:hAnsi="Arial"/>
          <w:sz w:val="24"/>
          <w:szCs w:val="24"/>
        </w:rPr>
        <w:t xml:space="preserve">- постепенное оздоровление мировой экономики (прогнозируемый рост экономики до 4%);</w:t>
      </w:r>
    </w:p>
    <w:p>
      <w:pPr>
        <w:spacing w:after="120"/>
        <w:jc w:val="both"/>
      </w:pPr>
      <w:r>
        <w:rPr>
          <w:rFonts w:ascii="Arial" w:cs="Arial" w:eastAsia="Arial" w:hAnsi="Arial"/>
          <w:sz w:val="24"/>
          <w:szCs w:val="24"/>
        </w:rPr>
        <w:t xml:space="preserve">- прогнозируемый экономический рост в соседних государствах - России (3,7%), Казахстане (на уровне 5,6%), Китае (8,2%);</w:t>
      </w:r>
    </w:p>
    <w:p>
      <w:pPr>
        <w:spacing w:after="120"/>
        <w:jc w:val="both"/>
      </w:pPr>
      <w:r>
        <w:rPr>
          <w:rFonts w:ascii="Arial" w:cs="Arial" w:eastAsia="Arial" w:hAnsi="Arial"/>
          <w:sz w:val="24"/>
          <w:szCs w:val="24"/>
        </w:rPr>
        <w:t xml:space="preserve">- прогнозируемый умеренный рост инфляции в странах, основных торговых партнерах Кыргызской Республики в России (5,0%), Казахстане (6,0-8,0%), Китае (3,0%);</w:t>
      </w:r>
    </w:p>
    <w:p>
      <w:pPr>
        <w:spacing w:after="120"/>
        <w:jc w:val="both"/>
      </w:pPr>
      <w:r>
        <w:rPr>
          <w:rFonts w:ascii="Arial" w:cs="Arial" w:eastAsia="Arial" w:hAnsi="Arial"/>
          <w:sz w:val="24"/>
          <w:szCs w:val="24"/>
        </w:rPr>
        <w:t xml:space="preserve">- расширение внешнеэкономического сотрудничества в рамках Шанхайской организации сотрудничества (ШОС), ЕврАзЭС, СНГ;</w:t>
      </w:r>
    </w:p>
    <w:p>
      <w:pPr>
        <w:spacing w:after="120"/>
        <w:jc w:val="both"/>
      </w:pPr>
      <w:r>
        <w:rPr>
          <w:rFonts w:ascii="Arial" w:cs="Arial" w:eastAsia="Arial" w:hAnsi="Arial"/>
          <w:sz w:val="24"/>
          <w:szCs w:val="24"/>
        </w:rPr>
        <w:t xml:space="preserve">- активное использование членства Кыргызской Республики в ВТО;</w:t>
      </w:r>
    </w:p>
    <w:p>
      <w:pPr>
        <w:spacing w:after="120"/>
        <w:jc w:val="both"/>
      </w:pPr>
      <w:r>
        <w:rPr>
          <w:rFonts w:ascii="Arial" w:cs="Arial" w:eastAsia="Arial" w:hAnsi="Arial"/>
          <w:sz w:val="24"/>
          <w:szCs w:val="24"/>
        </w:rPr>
        <w:t xml:space="preserve">- политическое решение о вступлении Кыргызской Республики в Таможенный союз (далее - ТС);</w:t>
      </w:r>
    </w:p>
    <w:p>
      <w:pPr>
        <w:spacing w:after="120"/>
        <w:jc w:val="both"/>
      </w:pPr>
      <w:r>
        <w:rPr>
          <w:rFonts w:ascii="Arial" w:cs="Arial" w:eastAsia="Arial" w:hAnsi="Arial"/>
          <w:sz w:val="24"/>
          <w:szCs w:val="24"/>
        </w:rPr>
        <w:t xml:space="preserve">- углубление сотрудничества с международными экономическими и финансовыми организациями;</w:t>
      </w:r>
    </w:p>
    <w:p>
      <w:pPr>
        <w:spacing w:after="120"/>
        <w:jc w:val="both"/>
      </w:pPr>
      <w:r>
        <w:rPr>
          <w:rFonts w:ascii="Arial" w:cs="Arial" w:eastAsia="Arial" w:hAnsi="Arial"/>
          <w:sz w:val="24"/>
          <w:szCs w:val="24"/>
        </w:rPr>
        <w:t xml:space="preserve">- прогнозируемая стабилизация мировых цен на нефть на уровне 100-110 долларов за баррель, за счет сокращения спроса на нефть из-за замедления темпов роста мировой экономики;</w:t>
      </w:r>
    </w:p>
    <w:p>
      <w:pPr>
        <w:spacing w:after="120"/>
        <w:jc w:val="both"/>
      </w:pPr>
      <w:r>
        <w:rPr>
          <w:rFonts w:ascii="Arial" w:cs="Arial" w:eastAsia="Arial" w:hAnsi="Arial"/>
          <w:sz w:val="24"/>
          <w:szCs w:val="24"/>
        </w:rPr>
        <w:t xml:space="preserve">- мировая тенденция роста инвестиций в инновации.</w:t>
      </w:r>
    </w:p>
    <w:p>
      <w:pPr>
        <w:spacing w:after="120"/>
        <w:jc w:val="both"/>
      </w:pPr>
      <w:r>
        <w:rPr>
          <w:rFonts w:ascii="Arial" w:cs="Arial" w:eastAsia="Arial" w:hAnsi="Arial"/>
          <w:sz w:val="24"/>
          <w:szCs w:val="24"/>
        </w:rPr>
        <w:t xml:space="preserve">Прогнозируемые неблагоприятные внешние факторы воздействия:</w:t>
      </w:r>
    </w:p>
    <w:p>
      <w:pPr>
        <w:spacing w:after="120"/>
        <w:jc w:val="both"/>
      </w:pPr>
      <w:r>
        <w:rPr>
          <w:rFonts w:ascii="Arial" w:cs="Arial" w:eastAsia="Arial" w:hAnsi="Arial"/>
          <w:sz w:val="24"/>
          <w:szCs w:val="24"/>
        </w:rPr>
        <w:t xml:space="preserve">- финансовая неустойчивость ряда стран Европы и США;</w:t>
      </w:r>
    </w:p>
    <w:p>
      <w:pPr>
        <w:spacing w:after="120"/>
        <w:jc w:val="both"/>
      </w:pPr>
      <w:r>
        <w:rPr>
          <w:rFonts w:ascii="Arial" w:cs="Arial" w:eastAsia="Arial" w:hAnsi="Arial"/>
          <w:sz w:val="24"/>
          <w:szCs w:val="24"/>
        </w:rPr>
        <w:t xml:space="preserve">- ухудшение условий торговли со странами-основными торговыми партнерами, членами ТС (вхождение в ТС может привести к уравниванию (или к подтягиванию) уровня цен Кыргызской Республики с российскими и казахскими ценами, определенному инфляционному давлению и росту цен;</w:t>
      </w:r>
    </w:p>
    <w:p>
      <w:pPr>
        <w:spacing w:after="120"/>
        <w:jc w:val="both"/>
      </w:pPr>
      <w:r>
        <w:rPr>
          <w:rFonts w:ascii="Arial" w:cs="Arial" w:eastAsia="Arial" w:hAnsi="Arial"/>
          <w:sz w:val="24"/>
          <w:szCs w:val="24"/>
        </w:rPr>
        <w:t xml:space="preserve">- высокая степень зависимости от внешних заимствований на покрытие дефицита государственного бюджета и риски невыполнения Правительством Кыргызской Республики социальных обязательств в случае непоступления внешнего финансирования на покрытие дефицита бюджета;</w:t>
      </w:r>
    </w:p>
    <w:p>
      <w:pPr>
        <w:spacing w:after="120"/>
        <w:jc w:val="both"/>
      </w:pPr>
      <w:r>
        <w:rPr>
          <w:rFonts w:ascii="Arial" w:cs="Arial" w:eastAsia="Arial" w:hAnsi="Arial"/>
          <w:sz w:val="24"/>
          <w:szCs w:val="24"/>
        </w:rPr>
        <w:t xml:space="preserve">- прогнозируемый рост мировых цен на продовольствие (по оценке ООН - FAO цены на продовольственное сырье в средне- и долгосрочный период будут оставаться относительно высокими в течение примерно следующего десятилетия);</w:t>
      </w:r>
    </w:p>
    <w:p>
      <w:pPr>
        <w:spacing w:after="120"/>
        <w:jc w:val="both"/>
      </w:pPr>
      <w:r>
        <w:rPr>
          <w:rFonts w:ascii="Arial" w:cs="Arial" w:eastAsia="Arial" w:hAnsi="Arial"/>
          <w:sz w:val="24"/>
          <w:szCs w:val="24"/>
        </w:rPr>
        <w:t xml:space="preserve">- зависимость внутреннего рынка хлебопродуктов от импорта зерна и муки;</w:t>
      </w:r>
    </w:p>
    <w:p>
      <w:pPr>
        <w:spacing w:after="120"/>
        <w:jc w:val="both"/>
      </w:pPr>
      <w:r>
        <w:rPr>
          <w:rFonts w:ascii="Arial" w:cs="Arial" w:eastAsia="Arial" w:hAnsi="Arial"/>
          <w:sz w:val="24"/>
          <w:szCs w:val="24"/>
        </w:rPr>
        <w:t xml:space="preserve">- волотильность мировых цен на золото;</w:t>
      </w:r>
    </w:p>
    <w:p>
      <w:pPr>
        <w:spacing w:after="120"/>
        <w:jc w:val="both"/>
      </w:pPr>
      <w:r>
        <w:rPr>
          <w:rFonts w:ascii="Arial" w:cs="Arial" w:eastAsia="Arial" w:hAnsi="Arial"/>
          <w:sz w:val="24"/>
          <w:szCs w:val="24"/>
        </w:rPr>
        <w:t xml:space="preserve">- неопределенность условий торговли со странами - основными торговыми партнерами (ГСМ, газ);</w:t>
      </w:r>
    </w:p>
    <w:p>
      <w:pPr>
        <w:spacing w:after="120"/>
        <w:jc w:val="both"/>
      </w:pPr>
      <w:r>
        <w:rPr>
          <w:rFonts w:ascii="Arial" w:cs="Arial" w:eastAsia="Arial" w:hAnsi="Arial"/>
          <w:sz w:val="24"/>
          <w:szCs w:val="24"/>
        </w:rPr>
        <w:t xml:space="preserve">- недопоступление запланированных объемов иностранных инвестиций (связанных с задержкой рассмотрения заявок на получение и продление лицензий, что в целом приводит к потере объемов капитализации).</w:t>
      </w:r>
    </w:p>
    <w:p>
      <w:pPr>
        <w:spacing w:after="120"/>
        <w:jc w:val="both"/>
      </w:pPr>
      <w:r>
        <w:rPr>
          <w:rFonts w:ascii="Arial" w:cs="Arial" w:eastAsia="Arial" w:hAnsi="Arial"/>
          <w:sz w:val="24"/>
          <w:szCs w:val="24"/>
        </w:rPr>
        <w:t xml:space="preserve">Прогнозируемые благоприятные внутренние факторы воздействия:</w:t>
      </w:r>
    </w:p>
    <w:p>
      <w:pPr>
        <w:spacing w:after="120"/>
        <w:jc w:val="both"/>
      </w:pPr>
      <w:r>
        <w:rPr>
          <w:rFonts w:ascii="Arial" w:cs="Arial" w:eastAsia="Arial" w:hAnsi="Arial"/>
          <w:sz w:val="24"/>
          <w:szCs w:val="24"/>
        </w:rPr>
        <w:t xml:space="preserve">- восстановление работы на предприятиях по разработке месторождения Кумтор после ремонтно-восстановительных работ, ввод новых месторождений - Иштамберды, Бозымчак;</w:t>
      </w:r>
    </w:p>
    <w:p>
      <w:pPr>
        <w:spacing w:after="120"/>
        <w:jc w:val="both"/>
      </w:pPr>
      <w:r>
        <w:rPr>
          <w:rFonts w:ascii="Arial" w:cs="Arial" w:eastAsia="Arial" w:hAnsi="Arial"/>
          <w:sz w:val="24"/>
          <w:szCs w:val="24"/>
        </w:rPr>
        <w:t xml:space="preserve">- выход на проектную производственную мощность производства листового стекла;</w:t>
      </w:r>
    </w:p>
    <w:p>
      <w:pPr>
        <w:spacing w:after="120"/>
        <w:jc w:val="both"/>
      </w:pPr>
      <w:r>
        <w:rPr>
          <w:rFonts w:ascii="Arial" w:cs="Arial" w:eastAsia="Arial" w:hAnsi="Arial"/>
          <w:sz w:val="24"/>
          <w:szCs w:val="24"/>
        </w:rPr>
        <w:t xml:space="preserve">- запуск нефтеперерабатывающих заводов в гг. Кара-Балта и Токмок;</w:t>
      </w:r>
    </w:p>
    <w:p>
      <w:pPr>
        <w:spacing w:after="120"/>
        <w:jc w:val="both"/>
      </w:pPr>
      <w:r>
        <w:rPr>
          <w:rFonts w:ascii="Arial" w:cs="Arial" w:eastAsia="Arial" w:hAnsi="Arial"/>
          <w:sz w:val="24"/>
          <w:szCs w:val="24"/>
        </w:rPr>
        <w:t xml:space="preserve">- запуск крупных инвестиционных проектов и привлечение, продвижение прямых иностранных инвестиций в проекты (горнодобывающая и металлургическая отрасли, электроэнергетика, транспорт и связь);</w:t>
      </w:r>
    </w:p>
    <w:p>
      <w:pPr>
        <w:spacing w:after="120"/>
        <w:jc w:val="both"/>
      </w:pPr>
      <w:r>
        <w:rPr>
          <w:rFonts w:ascii="Arial" w:cs="Arial" w:eastAsia="Arial" w:hAnsi="Arial"/>
          <w:sz w:val="24"/>
          <w:szCs w:val="24"/>
        </w:rPr>
        <w:t xml:space="preserve">- стабильно развивающиеся торгово-экономические отношения со странами - торговыми партнерами страны;</w:t>
      </w:r>
    </w:p>
    <w:p>
      <w:pPr>
        <w:spacing w:after="120"/>
        <w:jc w:val="both"/>
      </w:pPr>
      <w:r>
        <w:rPr>
          <w:rFonts w:ascii="Arial" w:cs="Arial" w:eastAsia="Arial" w:hAnsi="Arial"/>
          <w:sz w:val="24"/>
          <w:szCs w:val="24"/>
        </w:rPr>
        <w:t xml:space="preserve">- продолжение политики выдачи льготных кредитов для развития сельского хозяйства и перерабатывающей промышленности;</w:t>
      </w:r>
    </w:p>
    <w:p>
      <w:pPr>
        <w:spacing w:after="120"/>
        <w:jc w:val="both"/>
      </w:pPr>
      <w:r>
        <w:rPr>
          <w:rFonts w:ascii="Arial" w:cs="Arial" w:eastAsia="Arial" w:hAnsi="Arial"/>
          <w:sz w:val="24"/>
          <w:szCs w:val="24"/>
        </w:rPr>
        <w:t xml:space="preserve">- сдерживание резких колебаний обменного курса инструментами денежно-кредитной политики;</w:t>
      </w:r>
    </w:p>
    <w:p>
      <w:pPr>
        <w:spacing w:after="120"/>
        <w:jc w:val="both"/>
      </w:pPr>
      <w:r>
        <w:rPr>
          <w:rFonts w:ascii="Arial" w:cs="Arial" w:eastAsia="Arial" w:hAnsi="Arial"/>
          <w:sz w:val="24"/>
          <w:szCs w:val="24"/>
        </w:rPr>
        <w:t xml:space="preserve">- создание благоприятных условий для предпринимательства и инвесторов;</w:t>
      </w:r>
    </w:p>
    <w:p>
      <w:pPr>
        <w:spacing w:after="120"/>
        <w:jc w:val="both"/>
      </w:pPr>
      <w:r>
        <w:rPr>
          <w:rFonts w:ascii="Arial" w:cs="Arial" w:eastAsia="Arial" w:hAnsi="Arial"/>
          <w:sz w:val="24"/>
          <w:szCs w:val="24"/>
        </w:rPr>
        <w:t xml:space="preserve">- прогнозируемое развитие сельского хозяйства, сферы услуг;</w:t>
      </w:r>
    </w:p>
    <w:p>
      <w:pPr>
        <w:spacing w:after="120"/>
        <w:jc w:val="both"/>
      </w:pPr>
      <w:r>
        <w:rPr>
          <w:rFonts w:ascii="Arial" w:cs="Arial" w:eastAsia="Arial" w:hAnsi="Arial"/>
          <w:sz w:val="24"/>
          <w:szCs w:val="24"/>
        </w:rPr>
        <w:t xml:space="preserve">- содействие занятости населения, создание новых рабочих мест путем выдачи микрокредитов.</w:t>
      </w:r>
    </w:p>
    <w:p>
      <w:pPr>
        <w:spacing w:after="120"/>
        <w:jc w:val="both"/>
      </w:pPr>
      <w:r>
        <w:rPr>
          <w:rFonts w:ascii="Arial" w:cs="Arial" w:eastAsia="Arial" w:hAnsi="Arial"/>
          <w:sz w:val="24"/>
          <w:szCs w:val="24"/>
        </w:rPr>
        <w:t xml:space="preserve">Прогнозируемые неблагоприятные внутренние факторы воздействия:</w:t>
      </w:r>
    </w:p>
    <w:p>
      <w:pPr>
        <w:spacing w:after="120"/>
        <w:jc w:val="both"/>
      </w:pPr>
      <w:r>
        <w:rPr>
          <w:rFonts w:ascii="Arial" w:cs="Arial" w:eastAsia="Arial" w:hAnsi="Arial"/>
          <w:sz w:val="24"/>
          <w:szCs w:val="24"/>
        </w:rPr>
        <w:t xml:space="preserve">- возможные осложнения общественно-политической ситуации и риск оттока капитала и трудовых ресурсов из страны;</w:t>
      </w:r>
    </w:p>
    <w:p>
      <w:pPr>
        <w:spacing w:after="120"/>
        <w:jc w:val="both"/>
      </w:pPr>
      <w:r>
        <w:rPr>
          <w:rFonts w:ascii="Arial" w:cs="Arial" w:eastAsia="Arial" w:hAnsi="Arial"/>
          <w:sz w:val="24"/>
          <w:szCs w:val="24"/>
        </w:rPr>
        <w:t xml:space="preserve">- сохранение высокого уровня дефицита;</w:t>
      </w:r>
    </w:p>
    <w:p>
      <w:pPr>
        <w:spacing w:after="120"/>
        <w:jc w:val="both"/>
      </w:pPr>
      <w:r>
        <w:rPr>
          <w:rFonts w:ascii="Arial" w:cs="Arial" w:eastAsia="Arial" w:hAnsi="Arial"/>
          <w:sz w:val="24"/>
          <w:szCs w:val="24"/>
        </w:rPr>
        <w:t xml:space="preserve">- риски повышения уровня инфляции за счет роста цен на продовольственные товары;</w:t>
      </w:r>
    </w:p>
    <w:p>
      <w:pPr>
        <w:spacing w:after="120"/>
        <w:jc w:val="both"/>
      </w:pPr>
      <w:r>
        <w:rPr>
          <w:rFonts w:ascii="Arial" w:cs="Arial" w:eastAsia="Arial" w:hAnsi="Arial"/>
          <w:sz w:val="24"/>
          <w:szCs w:val="24"/>
        </w:rPr>
        <w:t xml:space="preserve">- прогнозируемые риски маловодья, которые могут существенно повлиять на выработку объемов электрической энергии и возможные суровые природно-климатические факторы, которые может оказать негативное воздействие на развитие аграрного сектора;</w:t>
      </w:r>
    </w:p>
    <w:p>
      <w:pPr>
        <w:spacing w:after="120"/>
        <w:jc w:val="both"/>
      </w:pPr>
      <w:r>
        <w:rPr>
          <w:rFonts w:ascii="Arial" w:cs="Arial" w:eastAsia="Arial" w:hAnsi="Arial"/>
          <w:sz w:val="24"/>
          <w:szCs w:val="24"/>
        </w:rPr>
        <w:t xml:space="preserve">- повышение закупочных цен на газ из Узбекистана;</w:t>
      </w:r>
    </w:p>
    <w:p>
      <w:pPr>
        <w:spacing w:after="120"/>
        <w:jc w:val="both"/>
      </w:pPr>
      <w:r>
        <w:rPr>
          <w:rFonts w:ascii="Arial" w:cs="Arial" w:eastAsia="Arial" w:hAnsi="Arial"/>
          <w:sz w:val="24"/>
          <w:szCs w:val="24"/>
        </w:rPr>
        <w:t xml:space="preserve">- присоединение к Таможенному Союзу (сокращение торговой активности оптовых рынков, челночной торговли за счет влияния условий ТС, которое, в свою очередь, в краткосрочном периоде окажет существенное влияние на занятость);</w:t>
      </w:r>
    </w:p>
    <w:p>
      <w:pPr>
        <w:spacing w:after="120"/>
        <w:jc w:val="both"/>
      </w:pPr>
      <w:r>
        <w:rPr>
          <w:rFonts w:ascii="Arial" w:cs="Arial" w:eastAsia="Arial" w:hAnsi="Arial"/>
          <w:sz w:val="24"/>
          <w:szCs w:val="24"/>
        </w:rPr>
        <w:t xml:space="preserve">- умеренный рост объемов услуг из-за сдержанных темпов реального роста внутренней торговли в результате сокращения объемов рээкспорта в Казахстан, Россию и Узбекистан;</w:t>
      </w:r>
    </w:p>
    <w:p>
      <w:pPr>
        <w:spacing w:after="120"/>
        <w:jc w:val="both"/>
      </w:pPr>
      <w:r>
        <w:rPr>
          <w:rFonts w:ascii="Arial" w:cs="Arial" w:eastAsia="Arial" w:hAnsi="Arial"/>
          <w:sz w:val="24"/>
          <w:szCs w:val="24"/>
        </w:rPr>
        <w:t xml:space="preserve">- риск роста теневой экономики.</w:t>
      </w:r>
    </w:p>
    <w:p>
      <w:pPr>
        <w:spacing w:after="120"/>
        <w:jc w:val="both"/>
      </w:pPr>
      <w:r>
        <w:rPr>
          <w:rFonts w:ascii="Arial" w:cs="Arial" w:eastAsia="Arial" w:hAnsi="Arial"/>
          <w:sz w:val="24"/>
          <w:szCs w:val="24"/>
        </w:rPr>
        <w:t xml:space="preserve">Исходя из приведенных внешних и внутренних предпосылок и условий развития, согласно произведенным расчетам, основные прогнозные социально-экономические показатели на 2014 год сложатся следующим образом.</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Структура и темпы роста по секторам, формирующим ВВП14</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60"/>
        <w:gridCol w:w="1254"/>
        <w:gridCol w:w="1254"/>
        <w:gridCol w:w="1254"/>
        <w:gridCol w:w="1089"/>
        <w:gridCol w:w="1089"/>
        <w:gridCol w:w="1089"/>
        <w:gridCol w:w="1089"/>
      </w:tblGrid>
      <w:tr>
        <w:tc>
          <w:tcPr>
            <w:tcW w:type="dxa" w:w="2060"/>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Показатели</w:t>
            </w:r>
          </w:p>
        </w:tc>
        <w:tc>
          <w:tcPr>
            <w:tcW w:type="dxa" w:w="3762"/>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год</w:t>
            </w:r>
          </w:p>
        </w:tc>
        <w:tc>
          <w:tcPr>
            <w:tcW w:type="dxa" w:w="4356"/>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год</w:t>
            </w:r>
          </w:p>
        </w:tc>
      </w:tr>
      <w:tr>
        <w:tc>
          <w:tcPr>
            <w:vMerge w:val="continue"/>
            <w:tcBorders>
              <w:top w:val="single" w:color="CBBF9E" w:sz="4"/>
              <w:left w:val="single" w:color="CBBF9E" w:sz="4"/>
              <w:bottom w:val="single" w:color="CBBF9E" w:sz="4"/>
              <w:right w:val="single" w:color="CBBF9E" w:sz="4"/>
            </w:tcBorders>
          </w:tcP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вклад в рост ВВП, %</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w:t>
            </w:r>
          </w:p>
          <w:p>
            <w:pPr>
              <w:jc w:val="left"/>
            </w:pPr>
            <w:r>
              <w:rPr>
                <w:rFonts w:ascii="Arial" w:cs="Arial" w:eastAsia="Arial" w:hAnsi="Arial"/>
                <w:sz w:val="24"/>
                <w:szCs w:val="24"/>
              </w:rPr>
              <w:t xml:space="preserve">к ВВП</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вклад в рост ВВП, %</w:t>
            </w:r>
          </w:p>
        </w:tc>
      </w:tr>
      <w:tr>
        <w:tc>
          <w:tcPr>
            <w:tcW w:type="dxa" w:w="20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351140,8</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401030,0</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w:t>
            </w:r>
          </w:p>
        </w:tc>
      </w:tr>
      <w:tr>
        <w:tc>
          <w:tcPr>
            <w:tcW w:type="dxa" w:w="20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58472,5</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101,6</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0,28</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64473,0</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16,1</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0,33</w:t>
            </w:r>
          </w:p>
        </w:tc>
      </w:tr>
      <w:tr>
        <w:tc>
          <w:tcPr>
            <w:tcW w:type="dxa" w:w="20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59370,3</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119,0</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3,20</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66537,9</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113,2</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16,6</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2,24</w:t>
            </w:r>
          </w:p>
        </w:tc>
      </w:tr>
      <w:tr>
        <w:tc>
          <w:tcPr>
            <w:tcW w:type="dxa" w:w="20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20803,8</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112,5</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0,71</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25498,7</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115,5</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0,92</w:t>
            </w:r>
          </w:p>
        </w:tc>
      </w:tr>
      <w:tr>
        <w:tc>
          <w:tcPr>
            <w:tcW w:type="dxa" w:w="20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Услуги</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164672,3</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2,56</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189495,6</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105,3</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47,3</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2,49</w:t>
            </w:r>
          </w:p>
        </w:tc>
      </w:tr>
      <w:tr>
        <w:tc>
          <w:tcPr>
            <w:tcW w:type="dxa" w:w="20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Чистые налоги на продукты</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47821,9</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55024,8</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0,94</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2014 год номинальный объем ВВП прогнозируется в сумме 401,0 млрд. сомов, а реальный темп прироста - 6,9%, дефлятор - 106,8%.</w:t>
      </w:r>
    </w:p>
    <w:p>
      <w:pPr>
        <w:spacing w:after="120"/>
        <w:jc w:val="both"/>
      </w:pPr>
      <w:r>
        <w:rPr>
          <w:rFonts w:ascii="Arial" w:cs="Arial" w:eastAsia="Arial" w:hAnsi="Arial"/>
          <w:sz w:val="24"/>
          <w:szCs w:val="24"/>
        </w:rPr>
        <w:t xml:space="preserve">Прогнозируемый экономический рост на уровне 6,9% будет обеспечиваться вкладом в ВВП всех секторов экономики. При этом наибольший вклад будет обеспечен со стороны сектора услуг (2,5 процентного пункта) и промышленности (2,2 процентного пункта), суммарный вклад которых составит 4,7 процентного пункта, а вклады строительства (0,9 процентного пункта) и сельского хозяйства (0,3 процентного пункта) будут минимальными.</w:t>
      </w:r>
    </w:p>
    <w:p>
      <w:pPr>
        <w:spacing w:after="120"/>
        <w:jc w:val="both"/>
      </w:pPr>
      <w:r>
        <w:rPr>
          <w:rFonts w:ascii="Arial" w:cs="Arial" w:eastAsia="Arial" w:hAnsi="Arial"/>
          <w:sz w:val="24"/>
          <w:szCs w:val="24"/>
        </w:rPr>
        <w:t xml:space="preserve">В региональном разрезе основная доля производства ВВП в 2014 году будет обеспечиваться за счет функционирования экономик гор. Бишкек, Чуйской, Иссык-Кульской, Джалал-Абадской областей, с удельным весом 76,7%, суммарный вклад которых в ВВП республики составит 6,2%. Значительные доли в общем объеме производства ВВП Джалал-Абадской (11,1%) и Иссык-Кульской (12,0%) областей связаны с тем, что на территории Джалал-Абадской области производится около 90% вырабатываемой в республике электроэнергии, а на территории Иссык-Кульской области расположены предприятия по разработке месторождения Кумтор.</w:t>
      </w:r>
    </w:p>
    <w:p>
      <w:pPr>
        <w:spacing w:after="120"/>
        <w:jc w:val="both"/>
      </w:pPr>
      <w:r>
        <w:rPr>
          <w:rFonts w:ascii="Arial" w:cs="Arial" w:eastAsia="Arial" w:hAnsi="Arial"/>
          <w:sz w:val="24"/>
          <w:szCs w:val="24"/>
        </w:rPr>
        <w:t xml:space="preserve">Оставшаяся часть распределилась между другими областями, с наименьшими вкладами на уровне 0,7% - Ошской, Баткенской, Нарынской, Таласской и гор. Ош.</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15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Вклады регионов в производство ВВП</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06"/>
        <w:gridCol w:w="1329"/>
        <w:gridCol w:w="1329"/>
        <w:gridCol w:w="1303"/>
        <w:gridCol w:w="1303"/>
        <w:gridCol w:w="1303"/>
        <w:gridCol w:w="1303"/>
      </w:tblGrid>
      <w:tr>
        <w:tc>
          <w:tcPr>
            <w:tcW w:type="dxa" w:w="2306"/>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Показатели</w:t>
            </w:r>
          </w:p>
        </w:tc>
        <w:tc>
          <w:tcPr>
            <w:tcW w:type="dxa" w:w="265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год, ожид.</w:t>
            </w:r>
          </w:p>
        </w:tc>
        <w:tc>
          <w:tcPr>
            <w:tcW w:type="dxa" w:w="5212"/>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год, прогноз</w:t>
            </w:r>
          </w:p>
        </w:tc>
      </w:tr>
      <w:tr>
        <w:tc>
          <w:tcPr>
            <w:vMerge w:val="continue"/>
            <w:tcBorders>
              <w:top w:val="single" w:color="CBBF9E" w:sz="4"/>
              <w:left w:val="single" w:color="CBBF9E" w:sz="4"/>
              <w:bottom w:val="single" w:color="CBBF9E" w:sz="4"/>
              <w:right w:val="single" w:color="CBBF9E" w:sz="4"/>
            </w:tcBorders>
          </w:tcP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3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13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3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w:t>
            </w:r>
          </w:p>
          <w:p>
            <w:pPr>
              <w:jc w:val="left"/>
            </w:pPr>
            <w:r>
              <w:rPr>
                <w:rFonts w:ascii="Arial" w:cs="Arial" w:eastAsia="Arial" w:hAnsi="Arial"/>
                <w:sz w:val="24"/>
                <w:szCs w:val="24"/>
              </w:rPr>
              <w:t xml:space="preserve">к ВВП</w:t>
            </w:r>
          </w:p>
        </w:tc>
        <w:tc>
          <w:tcPr>
            <w:tcW w:type="dxa" w:w="13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вклад в рост ВВП, %</w:t>
            </w:r>
          </w:p>
        </w:tc>
      </w:tr>
      <w:tr>
        <w:tc>
          <w:tcPr>
            <w:tcW w:type="dxa" w:w="23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 (Республика)</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351140,8</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c>
          <w:tcPr>
            <w:tcW w:type="dxa" w:w="13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401030,0</w:t>
            </w:r>
          </w:p>
        </w:tc>
        <w:tc>
          <w:tcPr>
            <w:tcW w:type="dxa" w:w="13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c>
          <w:tcPr>
            <w:tcW w:type="dxa" w:w="13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3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w:t>
            </w:r>
          </w:p>
        </w:tc>
      </w:tr>
      <w:tr>
        <w:tc>
          <w:tcPr>
            <w:tcW w:type="dxa" w:w="23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17118,6</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103,3</w:t>
            </w:r>
          </w:p>
        </w:tc>
        <w:tc>
          <w:tcPr>
            <w:tcW w:type="dxa" w:w="13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18517,8</w:t>
            </w:r>
          </w:p>
        </w:tc>
        <w:tc>
          <w:tcPr>
            <w:tcW w:type="dxa" w:w="13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101,3</w:t>
            </w:r>
          </w:p>
        </w:tc>
        <w:tc>
          <w:tcPr>
            <w:tcW w:type="dxa" w:w="13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13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0,22</w:t>
            </w:r>
          </w:p>
        </w:tc>
      </w:tr>
      <w:tr>
        <w:tc>
          <w:tcPr>
            <w:tcW w:type="dxa" w:w="23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39975,2</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103,2</w:t>
            </w:r>
          </w:p>
        </w:tc>
        <w:tc>
          <w:tcPr>
            <w:tcW w:type="dxa" w:w="13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43926,4</w:t>
            </w:r>
          </w:p>
        </w:tc>
        <w:tc>
          <w:tcPr>
            <w:tcW w:type="dxa" w:w="13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c>
          <w:tcPr>
            <w:tcW w:type="dxa" w:w="13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13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0,57</w:t>
            </w:r>
          </w:p>
        </w:tc>
      </w:tr>
      <w:tr>
        <w:tc>
          <w:tcPr>
            <w:tcW w:type="dxa" w:w="23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41700,4</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124,5</w:t>
            </w:r>
          </w:p>
        </w:tc>
        <w:tc>
          <w:tcPr>
            <w:tcW w:type="dxa" w:w="13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47929,0</w:t>
            </w:r>
          </w:p>
        </w:tc>
        <w:tc>
          <w:tcPr>
            <w:tcW w:type="dxa" w:w="13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118,1</w:t>
            </w:r>
          </w:p>
        </w:tc>
        <w:tc>
          <w:tcPr>
            <w:tcW w:type="dxa" w:w="13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13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0,87</w:t>
            </w:r>
          </w:p>
        </w:tc>
      </w:tr>
      <w:tr>
        <w:tc>
          <w:tcPr>
            <w:tcW w:type="dxa" w:w="23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10076,3</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w:t>
            </w:r>
          </w:p>
        </w:tc>
        <w:tc>
          <w:tcPr>
            <w:tcW w:type="dxa" w:w="13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11456,4</w:t>
            </w:r>
          </w:p>
        </w:tc>
        <w:tc>
          <w:tcPr>
            <w:tcW w:type="dxa" w:w="13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104,6</w:t>
            </w:r>
          </w:p>
        </w:tc>
        <w:tc>
          <w:tcPr>
            <w:tcW w:type="dxa" w:w="13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13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0,13</w:t>
            </w:r>
          </w:p>
        </w:tc>
      </w:tr>
      <w:tr>
        <w:tc>
          <w:tcPr>
            <w:tcW w:type="dxa" w:w="23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35357,1</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104,8</w:t>
            </w:r>
          </w:p>
        </w:tc>
        <w:tc>
          <w:tcPr>
            <w:tcW w:type="dxa" w:w="13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39543,6</w:t>
            </w:r>
          </w:p>
        </w:tc>
        <w:tc>
          <w:tcPr>
            <w:tcW w:type="dxa" w:w="13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103,4</w:t>
            </w:r>
          </w:p>
        </w:tc>
        <w:tc>
          <w:tcPr>
            <w:tcW w:type="dxa" w:w="13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w:t>
            </w:r>
          </w:p>
        </w:tc>
        <w:tc>
          <w:tcPr>
            <w:tcW w:type="dxa" w:w="13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0,36</w:t>
            </w:r>
          </w:p>
        </w:tc>
      </w:tr>
      <w:tr>
        <w:tc>
          <w:tcPr>
            <w:tcW w:type="dxa" w:w="23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8180,8</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102,8</w:t>
            </w:r>
          </w:p>
        </w:tc>
        <w:tc>
          <w:tcPr>
            <w:tcW w:type="dxa" w:w="13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9215,8</w:t>
            </w:r>
          </w:p>
        </w:tc>
        <w:tc>
          <w:tcPr>
            <w:tcW w:type="dxa" w:w="13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103,5</w:t>
            </w:r>
          </w:p>
        </w:tc>
        <w:tc>
          <w:tcPr>
            <w:tcW w:type="dxa" w:w="13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13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w:t>
            </w:r>
          </w:p>
        </w:tc>
      </w:tr>
      <w:tr>
        <w:tc>
          <w:tcPr>
            <w:tcW w:type="dxa" w:w="23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49810,8</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108,2</w:t>
            </w:r>
          </w:p>
        </w:tc>
        <w:tc>
          <w:tcPr>
            <w:tcW w:type="dxa" w:w="13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57939,1</w:t>
            </w:r>
          </w:p>
        </w:tc>
        <w:tc>
          <w:tcPr>
            <w:tcW w:type="dxa" w:w="13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13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w:t>
            </w:r>
          </w:p>
        </w:tc>
        <w:tc>
          <w:tcPr>
            <w:tcW w:type="dxa" w:w="13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w:t>
            </w:r>
          </w:p>
        </w:tc>
      </w:tr>
      <w:tr>
        <w:tc>
          <w:tcPr>
            <w:tcW w:type="dxa" w:w="23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 Бишкек</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137748,4</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c>
          <w:tcPr>
            <w:tcW w:type="dxa" w:w="13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159581,1</w:t>
            </w:r>
          </w:p>
        </w:tc>
        <w:tc>
          <w:tcPr>
            <w:tcW w:type="dxa" w:w="13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13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39,8</w:t>
            </w:r>
          </w:p>
        </w:tc>
        <w:tc>
          <w:tcPr>
            <w:tcW w:type="dxa" w:w="13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w:t>
            </w:r>
          </w:p>
        </w:tc>
      </w:tr>
      <w:tr>
        <w:tc>
          <w:tcPr>
            <w:tcW w:type="dxa" w:w="23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 Ош</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11173,2</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104,9</w:t>
            </w:r>
          </w:p>
        </w:tc>
        <w:tc>
          <w:tcPr>
            <w:tcW w:type="dxa" w:w="13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12920,7</w:t>
            </w:r>
          </w:p>
        </w:tc>
        <w:tc>
          <w:tcPr>
            <w:tcW w:type="dxa" w:w="13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c>
          <w:tcPr>
            <w:tcW w:type="dxa" w:w="13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13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6.2. Денежно-кредитная политика. Индекс потребительских цен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достижения приоритетных целей развития экономики Национальный банк Кыргызской Республики (далее - НБКР) будет проводить денежно-кредитную политику в рамках Основных направлений денежно-кредитной политики на 2013-2015 годы (постановление Правления НБКР от 12 декабря 2012 года № 48/3).</w:t>
      </w:r>
    </w:p>
    <w:p>
      <w:pPr>
        <w:spacing w:after="120"/>
        <w:jc w:val="both"/>
      </w:pPr>
      <w:r>
        <w:rPr>
          <w:rFonts w:ascii="Arial" w:cs="Arial" w:eastAsia="Arial" w:hAnsi="Arial"/>
          <w:sz w:val="24"/>
          <w:szCs w:val="24"/>
        </w:rPr>
        <w:t xml:space="preserve">НБКР продолжит проведение политики плавающего обменного курса, в случае необходимости будет выступать и как продавец, и как покупатель валюты на межбанковском валютном рынке в целях сглаживания резких колебаний обменного курса сома к доллару США.</w:t>
      </w:r>
    </w:p>
    <w:p>
      <w:pPr>
        <w:spacing w:after="120"/>
        <w:jc w:val="both"/>
      </w:pPr>
      <w:r>
        <w:rPr>
          <w:rFonts w:ascii="Arial" w:cs="Arial" w:eastAsia="Arial" w:hAnsi="Arial"/>
          <w:sz w:val="24"/>
          <w:szCs w:val="24"/>
        </w:rPr>
        <w:t xml:space="preserve">Проведение денежно-кредитной политики НБКР в среднесрочном периоде будет исходить из ожидаемых тенденций развития реального, налогово-бюджетного и внешнего секторов экономики и будет ориентировано на значение инфляции на уровне 7-8% в среднем за период при условии отсутствия шоков.</w:t>
      </w:r>
    </w:p>
    <w:p>
      <w:pPr>
        <w:spacing w:after="120"/>
        <w:jc w:val="both"/>
      </w:pPr>
      <w:r>
        <w:rPr>
          <w:rFonts w:ascii="Arial" w:cs="Arial" w:eastAsia="Arial" w:hAnsi="Arial"/>
          <w:sz w:val="24"/>
          <w:szCs w:val="24"/>
        </w:rPr>
        <w:t xml:space="preserve">При этом темпы прироста денежной базы в 2014 году будут постепенно снижаться до 15,7%, против уровня прироста 16,4% в 2013 году. Темпы прироста М2Х в среднесрочном периоде составят в среднем 18,3%. Скорость обращения широких денег М2Х в течение прогнозируемого периода сохранится в среднем на уровне 3,2.</w:t>
      </w:r>
    </w:p>
    <w:p>
      <w:pPr>
        <w:spacing w:after="120"/>
        <w:jc w:val="both"/>
      </w:pPr>
      <w:r>
        <w:rPr>
          <w:rFonts w:ascii="Arial" w:cs="Arial" w:eastAsia="Arial" w:hAnsi="Arial"/>
          <w:sz w:val="24"/>
          <w:szCs w:val="24"/>
        </w:rPr>
        <w:t xml:space="preserve">На уровень индекса потребительских цен, как сдерживающее, так и возрастающее влияние будут оказывать такие основные факторы, как: (1) отсутствие существенных внешних и внутренних шоков спроса и предложения; (2) умеренный рост цен на продовольственные товары на внутреннем рынке на 5,0%, непродовольственные товары - на 8,0%, услуги - на 9,0%; (3) традиционная зависимость внутреннего рынка хлебопродуктов от импорта муки и зерна; (4) рост цен на сырую нефть (Urals) до 105 долларов США за баррель15 (5) изменение цен на коммунальные услуги; (6) сезонные колебания цен на сельхозпродукцию; (7) влияние условий вхождения в Таможенный союз; (8) сдерживание резких колебаний обменного курса инструментами денежно-кредитной политики; (9) прогнозируемые умеренные показатели инфляции в странах - основных торговых партнерах (Россия - 5,0%, Казахстан - 6,0-8,0%, Китай - 3,0%).</w:t>
      </w:r>
    </w:p>
    <w:p>
      <w:pPr>
        <w:spacing w:after="120"/>
        <w:jc w:val="both"/>
      </w:pPr>
      <w:r>
        <w:rPr>
          <w:rFonts w:ascii="Arial" w:cs="Arial" w:eastAsia="Arial" w:hAnsi="Arial"/>
          <w:sz w:val="24"/>
          <w:szCs w:val="24"/>
        </w:rPr>
        <w:t xml:space="preserve">Помимо фактора сохранения зависимости от внешней ценовой конъюнктуры, внутренняя ценовая ситуация будет предопределяться во многом такими факторами, как структурные реформы сельскохозяйственного сектора, повышение производственного потенциала и конкурентоспособности отечественных товаров, баланс между спросом и предложением товаров и услуг, административно устанавливаемые тарифы, обеспечение устойчивости и сбалансированности поступлений государственных доходов и равномерного распределения государственных расходов в течение финансового года в сочетании с мерами по бюджетной консолидации.</w:t>
      </w:r>
    </w:p>
    <w:p>
      <w:pPr>
        <w:spacing w:after="120"/>
        <w:jc w:val="both"/>
      </w:pPr>
      <w:r>
        <w:rPr>
          <w:rFonts w:ascii="Arial" w:cs="Arial" w:eastAsia="Arial" w:hAnsi="Arial"/>
          <w:sz w:val="24"/>
          <w:szCs w:val="24"/>
        </w:rPr>
        <w:t xml:space="preserve">Для недопущения роста инфляции и удержания ее в запланированном коридоре будет продолжена реализация комплекса мер по обеспечению стабильности цен на внутреннем рынке. На постоянной основе будет проводиться мониторинг ситуации на рынке розничных цен на нефтепродукты, продовольственные товары. Будет усилена работа по защите конкуренции, выявлению и пресечению недобросовестной конкуренции, ценового сговора, злоупотреблений субъектами рынка своим доминирующим положением, спекулятивного роста цен, сокращению посреднических звеньев между производителями продукции и конечными потребителями.</w:t>
      </w:r>
    </w:p>
    <w:p>
      <w:pPr>
        <w:spacing w:after="120"/>
        <w:jc w:val="both"/>
      </w:pPr>
      <w:r>
        <w:rPr>
          <w:rFonts w:ascii="Arial" w:cs="Arial" w:eastAsia="Arial" w:hAnsi="Arial"/>
          <w:sz w:val="24"/>
          <w:szCs w:val="24"/>
        </w:rPr>
        <w:t xml:space="preserve">В случае существенного изменения ситуации на мировых товарно-сырьевых рынках, в инвестиционной политике и секторе государственных финансов, пересмотра тарифной политики Правительством Кыргызской Республики, фактическое значение инфляции может оказаться выше обозначенного инфляционного ориентира.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6.3. Бюджетно-налоговая политика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Бюджетно-налоговая политика будет направлена на увеличение налоговых доходов, упорядочение льгот и освобождений и снижение дефицита бюджета.</w:t>
      </w:r>
    </w:p>
    <w:p>
      <w:pPr>
        <w:spacing w:after="120"/>
        <w:jc w:val="both"/>
      </w:pPr>
      <w:r>
        <w:rPr>
          <w:rFonts w:ascii="Arial" w:cs="Arial" w:eastAsia="Arial" w:hAnsi="Arial"/>
          <w:sz w:val="24"/>
          <w:szCs w:val="24"/>
        </w:rPr>
        <w:t xml:space="preserve">В целом налоговая политика на 2014-2016 годы останется стабильной. При этом основной целью налоговой политики будет стимулирование роста экономики посредством улучшения бизнес-среды и инвестиционного климата в части упрощения налогообложения и справедливого распределения налогового бремени между хозяйствующими субъектами, в рамках разрабатываемой среднесрочной Концепции фискальной политики на 2013-2017 годы, одним из которых является поэтапное снижение налога с продаж для плательщиков НДС.</w:t>
      </w:r>
    </w:p>
    <w:p>
      <w:pPr>
        <w:spacing w:after="120"/>
        <w:jc w:val="both"/>
      </w:pPr>
      <w:r>
        <w:rPr>
          <w:rFonts w:ascii="Arial" w:cs="Arial" w:eastAsia="Arial" w:hAnsi="Arial"/>
          <w:sz w:val="24"/>
          <w:szCs w:val="24"/>
        </w:rPr>
        <w:t xml:space="preserve">Определенные коррективы в параметры бюджета могут быть внесены при окончательном определении условий вступления Кыргызской Республики в Таможенный союз и Единое Экономическое Пространство ЕврАзЭС.</w:t>
      </w:r>
    </w:p>
    <w:p>
      <w:pPr>
        <w:spacing w:after="120"/>
        <w:jc w:val="both"/>
      </w:pPr>
      <w:r>
        <w:rPr>
          <w:rFonts w:ascii="Arial" w:cs="Arial" w:eastAsia="Arial" w:hAnsi="Arial"/>
          <w:sz w:val="24"/>
          <w:szCs w:val="24"/>
        </w:rPr>
        <w:t xml:space="preserve">Основными направлениями налоговой и таможенной политики на предстоящий трехлетний период будут:</w:t>
      </w:r>
    </w:p>
    <w:p>
      <w:pPr>
        <w:spacing w:after="120"/>
        <w:jc w:val="both"/>
      </w:pPr>
      <w:r>
        <w:rPr>
          <w:rFonts w:ascii="Arial" w:cs="Arial" w:eastAsia="Arial" w:hAnsi="Arial"/>
          <w:sz w:val="24"/>
          <w:szCs w:val="24"/>
        </w:rPr>
        <w:t xml:space="preserve">- завершение модернизации и автоматизации налоговой и таможенной служб, обеспечение их гармонизации и интегрированности с Министерством финансов Кыргызской Республики, включая Центральное казначейство;</w:t>
      </w:r>
    </w:p>
    <w:p>
      <w:pPr>
        <w:spacing w:after="120"/>
        <w:jc w:val="both"/>
      </w:pPr>
      <w:r>
        <w:rPr>
          <w:rFonts w:ascii="Arial" w:cs="Arial" w:eastAsia="Arial" w:hAnsi="Arial"/>
          <w:sz w:val="24"/>
          <w:szCs w:val="24"/>
        </w:rPr>
        <w:t xml:space="preserve">- определение стратегии государства по развитию и изменению подходов к специальным налоговым режимам для малого и среднего бизнеса, включая совершенствование упрощенной системы налогообложения, направленной на поддержку развития малого и среднего бизнеса, пересмотр перечня видов деятельности, осуществляемых на основе добровольного и обязательного патента, в том числе путем постепенного повышения стоимости патентов, а также оптимизации видов патентов;</w:t>
      </w:r>
    </w:p>
    <w:p>
      <w:pPr>
        <w:spacing w:after="120"/>
        <w:jc w:val="both"/>
      </w:pPr>
      <w:r>
        <w:rPr>
          <w:rFonts w:ascii="Arial" w:cs="Arial" w:eastAsia="Arial" w:hAnsi="Arial"/>
          <w:sz w:val="24"/>
          <w:szCs w:val="24"/>
        </w:rPr>
        <w:t xml:space="preserve">- оптимизация и исключение дублирования НДС и налога с продаж;</w:t>
      </w:r>
    </w:p>
    <w:p>
      <w:pPr>
        <w:spacing w:after="120"/>
        <w:jc w:val="both"/>
      </w:pPr>
      <w:r>
        <w:rPr>
          <w:rFonts w:ascii="Arial" w:cs="Arial" w:eastAsia="Arial" w:hAnsi="Arial"/>
          <w:sz w:val="24"/>
          <w:szCs w:val="24"/>
        </w:rPr>
        <w:t xml:space="preserve">- трансформация налогообложения движимого имущества в акцизный налог на ГСМ для финансирования дорожной инфраструктуры;</w:t>
      </w:r>
    </w:p>
    <w:p>
      <w:pPr>
        <w:spacing w:after="120"/>
        <w:jc w:val="both"/>
      </w:pPr>
      <w:r>
        <w:rPr>
          <w:rFonts w:ascii="Arial" w:cs="Arial" w:eastAsia="Arial" w:hAnsi="Arial"/>
          <w:sz w:val="24"/>
          <w:szCs w:val="24"/>
        </w:rPr>
        <w:t xml:space="preserve">- оптимизация существующей системы налоговых преференций, запрет на необоснованные льготы и освобождения, а также ликвидация имеющихся возможностей для уклонения от налогообложения;</w:t>
      </w:r>
    </w:p>
    <w:p>
      <w:pPr>
        <w:spacing w:after="120"/>
        <w:jc w:val="both"/>
      </w:pPr>
      <w:r>
        <w:rPr>
          <w:rFonts w:ascii="Arial" w:cs="Arial" w:eastAsia="Arial" w:hAnsi="Arial"/>
          <w:sz w:val="24"/>
          <w:szCs w:val="24"/>
        </w:rPr>
        <w:t xml:space="preserve">- стимулирование инновационной деятельности и предоставление фискальных льгот предприятиям, работающим прозрачно, и стабильно увеличивающим уплату налогов;</w:t>
      </w:r>
    </w:p>
    <w:p>
      <w:pPr>
        <w:spacing w:after="120"/>
        <w:jc w:val="both"/>
      </w:pPr>
      <w:r>
        <w:rPr>
          <w:rFonts w:ascii="Arial" w:cs="Arial" w:eastAsia="Arial" w:hAnsi="Arial"/>
          <w:sz w:val="24"/>
          <w:szCs w:val="24"/>
        </w:rPr>
        <w:t xml:space="preserve">- законодательное разрешение вопросов, касающихся межбюджетных отношений и развития регионов, с передачей сбора отдельных налогов в пользу местного бюджета;</w:t>
      </w:r>
    </w:p>
    <w:p>
      <w:pPr>
        <w:spacing w:after="120"/>
        <w:jc w:val="both"/>
      </w:pPr>
      <w:r>
        <w:rPr>
          <w:rFonts w:ascii="Arial" w:cs="Arial" w:eastAsia="Arial" w:hAnsi="Arial"/>
          <w:sz w:val="24"/>
          <w:szCs w:val="24"/>
        </w:rPr>
        <w:t xml:space="preserve">- максимальное упрощение налогового учета, отчетности, всех налоговых процедур и рассмотрение их с точки зрения удобства для налогоплательщика;</w:t>
      </w:r>
    </w:p>
    <w:p>
      <w:pPr>
        <w:spacing w:after="120"/>
        <w:jc w:val="both"/>
      </w:pPr>
      <w:r>
        <w:rPr>
          <w:rFonts w:ascii="Arial" w:cs="Arial" w:eastAsia="Arial" w:hAnsi="Arial"/>
          <w:sz w:val="24"/>
          <w:szCs w:val="24"/>
        </w:rPr>
        <w:t xml:space="preserve">- создание налогового суда и условий для соответствующей подготовки судей;</w:t>
      </w:r>
    </w:p>
    <w:p>
      <w:pPr>
        <w:spacing w:after="120"/>
        <w:jc w:val="both"/>
      </w:pPr>
      <w:r>
        <w:rPr>
          <w:rFonts w:ascii="Arial" w:cs="Arial" w:eastAsia="Arial" w:hAnsi="Arial"/>
          <w:sz w:val="24"/>
          <w:szCs w:val="24"/>
        </w:rPr>
        <w:t xml:space="preserve">- предоставление возможностей к подаче налоговых отчетов и деклараций в электронной форме и по электронным каналам связи всеми налогоплательщиками;</w:t>
      </w:r>
    </w:p>
    <w:p>
      <w:pPr>
        <w:spacing w:after="120"/>
        <w:jc w:val="both"/>
      </w:pPr>
      <w:r>
        <w:rPr>
          <w:rFonts w:ascii="Arial" w:cs="Arial" w:eastAsia="Arial" w:hAnsi="Arial"/>
          <w:sz w:val="24"/>
          <w:szCs w:val="24"/>
        </w:rPr>
        <w:t xml:space="preserve">- жесткая регламентация процедур налоговых проверок и полное внедрение системы проверок на основе оценки рисков.</w:t>
      </w:r>
    </w:p>
    <w:p>
      <w:pPr>
        <w:spacing w:after="120"/>
        <w:jc w:val="both"/>
      </w:pPr>
      <w:r>
        <w:rPr>
          <w:rFonts w:ascii="Arial" w:cs="Arial" w:eastAsia="Arial" w:hAnsi="Arial"/>
          <w:sz w:val="24"/>
          <w:szCs w:val="24"/>
        </w:rPr>
        <w:t xml:space="preserve">Будет рассмотрено также предложение по увеличению роли акцизных налогов как инструмента регулирования частного потребления.</w:t>
      </w:r>
    </w:p>
    <w:p>
      <w:pPr>
        <w:spacing w:after="120"/>
        <w:jc w:val="both"/>
      </w:pPr>
      <w:r>
        <w:rPr>
          <w:rFonts w:ascii="Arial" w:cs="Arial" w:eastAsia="Arial" w:hAnsi="Arial"/>
          <w:sz w:val="24"/>
          <w:szCs w:val="24"/>
        </w:rPr>
        <w:t xml:space="preserve">Бюджетная политика будет направлена на решение следующих задач:</w:t>
      </w:r>
    </w:p>
    <w:p>
      <w:pPr>
        <w:spacing w:after="120"/>
        <w:jc w:val="both"/>
      </w:pPr>
      <w:r>
        <w:rPr>
          <w:rFonts w:ascii="Arial" w:cs="Arial" w:eastAsia="Arial" w:hAnsi="Arial"/>
          <w:sz w:val="24"/>
          <w:szCs w:val="24"/>
        </w:rPr>
        <w:t xml:space="preserve">- повышение эффективности управления ресурсами бюджета и оптимизация расходов, в частности, путем сокращения неприоритетных расходов бюджета;</w:t>
      </w:r>
    </w:p>
    <w:p>
      <w:pPr>
        <w:spacing w:after="120"/>
        <w:jc w:val="both"/>
      </w:pPr>
      <w:r>
        <w:rPr>
          <w:rFonts w:ascii="Arial" w:cs="Arial" w:eastAsia="Arial" w:hAnsi="Arial"/>
          <w:sz w:val="24"/>
          <w:szCs w:val="24"/>
        </w:rPr>
        <w:t xml:space="preserve">- выполнение государственных обязательств и социальных гарантий;</w:t>
      </w:r>
    </w:p>
    <w:p>
      <w:pPr>
        <w:spacing w:after="120"/>
        <w:jc w:val="both"/>
      </w:pPr>
      <w:r>
        <w:rPr>
          <w:rFonts w:ascii="Arial" w:cs="Arial" w:eastAsia="Arial" w:hAnsi="Arial"/>
          <w:sz w:val="24"/>
          <w:szCs w:val="24"/>
        </w:rPr>
        <w:t xml:space="preserve">- снижение дефицита бюджета;</w:t>
      </w:r>
    </w:p>
    <w:p>
      <w:pPr>
        <w:spacing w:after="120"/>
        <w:jc w:val="both"/>
      </w:pPr>
      <w:r>
        <w:rPr>
          <w:rFonts w:ascii="Arial" w:cs="Arial" w:eastAsia="Arial" w:hAnsi="Arial"/>
          <w:sz w:val="24"/>
          <w:szCs w:val="24"/>
        </w:rPr>
        <w:t xml:space="preserve">- продолжение проведения тесной координации денежно-кредитной и бюджетно - налоговых политик.</w:t>
      </w:r>
    </w:p>
    <w:p>
      <w:pPr>
        <w:spacing w:after="120"/>
        <w:jc w:val="both"/>
      </w:pPr>
      <w:r>
        <w:rPr>
          <w:rFonts w:ascii="Arial" w:cs="Arial" w:eastAsia="Arial" w:hAnsi="Arial"/>
          <w:sz w:val="24"/>
          <w:szCs w:val="24"/>
        </w:rPr>
        <w:t xml:space="preserve">Управление государственным долгом будет осуществляться в направлении постепенного снижения бремени долга, в том числе за счет сокращения внешних заимствований при одновременном соблюдении установленного графика выплат по внешнему долгу. В рамках действующей </w:t>
      </w:r>
      <w:r>
        <w:rPr>
          <w:rFonts w:ascii="Arial" w:cs="Arial" w:eastAsia="Arial" w:hAnsi="Arial"/>
          <w:sz w:val="24"/>
          <w:szCs w:val="24"/>
        </w:rPr>
        <w:t xml:space="preserve">Стратегии</w:t>
      </w:r>
      <w:r>
        <w:rPr>
          <w:rFonts w:ascii="Arial" w:cs="Arial" w:eastAsia="Arial" w:hAnsi="Arial"/>
          <w:sz w:val="24"/>
          <w:szCs w:val="24"/>
        </w:rPr>
        <w:t xml:space="preserve"> управления государственным долгом Кыргызской Республики на 2012-2014 годы, утвержденной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22 марта 2012 года № 188 и в целях достижения устойчивого уровня государственного долга, оптимизации его структуры и создания основы для эффективного управления государственным долгом, политика Правительства Кыргызской Республики будет направлена на:</w:t>
      </w:r>
    </w:p>
    <w:p>
      <w:pPr>
        <w:spacing w:after="120"/>
        <w:jc w:val="both"/>
      </w:pPr>
      <w:r>
        <w:rPr>
          <w:rFonts w:ascii="Arial" w:cs="Arial" w:eastAsia="Arial" w:hAnsi="Arial"/>
          <w:sz w:val="24"/>
          <w:szCs w:val="24"/>
        </w:rPr>
        <w:t xml:space="preserve">- своевременное обслуживание государственного долга;</w:t>
      </w:r>
    </w:p>
    <w:p>
      <w:pPr>
        <w:spacing w:after="120"/>
        <w:jc w:val="both"/>
      </w:pPr>
      <w:r>
        <w:rPr>
          <w:rFonts w:ascii="Arial" w:cs="Arial" w:eastAsia="Arial" w:hAnsi="Arial"/>
          <w:sz w:val="24"/>
          <w:szCs w:val="24"/>
        </w:rPr>
        <w:t xml:space="preserve">- привлечение внешних кредитов и грантов в соответствии с приоритетами государства;</w:t>
      </w:r>
    </w:p>
    <w:p>
      <w:pPr>
        <w:spacing w:after="120"/>
        <w:jc w:val="both"/>
      </w:pPr>
      <w:r>
        <w:rPr>
          <w:rFonts w:ascii="Arial" w:cs="Arial" w:eastAsia="Arial" w:hAnsi="Arial"/>
          <w:sz w:val="24"/>
          <w:szCs w:val="24"/>
        </w:rPr>
        <w:t xml:space="preserve">- обеспечение соблюдения степени минимальной льготности (грант-элемент) для всех новых внешних заимствований на уровне 35%;</w:t>
      </w:r>
    </w:p>
    <w:p>
      <w:pPr>
        <w:spacing w:after="120"/>
        <w:jc w:val="both"/>
      </w:pPr>
      <w:r>
        <w:rPr>
          <w:rFonts w:ascii="Arial" w:cs="Arial" w:eastAsia="Arial" w:hAnsi="Arial"/>
          <w:sz w:val="24"/>
          <w:szCs w:val="24"/>
        </w:rPr>
        <w:t xml:space="preserve">- проведение мероприятий по снижению уровня внешнего долга путем проведения переговоров со странами-кредиторами в двустороннем формате по рассмотрению вопроса о предоставлении реструктуризации долга, проведение своп-операций (обмен долга на активы, развитие и т.д.), а также его списание или преобразование в грант.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6.4. Инвестиционная политика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Основной целью инвестиционной политики является повышение привлекательности инвестиционного климата Кыргызской Республики и реализация инвестиционных проектов.</w:t>
      </w:r>
    </w:p>
    <w:p>
      <w:pPr>
        <w:spacing w:after="120"/>
        <w:jc w:val="both"/>
      </w:pPr>
      <w:r>
        <w:rPr>
          <w:rFonts w:ascii="Arial" w:cs="Arial" w:eastAsia="Arial" w:hAnsi="Arial"/>
          <w:sz w:val="24"/>
          <w:szCs w:val="24"/>
        </w:rPr>
        <w:t xml:space="preserve">Стабильность, в том числе, политическая, правовая, экономическая и социальная, является основополагающим фактором для привлечения инвестиций.</w:t>
      </w:r>
    </w:p>
    <w:p>
      <w:pPr>
        <w:spacing w:after="120"/>
        <w:jc w:val="both"/>
      </w:pPr>
      <w:r>
        <w:rPr>
          <w:rFonts w:ascii="Arial" w:cs="Arial" w:eastAsia="Arial" w:hAnsi="Arial"/>
          <w:sz w:val="24"/>
          <w:szCs w:val="24"/>
        </w:rPr>
        <w:t xml:space="preserve">Инвестиционная политика будет направлена на привлечение инвестиций в приоритетные отрасли экономики страны посредством минимизации вмешательства государства в дела бизнеса через сокращение количества лицензий, проверяющих органов, оказываемых государством услуг. Постепенно будут внедряться механизмы государственно - частного партнерства и планируется реализация пилотных проектов, направленных на улучшение инфраструктуры экономики страны.</w:t>
      </w:r>
    </w:p>
    <w:p>
      <w:pPr>
        <w:spacing w:after="120"/>
        <w:jc w:val="both"/>
      </w:pPr>
      <w:r>
        <w:rPr>
          <w:rFonts w:ascii="Arial" w:cs="Arial" w:eastAsia="Arial" w:hAnsi="Arial"/>
          <w:sz w:val="24"/>
          <w:szCs w:val="24"/>
        </w:rPr>
        <w:t xml:space="preserve">Инвестиционная политика в 2014 году будет сфокусирована на следующих двух приоритетных направлениях:</w:t>
      </w:r>
    </w:p>
    <w:p>
      <w:pPr>
        <w:spacing w:after="120"/>
        <w:jc w:val="both"/>
      </w:pPr>
      <w:r>
        <w:rPr>
          <w:rFonts w:ascii="Arial" w:cs="Arial" w:eastAsia="Arial" w:hAnsi="Arial"/>
          <w:sz w:val="24"/>
          <w:szCs w:val="24"/>
        </w:rPr>
        <w:t xml:space="preserve">1) Повышение эффективности государственной инвестиционной политики через:</w:t>
      </w:r>
    </w:p>
    <w:p>
      <w:pPr>
        <w:spacing w:after="120"/>
        <w:jc w:val="both"/>
      </w:pPr>
      <w:r>
        <w:rPr>
          <w:rFonts w:ascii="Arial" w:cs="Arial" w:eastAsia="Arial" w:hAnsi="Arial"/>
          <w:sz w:val="24"/>
          <w:szCs w:val="24"/>
        </w:rPr>
        <w:t xml:space="preserve">- повышение институционального потенциала;</w:t>
      </w:r>
    </w:p>
    <w:p>
      <w:pPr>
        <w:spacing w:after="120"/>
        <w:jc w:val="both"/>
      </w:pPr>
      <w:r>
        <w:rPr>
          <w:rFonts w:ascii="Arial" w:cs="Arial" w:eastAsia="Arial" w:hAnsi="Arial"/>
          <w:sz w:val="24"/>
          <w:szCs w:val="24"/>
        </w:rPr>
        <w:t xml:space="preserve">- улучшение доступа к достоверной информации (это проведение ежегодных исследований инвестиционных преимуществ страны по региональному и отраслевому признакам; создание единой базы данных по действующим и планируемым инвестиционным проектам; обеспечение открытого широкополосного доступа потенциальных инвесторов к данной базе через Интернет; информирование местного населения о потенциальных выгодах планируемых и действующих проектов);</w:t>
      </w:r>
    </w:p>
    <w:p>
      <w:pPr>
        <w:spacing w:after="120"/>
        <w:jc w:val="both"/>
      </w:pPr>
      <w:r>
        <w:rPr>
          <w:rFonts w:ascii="Arial" w:cs="Arial" w:eastAsia="Arial" w:hAnsi="Arial"/>
          <w:sz w:val="24"/>
          <w:szCs w:val="24"/>
        </w:rPr>
        <w:t xml:space="preserve">- формирование стабильного законодательства через следующие инициативы: (а) внесение изменений и дополнений в законодательство в части уточнения формулировки права инвестора на выбор стабильного и благоприятного правового режима; (б) разработка порядка реализации прав инвестора на выбор наиболее благоприятного режима в случае изменения законодательства путем принятия подзаконных нормативных правовых актов; (в) внесение законодательных ограничений на принятие нормативных актов, ухудшающих положение инвесторов; (г) законодательное установление четких оснований для принудительного изъятия государством имущества, предусматривающих справедливые механизмы изъятия и компенсации.</w:t>
      </w:r>
    </w:p>
    <w:p>
      <w:pPr>
        <w:spacing w:after="120"/>
        <w:jc w:val="both"/>
      </w:pPr>
      <w:r>
        <w:rPr>
          <w:rFonts w:ascii="Arial" w:cs="Arial" w:eastAsia="Arial" w:hAnsi="Arial"/>
          <w:sz w:val="24"/>
          <w:szCs w:val="24"/>
        </w:rPr>
        <w:t xml:space="preserve">- повышение кадрового потенциала обеспечения инвестиционного процесса будет решаться через: (а) организацию системы регулярного повышения кадрового потенциала сотрудников, участвующих в разработке инвестиционной политики и продвижении инвестиций; (б) организацию мероприятий по изучению опыта лучших зарубежных агентств по привлечению инвестиций; (в) разработку и внедрение механизма размещения государственных заказов в системе образования на переподготовку кадров.</w:t>
      </w:r>
    </w:p>
    <w:p>
      <w:pPr>
        <w:spacing w:after="120"/>
        <w:jc w:val="both"/>
      </w:pPr>
      <w:r>
        <w:rPr>
          <w:rFonts w:ascii="Arial" w:cs="Arial" w:eastAsia="Arial" w:hAnsi="Arial"/>
          <w:sz w:val="24"/>
          <w:szCs w:val="24"/>
        </w:rPr>
        <w:t xml:space="preserve">2) Формирование механизмов привлечения и поддержки инвестиций через такие меры как:</w:t>
      </w:r>
    </w:p>
    <w:p>
      <w:pPr>
        <w:spacing w:after="120"/>
        <w:jc w:val="both"/>
      </w:pPr>
      <w:r>
        <w:rPr>
          <w:rFonts w:ascii="Arial" w:cs="Arial" w:eastAsia="Arial" w:hAnsi="Arial"/>
          <w:sz w:val="24"/>
          <w:szCs w:val="24"/>
        </w:rPr>
        <w:t xml:space="preserve">- разработка критериев определения проектов для получения преференций и стимулов;</w:t>
      </w:r>
    </w:p>
    <w:p>
      <w:pPr>
        <w:spacing w:after="120"/>
        <w:jc w:val="both"/>
      </w:pPr>
      <w:r>
        <w:rPr>
          <w:rFonts w:ascii="Arial" w:cs="Arial" w:eastAsia="Arial" w:hAnsi="Arial"/>
          <w:sz w:val="24"/>
          <w:szCs w:val="24"/>
        </w:rPr>
        <w:t xml:space="preserve">- разработка карты инвестиционных стимулов (КИС) по следующим критериям: объем инвестиций, территория, сектор экономики;</w:t>
      </w:r>
    </w:p>
    <w:p>
      <w:pPr>
        <w:spacing w:after="120"/>
        <w:jc w:val="both"/>
      </w:pPr>
      <w:r>
        <w:rPr>
          <w:rFonts w:ascii="Arial" w:cs="Arial" w:eastAsia="Arial" w:hAnsi="Arial"/>
          <w:sz w:val="24"/>
          <w:szCs w:val="24"/>
        </w:rPr>
        <w:t xml:space="preserve">- разработка нормативных правовых актов, регулирующих порядок предоставления инвестиционных преференций на основе КИС;</w:t>
      </w:r>
    </w:p>
    <w:p>
      <w:pPr>
        <w:spacing w:after="120"/>
        <w:jc w:val="both"/>
      </w:pPr>
      <w:r>
        <w:rPr>
          <w:rFonts w:ascii="Arial" w:cs="Arial" w:eastAsia="Arial" w:hAnsi="Arial"/>
          <w:sz w:val="24"/>
          <w:szCs w:val="24"/>
        </w:rPr>
        <w:t xml:space="preserve">- разработка и распространение инвестиционных справочников по предоставляемым стимулам;</w:t>
      </w:r>
    </w:p>
    <w:p>
      <w:pPr>
        <w:spacing w:after="120"/>
        <w:jc w:val="both"/>
      </w:pPr>
      <w:r>
        <w:rPr>
          <w:rFonts w:ascii="Arial" w:cs="Arial" w:eastAsia="Arial" w:hAnsi="Arial"/>
          <w:sz w:val="24"/>
          <w:szCs w:val="24"/>
        </w:rPr>
        <w:t xml:space="preserve">- снижение пороговой суммы, требуемой для получения инвестиционной визы;</w:t>
      </w:r>
    </w:p>
    <w:p>
      <w:pPr>
        <w:spacing w:after="120"/>
        <w:jc w:val="both"/>
      </w:pPr>
      <w:r>
        <w:rPr>
          <w:rFonts w:ascii="Arial" w:cs="Arial" w:eastAsia="Arial" w:hAnsi="Arial"/>
          <w:sz w:val="24"/>
          <w:szCs w:val="24"/>
        </w:rPr>
        <w:t xml:space="preserve">- разработка и внедрение системы оценки деятельности инвесторов и их поощрения через присуждение ежегодных званий, например «Инвестор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6.5. Инновационная политика, экологическая безопасность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фактору применения инноваций в бизнесе Кыргызстан находится на 127 месте из 144 стран мира16, и этот показатель продолжает ухудшаться (в 2008 - 122 место).</w:t>
      </w:r>
    </w:p>
    <w:p>
      <w:pPr>
        <w:spacing w:after="120"/>
        <w:jc w:val="both"/>
      </w:pPr>
      <w:r>
        <w:rPr>
          <w:rFonts w:ascii="Arial" w:cs="Arial" w:eastAsia="Arial" w:hAnsi="Arial"/>
          <w:sz w:val="24"/>
          <w:szCs w:val="24"/>
        </w:rPr>
        <w:t xml:space="preserve">В 2011 году разработку и внедрение технологических инноваций в промышленности республики осуществляли всего 38 предприятий - 2% от имеющихся (48 в 2011 году - 2,4%). Наиболее активная инновационная деятельность отмечалась в 2011 году на предприятиях по производству пищевых продуктов - 14 предприятий, производству и распределению электроэнергии, газа и воды - 3, металлургического производства и производства готовых металлических изделий - 4, производству прочих неметаллических минеральных продуктов - 4, текстильно-швейного производства - 4. Наиболее активно внедряются инновационные процессы в промышленно развитых зонах гор. Бишкек и Чуйской области - на 29 предприятиях (76,3% от общего числа инновационно-активных предприятий). В то же время, ни одним предприятием Баткенской области и гор. Ош инновации в производственные процессы в 2011 году не внедрялись.</w:t>
      </w:r>
    </w:p>
    <w:p>
      <w:pPr>
        <w:spacing w:after="120"/>
        <w:jc w:val="both"/>
      </w:pPr>
      <w:r>
        <w:rPr>
          <w:rFonts w:ascii="Arial" w:cs="Arial" w:eastAsia="Arial" w:hAnsi="Arial"/>
          <w:sz w:val="24"/>
          <w:szCs w:val="24"/>
        </w:rPr>
        <w:t xml:space="preserve">Инновационно-активными предприятиями освоен и выпускается 71 новый вид продукции, 44 из которых приходится на производство пищевых продуктов, включая напитки, и табак. Среди них, сухие сливки, новые виды безалкогольных и алкогольных напитков, фруктовых и овощных соков, лапша быстрого приготовления. Также освоен выпуск новых видов центрифуг, плазмоэкстракторов, иглоотсекателей, фотореле, новые виды детской мебели, стенок для детских садов, меховых изделий.</w:t>
      </w:r>
    </w:p>
    <w:p>
      <w:pPr>
        <w:spacing w:after="120"/>
        <w:jc w:val="both"/>
      </w:pPr>
      <w:r>
        <w:rPr>
          <w:rFonts w:ascii="Arial" w:cs="Arial" w:eastAsia="Arial" w:hAnsi="Arial"/>
          <w:sz w:val="24"/>
          <w:szCs w:val="24"/>
        </w:rPr>
        <w:t xml:space="preserve">Затраты на технологические инновации в промышленности весьма незначительны и явно несоизмеримы с реальными потребностями отечественной экономики в обновлении основных производственных фондов и расширении производства принципиально новой конкурентоспособной продукции. В 2011 году затраты на технологические инновации составили 505,0 млн. сомов, на маркетинговые инновации - 0,2 млн. сомов. Исходя из вышеизложенного, следует отметить, что внедрение инноваций предприятиями республики остается крайне низким и не соответствует потребностям устойчивого экономического роста.</w:t>
      </w:r>
    </w:p>
    <w:p>
      <w:pPr>
        <w:spacing w:after="120"/>
        <w:jc w:val="both"/>
      </w:pPr>
      <w:r>
        <w:rPr>
          <w:rFonts w:ascii="Arial" w:cs="Arial" w:eastAsia="Arial" w:hAnsi="Arial"/>
          <w:sz w:val="24"/>
          <w:szCs w:val="24"/>
        </w:rPr>
        <w:t xml:space="preserve">Создание инноваций - затратный процесс, требующий кредитования либо финансирования «в долг», а также неразвитость венчурного финансирования, отсутствие собственных средств для исследований, наряду с отсутствием государственной системы поддержки и внедрения новых технологий делает создание инноваций недоступными для отечественных предприятий.</w:t>
      </w:r>
    </w:p>
    <w:p>
      <w:pPr>
        <w:spacing w:after="120"/>
        <w:jc w:val="both"/>
      </w:pPr>
      <w:r>
        <w:rPr>
          <w:rFonts w:ascii="Arial" w:cs="Arial" w:eastAsia="Arial" w:hAnsi="Arial"/>
          <w:sz w:val="24"/>
          <w:szCs w:val="24"/>
        </w:rPr>
        <w:t xml:space="preserve">Учитывая эти проблемы, приоритетными направлениями определены следующие:</w:t>
      </w:r>
    </w:p>
    <w:p>
      <w:pPr>
        <w:spacing w:after="120"/>
        <w:jc w:val="both"/>
      </w:pPr>
      <w:r>
        <w:rPr>
          <w:rFonts w:ascii="Arial" w:cs="Arial" w:eastAsia="Arial" w:hAnsi="Arial"/>
          <w:sz w:val="24"/>
          <w:szCs w:val="24"/>
        </w:rPr>
        <w:t xml:space="preserve">- создание благоприятных условий для развития инновационной деятельности и использования объектов ИС;</w:t>
      </w:r>
    </w:p>
    <w:p>
      <w:pPr>
        <w:spacing w:after="120"/>
        <w:jc w:val="both"/>
      </w:pPr>
      <w:r>
        <w:rPr>
          <w:rFonts w:ascii="Arial" w:cs="Arial" w:eastAsia="Arial" w:hAnsi="Arial"/>
          <w:sz w:val="24"/>
          <w:szCs w:val="24"/>
        </w:rPr>
        <w:t xml:space="preserve">- построение системы содействующей эффективному принятию решений в области развития инновационной деятельности, включая энергосберегающие и энергоэффективные технологии;</w:t>
      </w:r>
    </w:p>
    <w:p>
      <w:pPr>
        <w:spacing w:after="120"/>
        <w:jc w:val="both"/>
      </w:pPr>
      <w:r>
        <w:rPr>
          <w:rFonts w:ascii="Arial" w:cs="Arial" w:eastAsia="Arial" w:hAnsi="Arial"/>
          <w:sz w:val="24"/>
          <w:szCs w:val="24"/>
        </w:rPr>
        <w:t xml:space="preserve">- совершенствование нормативной правовой базы в сфере инновационной деятельности и защиты прав на объекты ИС;</w:t>
      </w:r>
    </w:p>
    <w:p>
      <w:pPr>
        <w:spacing w:after="120"/>
        <w:jc w:val="both"/>
      </w:pPr>
      <w:r>
        <w:rPr>
          <w:rFonts w:ascii="Arial" w:cs="Arial" w:eastAsia="Arial" w:hAnsi="Arial"/>
          <w:sz w:val="24"/>
          <w:szCs w:val="24"/>
        </w:rPr>
        <w:t xml:space="preserve">- создание условий для обучения, повышение квалификации и информированности общества о роли и значении ИС и инновационной деятельности.</w:t>
      </w:r>
    </w:p>
    <w:p>
      <w:pPr>
        <w:spacing w:after="120"/>
        <w:jc w:val="both"/>
      </w:pPr>
      <w:r>
        <w:rPr>
          <w:rFonts w:ascii="Arial" w:cs="Arial" w:eastAsia="Arial" w:hAnsi="Arial"/>
          <w:sz w:val="24"/>
          <w:szCs w:val="24"/>
        </w:rPr>
        <w:t xml:space="preserve">Для продвижения этих направлений Правительство Кыргызской Республики намерено реализовать следующие меры: (а) разработать критерии отнесения технологий к инновационным, энергосберегающим и энергоэффективным; (б) создать реестр инновационных, энергосберегающих и энергоэффективных технологий; (в) создать перечень (реестр) потребностей промышленности и разработок; (г) оказывать услуги по поиску, отбору и маркетингу инновационных технологий; (г) провести комплексный анализ состояния инновационной деятельности в стране, способствующей становлению экономики; (д) разработать и внести предложения по адаптации отечественных статистических показателей в области инновационного развития к мировым стандартам; (е) разработать и внести на рассмотрение Правительства Кыргызской Республики проект Программы по развитию инноваций и трансферу технологий; (ж) проведение обучения и тренингов для целевой аудитории и других заинтересованных лиц по вопросам инновационного развития; (з) проведение информационно-образовательных мероприятий по вопросам «зеленых» инноваций.</w:t>
      </w:r>
    </w:p>
    <w:p>
      <w:pPr>
        <w:spacing w:after="120"/>
        <w:jc w:val="both"/>
      </w:pPr>
      <w:r>
        <w:rPr>
          <w:rFonts w:ascii="Arial" w:cs="Arial" w:eastAsia="Arial" w:hAnsi="Arial"/>
          <w:sz w:val="24"/>
          <w:szCs w:val="24"/>
        </w:rPr>
        <w:t xml:space="preserve">Для обеспечения экологической безопасности приоритетными направлениями будут:</w:t>
      </w:r>
    </w:p>
    <w:p>
      <w:pPr>
        <w:spacing w:after="120"/>
        <w:jc w:val="both"/>
      </w:pPr>
      <w:r>
        <w:rPr>
          <w:rFonts w:ascii="Arial" w:cs="Arial" w:eastAsia="Arial" w:hAnsi="Arial"/>
          <w:sz w:val="24"/>
          <w:szCs w:val="24"/>
        </w:rPr>
        <w:t xml:space="preserve">- реформа системы государственного управления охраной окружающей среды и природопользования;</w:t>
      </w:r>
    </w:p>
    <w:p>
      <w:pPr>
        <w:spacing w:after="120"/>
        <w:jc w:val="both"/>
      </w:pPr>
      <w:r>
        <w:rPr>
          <w:rFonts w:ascii="Arial" w:cs="Arial" w:eastAsia="Arial" w:hAnsi="Arial"/>
          <w:sz w:val="24"/>
          <w:szCs w:val="24"/>
        </w:rPr>
        <w:t xml:space="preserve">- снижение вредного воздействия и минимизация негативных экологических последствий экономической деятельности;</w:t>
      </w:r>
    </w:p>
    <w:p>
      <w:pPr>
        <w:spacing w:after="120"/>
        <w:jc w:val="both"/>
      </w:pPr>
      <w:r>
        <w:rPr>
          <w:rFonts w:ascii="Arial" w:cs="Arial" w:eastAsia="Arial" w:hAnsi="Arial"/>
          <w:sz w:val="24"/>
          <w:szCs w:val="24"/>
        </w:rPr>
        <w:t xml:space="preserve">- сохранение биоразнообразия и восстановление природных экосистем в условиях изменяющегося климата;</w:t>
      </w:r>
    </w:p>
    <w:p>
      <w:pPr>
        <w:spacing w:after="120"/>
        <w:jc w:val="both"/>
      </w:pPr>
      <w:r>
        <w:rPr>
          <w:rFonts w:ascii="Arial" w:cs="Arial" w:eastAsia="Arial" w:hAnsi="Arial"/>
          <w:sz w:val="24"/>
          <w:szCs w:val="24"/>
        </w:rPr>
        <w:t xml:space="preserve">- продвижение принципов низкоуглеродного развития.</w:t>
      </w:r>
    </w:p>
    <w:p>
      <w:pPr>
        <w:spacing w:after="120"/>
        <w:jc w:val="both"/>
      </w:pPr>
      <w:r>
        <w:rPr>
          <w:rFonts w:ascii="Arial" w:cs="Arial" w:eastAsia="Arial" w:hAnsi="Arial"/>
          <w:sz w:val="24"/>
          <w:szCs w:val="24"/>
        </w:rPr>
        <w:t xml:space="preserve">Данные направления будут продвигаться через реализацию мероприятий, заложенных в Национальной стратегии устойчивого развития Кыргызской Республики на период 2013-2017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6.6. Развитие реального сектора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6.6.1. Сельское хозяйство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Основная цель развития отрасли сельского хозяйства - создание условий для роста производства, повышения качества продукции и обеспечения продовольственной безопасности страны. Развитие сельского хозяйства будет сконцентрировано на следующих приоритетных направлениях: (а) создание эффективных систем управления сельским хозяйством и подготовки кадров, предпосылок для концентрации сельскохозяйственного производства; (б) поддержка роста производства и экспорта агропромышленной продукции; (в) обеспечение сельскохозяйственного производства сервисными услугами; (г) повышение эффективности рационального использования водных и земельных ресурсов.</w:t>
      </w:r>
    </w:p>
    <w:p>
      <w:pPr>
        <w:spacing w:after="120"/>
        <w:jc w:val="both"/>
      </w:pPr>
      <w:r>
        <w:rPr>
          <w:rFonts w:ascii="Arial" w:cs="Arial" w:eastAsia="Arial" w:hAnsi="Arial"/>
          <w:sz w:val="24"/>
          <w:szCs w:val="24"/>
        </w:rPr>
        <w:t xml:space="preserve">Для поддержки роста производства и экспорта агропромышленной продукции будет выполнен комплекс мер по развитию кооперативов и кластеров, укрупненных фермерских хозяйств: поддержка создания в каждой области перспективных кооперативов («точек роста»), с применением механизма государственно-частного партнерства; будут осуществлены мероприятия по запуску аграрных кластеров; оказана приоритетная поддержка сельхозпроизводителям, имеющим в собственности или в управлении значительные площади земель, поголовья скота (ориентировочно: в секторе растениеводства - не менее 100 га земли, в секторе животноводства - не менее 500 голов МРС и 300 голов КРС). Для расширения географии экспорта сельскохозяйственной продукции будет разработан и принят пакет мер по поддержке продвижения продукции агропромышленного комплекса на внешние рынки; достигнуты договоренности с государственными администрациями регионов России и Казахстана по экспорту сельскохозяйственной продукции из Кыргызской Республики.</w:t>
      </w:r>
    </w:p>
    <w:p>
      <w:pPr>
        <w:spacing w:after="120"/>
        <w:jc w:val="both"/>
      </w:pPr>
      <w:r>
        <w:rPr>
          <w:rFonts w:ascii="Arial" w:cs="Arial" w:eastAsia="Arial" w:hAnsi="Arial"/>
          <w:sz w:val="24"/>
          <w:szCs w:val="24"/>
        </w:rPr>
        <w:t xml:space="preserve">В целях обеспечения сельскохозяйственного производства сервисными услугами и рыночной инфраструктурой будет реализован следующий комплекс мер: для развития ветеринарии и защиты растений и поддержки частной ветеринарии будут: (а) разработан механизм и программы идентификации животных; (б) разработаны и приняты нормативные требования по оказанию ветеринарных услуг только частной ветеринарной службой; (в) проведен комплекс практических мероприятий по защите растений и животных; (г) подготовлена нормативная-правовая база для постепенного ввода запрета для доступа на рынок мяса, не прошедшего через специализированные убойные предприятия, повышения ответственности фермеров за уклонение от требований по вакцинации животных, сокрытие опасных болезней животных и т.д.; д) проведена практическая работа по гармонизации технических регламентов с аналогичными документами, принятыми в странах Таможенного союза.</w:t>
      </w:r>
    </w:p>
    <w:p>
      <w:pPr>
        <w:spacing w:after="120"/>
        <w:jc w:val="both"/>
      </w:pPr>
      <w:r>
        <w:rPr>
          <w:rFonts w:ascii="Arial" w:cs="Arial" w:eastAsia="Arial" w:hAnsi="Arial"/>
          <w:sz w:val="24"/>
          <w:szCs w:val="24"/>
        </w:rPr>
        <w:t xml:space="preserve">Повышению продуктивности растениеводства и животноводства, улучшению защиты растений и животных будут способствовать меры по укреплению производственного потенциала семеноводческих и племенных хозяйств, улучшению учета племенных животных, поддержке развития агротехнологий. Для этого будет создан Центр по организации и координации селекционно-племенной работы и искусственного осеменения сельскохозяйственных животных. Будет оказано содействие в создании устойчиво функционирующего рынка семян и племенных животных и материалов. Также будет создан фонд поддержки обновления семенного и племенного фонда специализированных хозяйств и механизм компенсации сельским товаропроизводителям части затрат при приобретении ими высокопродуктивного посевного и племенного материалов.</w:t>
      </w:r>
    </w:p>
    <w:p>
      <w:pPr>
        <w:spacing w:after="120"/>
        <w:jc w:val="both"/>
      </w:pPr>
      <w:r>
        <w:rPr>
          <w:rFonts w:ascii="Arial" w:cs="Arial" w:eastAsia="Arial" w:hAnsi="Arial"/>
          <w:sz w:val="24"/>
          <w:szCs w:val="24"/>
        </w:rPr>
        <w:t xml:space="preserve">Развитие товарно-обслуживающих кооперативов будет поддерживаться улучшением законодательства в части защиты собственности и интересов потенциальных участников кооперативных отношений. Будут разработаны процедуры первоочередной государственной поддержки сельских кооперативов, экспортоориентированных кластеров, обеспечивающих рост объемов производства и создающих новые рабочие места.</w:t>
      </w:r>
    </w:p>
    <w:p>
      <w:pPr>
        <w:spacing w:after="120"/>
        <w:jc w:val="both"/>
      </w:pPr>
      <w:r>
        <w:rPr>
          <w:rFonts w:ascii="Arial" w:cs="Arial" w:eastAsia="Arial" w:hAnsi="Arial"/>
          <w:sz w:val="24"/>
          <w:szCs w:val="24"/>
        </w:rPr>
        <w:t xml:space="preserve">Для повышения эффективности использования водных и земельных ресурсов будет осуществлено строительство водохозяйственных объектов и освоение новых орошаемых земель (реализация инвестиционной программы развития системы мелиорации); продолжена реализация Проекта «Внутрихозяйственное орошение - 2» (Всемирный Банк).</w:t>
      </w:r>
    </w:p>
    <w:p>
      <w:pPr>
        <w:spacing w:after="120"/>
        <w:jc w:val="both"/>
      </w:pPr>
      <w:r>
        <w:rPr>
          <w:rFonts w:ascii="Arial" w:cs="Arial" w:eastAsia="Arial" w:hAnsi="Arial"/>
          <w:sz w:val="24"/>
          <w:szCs w:val="24"/>
        </w:rPr>
        <w:t xml:space="preserve">Важным направлением станет содействие росту производства экологически чистой растениеводческой продукции, с использованием технологий органического сельского хозяйства для экспорта. Кыргызстан присоединится к организации сельскохозяйственного производства, построенного на принципах «зеленой экономики». Для снижения рисков спекуляции продуктами сельского хозяйства будет создан механизм мониторинга за оптовыми и розничными рынками сельхозпродукции и механизм стабилизации цен при помощи государственных закупок, товарных интервенций.</w:t>
      </w:r>
    </w:p>
    <w:p>
      <w:pPr>
        <w:spacing w:after="120"/>
        <w:jc w:val="both"/>
      </w:pPr>
      <w:r>
        <w:rPr>
          <w:rFonts w:ascii="Arial" w:cs="Arial" w:eastAsia="Arial" w:hAnsi="Arial"/>
          <w:sz w:val="24"/>
          <w:szCs w:val="24"/>
        </w:rPr>
        <w:t xml:space="preserve">Принятые меры будут способствовать созданию базы для устойчивого роста сельского хозяйства. Валовой выпуск продукции сельского хозяйства, охоты и лесного хозяйства в 2014 году прогнозируется в объеме 203,1 млрд. сомов, а темп реального прироста на уровне 2,0%, с удельным весом в общем объеме ВВП 16,1%, а вклад в рост ВВП - 0,33 процентного пункта, за счет прироста в растениеводстве на 2,7% и животноводстве - на 1,2%.</w:t>
      </w:r>
    </w:p>
    <w:p>
      <w:pPr>
        <w:spacing w:after="120"/>
        <w:jc w:val="both"/>
      </w:pPr>
      <w:r>
        <w:rPr>
          <w:rFonts w:ascii="Arial" w:cs="Arial" w:eastAsia="Arial" w:hAnsi="Arial"/>
          <w:sz w:val="24"/>
          <w:szCs w:val="24"/>
        </w:rPr>
        <w:t xml:space="preserve">Структура производства сельского хозяйства представлена, в основном, продукцией растениеводства и животноводства с соответствующими удельными весами 53,7% и 44,9%.</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Динамика темпов роста в сельском хозяйстве, в процентах на 2013-2014 гг.</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988"/>
        <w:gridCol w:w="1594"/>
        <w:gridCol w:w="1596"/>
      </w:tblGrid>
      <w:tr>
        <w:tc>
          <w:tcPr>
            <w:tcW w:type="dxa" w:w="6988"/>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Показатели</w:t>
            </w:r>
          </w:p>
        </w:tc>
        <w:tc>
          <w:tcPr>
            <w:tcW w:type="dxa" w:w="159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w:t>
            </w:r>
          </w:p>
        </w:tc>
        <w:tc>
          <w:tcPr>
            <w:tcW w:type="dxa" w:w="159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w:t>
            </w:r>
          </w:p>
        </w:tc>
      </w:tr>
      <w:tr>
        <w:tc>
          <w:tcPr>
            <w:vMerge w:val="continue"/>
            <w:tcBorders>
              <w:top w:val="single" w:color="CBBF9E" w:sz="4"/>
              <w:left w:val="single" w:color="CBBF9E" w:sz="4"/>
              <w:bottom w:val="single" w:color="CBBF9E" w:sz="4"/>
              <w:right w:val="single" w:color="CBBF9E" w:sz="4"/>
            </w:tcBorders>
          </w:tcP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r>
      <w:tr>
        <w:tc>
          <w:tcPr>
            <w:tcW w:type="dxa" w:w="69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сельского хозяйства</w:t>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101,6</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r>
      <w:tr>
        <w:tc>
          <w:tcPr>
            <w:tcW w:type="dxa" w:w="69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Растениеводство</w:t>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102,7</w:t>
            </w:r>
          </w:p>
        </w:tc>
      </w:tr>
      <w:tr>
        <w:tc>
          <w:tcPr>
            <w:tcW w:type="dxa" w:w="69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Животноводство</w:t>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2014 году прогнозируемые темпы роста в растениеводстве будут обеспечены за счет сокращения неиспользованных пахотных земель, восстановления почвенного плодородия земель сельскохозяйственного назначения и проведения комплекса защитных мероприятий против основных особо опасных вредителей, болезней и сорняков, создания благоприятной агрохимической и фитосанитарной обстановки в отрасли земледелия, увеличения удельного веса высеваемых кондиционных семян зерновых колосовых культур, улучшения материально-технической базы сельского хозяйства, углубления земельной реформы, рационального использования пастбищ, повышения урожайности технических культур, своевременного проведения весенне-полевых работ, оптимизации структуры посевных площадей, улучшения сортов семян, обновления машинно-тракторного парка. Рост в основном будет обеспечен за счет увеличения производства: зерновых культур на 2,6% за счет увеличения посевной площади на 1,7 тыс. га; сахарной свеклы - на 3,3% за счет увеличения посевной площади на 1,5 тыс. га и повышения урожайности; хлопка - на 2,7% и табака - на 7,8%; масличных культур - на 114,3% за счет увеличения посевной площади на 6,4 тыс. га, картофеля и овощей на - 3,0% и 4,5% за счет увеличения посевной площади на 1,9 тыс. га и 1,2 тыс. га соответственно.</w:t>
      </w:r>
    </w:p>
    <w:p>
      <w:pPr>
        <w:spacing w:after="120"/>
        <w:jc w:val="both"/>
      </w:pPr>
      <w:r>
        <w:rPr>
          <w:rFonts w:ascii="Arial" w:cs="Arial" w:eastAsia="Arial" w:hAnsi="Arial"/>
          <w:sz w:val="24"/>
          <w:szCs w:val="24"/>
        </w:rPr>
        <w:t xml:space="preserve">В производстве продукции животноводства реальный прирост будет обеспечен путем увеличения поголовья скота, повышения селекционно-племенной работы за счет расширения сети зооветсервисов и частных ветеринарных служб. Рост производства мяса в живом весе прогнозируется на 1,1%, что увеличится по сравнению с предыдущим годом на 3,8 тыс. тонн, молочной продукции - на 1,7%, с увеличением на 23,5 тыс. тонн молока, яиц - на 0,3% и шерсти - на 2,0%.</w:t>
      </w:r>
    </w:p>
    <w:p>
      <w:pPr>
        <w:spacing w:after="120"/>
        <w:jc w:val="both"/>
      </w:pPr>
      <w:r>
        <w:rPr>
          <w:rFonts w:ascii="Arial" w:cs="Arial" w:eastAsia="Arial" w:hAnsi="Arial"/>
          <w:sz w:val="24"/>
          <w:szCs w:val="24"/>
        </w:rPr>
        <w:t xml:space="preserve">На достижение целевых показателей производства сельского хозяйства в 2014 году будут влиять следующие предпосылки:</w:t>
      </w:r>
    </w:p>
    <w:p>
      <w:pPr>
        <w:spacing w:after="120"/>
        <w:jc w:val="both"/>
      </w:pPr>
      <w:r>
        <w:rPr>
          <w:rFonts w:ascii="Arial" w:cs="Arial" w:eastAsia="Arial" w:hAnsi="Arial"/>
          <w:sz w:val="24"/>
          <w:szCs w:val="24"/>
        </w:rPr>
        <w:t xml:space="preserve">- эффект предоставленных льготных кредитов по программам «Доступные кредиты фермерам» и «Доступные кредиты фермерам-2», реализованные в 2011-2012 гг., в рамках которых выдано более 1,3 млрд. сомов;</w:t>
      </w:r>
    </w:p>
    <w:p>
      <w:pPr>
        <w:spacing w:after="120"/>
        <w:jc w:val="both"/>
      </w:pPr>
      <w:r>
        <w:rPr>
          <w:rFonts w:ascii="Arial" w:cs="Arial" w:eastAsia="Arial" w:hAnsi="Arial"/>
          <w:sz w:val="24"/>
          <w:szCs w:val="24"/>
        </w:rPr>
        <w:t xml:space="preserve">- реализация проекта «Финансирование сельского хозяйства» в 2013 году, в соответствии с которым на 1 июня 2013 года выдано 10670 кредитов на общую сумму 2176,6 млн. сомов, из них на животноводство выдано 9040 кредитов на сумму - 1916,4 млн. сомов, на растениеводство - 1623 кредит, на сумму - 243,4 млн. сомов и на агропереработку - 7 кредитов на сумму - 16,8 млн. сомов;</w:t>
      </w:r>
    </w:p>
    <w:p>
      <w:pPr>
        <w:spacing w:after="120"/>
        <w:jc w:val="both"/>
      </w:pPr>
      <w:r>
        <w:rPr>
          <w:rFonts w:ascii="Arial" w:cs="Arial" w:eastAsia="Arial" w:hAnsi="Arial"/>
          <w:sz w:val="24"/>
          <w:szCs w:val="24"/>
        </w:rPr>
        <w:t xml:space="preserve">- в соответствии с </w:t>
      </w:r>
      <w:hyperlink w:history="1" r:id="rIdkcnjhba58vcj2hsf1iwr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передаче в лизинг тракторов на сумму 30,0 млн. юаней, предоставляемых Кыргызской Республике в рамках гранта Правительства Китайской Народной Республики» от 11 июля 2011 года № 382 выдано всего 891 ед. сельхозтехники с 2011 года по четырем линиям: Китайский грант, Государственный Банк Развития Китая (ГБРК), программа ОАО «Айыл Банк» совместно со Всемирным банком по поддержке агробизнеса и Турецкий кредит, в рамках последнего в текущем году закуплено 225 единиц тракторов с Минского тракторного завода, из них 180,0 единиц уже выдано. Всего на 28 мая 2013 года выдано 261 единица сельхозтехники по всем четырем линиям;</w:t>
      </w:r>
    </w:p>
    <w:p>
      <w:pPr>
        <w:spacing w:after="120"/>
        <w:jc w:val="both"/>
      </w:pPr>
      <w:r>
        <w:rPr>
          <w:rFonts w:ascii="Arial" w:cs="Arial" w:eastAsia="Arial" w:hAnsi="Arial"/>
          <w:sz w:val="24"/>
          <w:szCs w:val="24"/>
        </w:rPr>
        <w:t xml:space="preserve">- продолжение государственной поддержки по предоставлению льгот к доступу к горюче-смазочным материалам.</w:t>
      </w:r>
    </w:p>
    <w:p>
      <w:pPr>
        <w:spacing w:after="120"/>
        <w:jc w:val="both"/>
      </w:pPr>
      <w:r>
        <w:rPr>
          <w:rFonts w:ascii="Arial" w:cs="Arial" w:eastAsia="Arial" w:hAnsi="Arial"/>
          <w:sz w:val="24"/>
          <w:szCs w:val="24"/>
        </w:rPr>
        <w:t xml:space="preserve">Сельскохозяйственная отрасль представлена почти во всех регионах республики. Основную долю занимают Иссык-Кульская (12,6%) Джалал-Абадская (18,4%), Ошская (19,7%), и Чуйская (23,2%) области.</w:t>
      </w:r>
    </w:p>
    <w:p>
      <w:pPr>
        <w:spacing w:after="120"/>
        <w:jc w:val="both"/>
      </w:pPr>
      <w:r>
        <w:rPr>
          <w:rFonts w:ascii="Arial" w:cs="Arial" w:eastAsia="Arial" w:hAnsi="Arial"/>
          <w:sz w:val="24"/>
          <w:szCs w:val="24"/>
        </w:rPr>
        <w:t xml:space="preserve">Основными рисками в данном секторе будут неблагоприятные природно-климатические условия, в т.ч. нехватка водных ресурсов; дефицит и снижение качества минеральных удобрений; недостаточная обеспеченность семенами сельскохозяйственных культур; нехватка и неудовлетворительный уровень качества сельхозтехники; непредсказуемость цен на топливо и ГСМ; недостаточная заготовка кормов на зимний период; неблагоприятная эпизоотическая ситуация; неблагоприятное для производителя изменение рыночных цен.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6.6.2. Промышленность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развития промышленного производства создаются максимально благоприятные условия для активизации деятельности хозяйствующих субъектов путем ликвидации барьеров для ведения бизнеса, сокращения различных проверок, снижения налогового бремени и стимулирования развития предпринимательства.</w:t>
      </w:r>
    </w:p>
    <w:p>
      <w:pPr>
        <w:spacing w:after="120"/>
        <w:jc w:val="both"/>
      </w:pPr>
      <w:r>
        <w:rPr>
          <w:rFonts w:ascii="Arial" w:cs="Arial" w:eastAsia="Arial" w:hAnsi="Arial"/>
          <w:sz w:val="24"/>
          <w:szCs w:val="24"/>
        </w:rPr>
        <w:t xml:space="preserve">Для формирования комплексного подхода к решению существующих проблем в промышленности разработана и принята </w:t>
      </w:r>
      <w:r>
        <w:rPr>
          <w:rFonts w:ascii="Arial" w:cs="Arial" w:eastAsia="Arial" w:hAnsi="Arial"/>
          <w:sz w:val="24"/>
          <w:szCs w:val="24"/>
        </w:rPr>
        <w:t xml:space="preserve">Программа</w:t>
      </w:r>
      <w:r>
        <w:rPr>
          <w:rFonts w:ascii="Arial" w:cs="Arial" w:eastAsia="Arial" w:hAnsi="Arial"/>
          <w:sz w:val="24"/>
          <w:szCs w:val="24"/>
        </w:rPr>
        <w:t xml:space="preserve"> развития обрабатывающей промышленности Кыргызской Республики на 2013-2015 годы (</w:t>
      </w:r>
      <w:hyperlink w:history="1" r:id="rIdegoccdbidrkrh8giuswm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14 марта 2013 года № 133), где определены основные стратегические направления промышленной политики - развитие торговли, обеспечение благоприятного налогового климата, содействие инвестициям, экспорту и кооперации, стимулирование развития переработки отечественного сырья, подготовка кадров, продвижение исследований, разработок и инноваций, усиление роли общественных организаций и др.</w:t>
      </w:r>
    </w:p>
    <w:p>
      <w:pPr>
        <w:spacing w:after="120"/>
        <w:jc w:val="both"/>
      </w:pPr>
      <w:r>
        <w:rPr>
          <w:rFonts w:ascii="Arial" w:cs="Arial" w:eastAsia="Arial" w:hAnsi="Arial"/>
          <w:sz w:val="24"/>
          <w:szCs w:val="24"/>
        </w:rPr>
        <w:t xml:space="preserve">В целях эффективного использования производственных мощностей и дальнейшего развития промышленного потенциала республики будут реализованы планы мероприятий по простаивающим предприятиям, предприятиям с государственной долей участия, действующим предприятиям и запуску новых производств.</w:t>
      </w:r>
    </w:p>
    <w:p>
      <w:pPr>
        <w:spacing w:after="120"/>
        <w:jc w:val="both"/>
      </w:pPr>
      <w:r>
        <w:rPr>
          <w:rFonts w:ascii="Arial" w:cs="Arial" w:eastAsia="Arial" w:hAnsi="Arial"/>
          <w:sz w:val="24"/>
          <w:szCs w:val="24"/>
        </w:rPr>
        <w:t xml:space="preserve">Будет продолжена реализация Программы развития текстильного и швейного производства на 2013-2015 годы направленного на формирование благоприятных условий (</w:t>
      </w:r>
      <w:hyperlink w:history="1" r:id="rIdpirmuncqkpixf7p55nef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6 марта 2013 года № 123, и повышение конкурентоспособности отрасли, обеспечение занятости населения. Важность швейной отрасли для экономики республики обусловлена не только ее значительным объемом производства и экспорта, но прежде всего, социальной значимостью. Проект «Технополис» для текстильного и швейного производства» обозначен как приоритетный инвестиционный проект в Национальной стратегии устойчивого развития Кыргызской Республики на период 2013-2017 годы (Указ Президента Кыргызской Республики от 21 января 2013 года № 11). Строительство Технополиса на площади 50 га, как экологически безопасного и экономически целесообразного объекта легкой промышленности позволит создать около 10 тыс. рабочих мест, выйти на новый уровень производства, увеличить объемы выпуска продукции и, соответственно, отчислений в бюджет республики и диверсифицировать промышленное производство.</w:t>
      </w:r>
    </w:p>
    <w:p>
      <w:pPr>
        <w:spacing w:after="120"/>
        <w:jc w:val="both"/>
      </w:pPr>
      <w:r>
        <w:rPr>
          <w:rFonts w:ascii="Arial" w:cs="Arial" w:eastAsia="Arial" w:hAnsi="Arial"/>
          <w:sz w:val="24"/>
          <w:szCs w:val="24"/>
        </w:rPr>
        <w:t xml:space="preserve">Ввод в эксплуатацию и наращивание объемов нефтеперерабатывающего завода ОсОО «Чайна Петроль Компани «Джунда» и Токмокского НПЗ позволят создать дополнительно 1000 рабочих мест, обеспечить бесперебойную поставку ГСМ отрасли экономики и населению.</w:t>
      </w:r>
    </w:p>
    <w:p>
      <w:pPr>
        <w:spacing w:after="120"/>
        <w:jc w:val="both"/>
      </w:pPr>
      <w:r>
        <w:rPr>
          <w:rFonts w:ascii="Arial" w:cs="Arial" w:eastAsia="Arial" w:hAnsi="Arial"/>
          <w:sz w:val="24"/>
          <w:szCs w:val="24"/>
        </w:rPr>
        <w:t xml:space="preserve">Стимулированию процесса обновления основных фондов будет способствовать освобождение поставок по лизинговым операциям от налога на добавленную стоимость и налога с продаж. Для привлечения инвесторов, новых технологий для производства современных видов продукции планируется создание экспортно-промышленных зон.</w:t>
      </w:r>
    </w:p>
    <w:p>
      <w:pPr>
        <w:spacing w:after="120"/>
        <w:jc w:val="both"/>
      </w:pPr>
      <w:r>
        <w:rPr>
          <w:rFonts w:ascii="Arial" w:cs="Arial" w:eastAsia="Arial" w:hAnsi="Arial"/>
          <w:sz w:val="24"/>
          <w:szCs w:val="24"/>
        </w:rPr>
        <w:t xml:space="preserve">Изменение торговых условий, связанных с введением норм и требований Таможенного союза, будет учтено при заключении международных договоров по стандартизации с целью применения на территории Кыргызстана технических регламентов стран Таможенного союза. Будет проведена работа по модернизации испытательных лабораторий.</w:t>
      </w:r>
    </w:p>
    <w:p>
      <w:pPr>
        <w:spacing w:after="120"/>
        <w:jc w:val="both"/>
      </w:pPr>
      <w:r>
        <w:rPr>
          <w:rFonts w:ascii="Arial" w:cs="Arial" w:eastAsia="Arial" w:hAnsi="Arial"/>
          <w:sz w:val="24"/>
          <w:szCs w:val="24"/>
        </w:rPr>
        <w:t xml:space="preserve">Для развития энергетики будут реализованы меры, заложенные в Среднесрочной стратегии развития электроэнергетики на 2012-2017 годы (постановление Правительства Кыргызской Республики от 28 мая 2012 года № 330).</w:t>
      </w:r>
    </w:p>
    <w:p>
      <w:pPr>
        <w:spacing w:after="120"/>
        <w:jc w:val="both"/>
      </w:pPr>
      <w:r>
        <w:rPr>
          <w:rFonts w:ascii="Arial" w:cs="Arial" w:eastAsia="Arial" w:hAnsi="Arial"/>
          <w:sz w:val="24"/>
          <w:szCs w:val="24"/>
        </w:rPr>
        <w:t xml:space="preserve">В результате в промышленном секторе17 на 2014 год прогнозируется реальный рост объемов производства на 12,5% за счет устойчивой работы действующих промышленных предприятий и ввода в эксплуатацию новых месторождений. Положительный вклад в рост ВВП составит 2,24 процентного пункта, с удельным весом в общем объеме ВВП 16,6%. Без учета предприятий по разработке месторождения Кумтор, рост промышленного производства прогнозируется на уровне 3,8%.</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Динамика темпов роста в отраслях промышленности, в процентах к предыдущему году</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96"/>
        <w:gridCol w:w="6337"/>
        <w:gridCol w:w="1622"/>
        <w:gridCol w:w="1622"/>
      </w:tblGrid>
      <w:tr>
        <w:tc>
          <w:tcPr>
            <w:tcW w:type="dxa" w:w="596"/>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3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w:t>
            </w:r>
          </w:p>
        </w:tc>
        <w:tc>
          <w:tcPr>
            <w:tcW w:type="dxa" w:w="162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r>
      <w:tr>
        <w:tc>
          <w:tcPr>
            <w:tcW w:type="dxa" w:w="5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Промышленность, всего</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118,0</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112,5</w:t>
            </w:r>
          </w:p>
        </w:tc>
      </w:tr>
      <w:tr>
        <w:tc>
          <w:tcPr>
            <w:tcW w:type="dxa" w:w="5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Промышленность без учета предприятий по разработке месторождения Кумтор</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104,6</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103,8</w:t>
            </w:r>
          </w:p>
        </w:tc>
      </w:tr>
      <w:tr>
        <w:tc>
          <w:tcPr>
            <w:tcW w:type="dxa" w:w="5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6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Горнодобывающая промышленность</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101,7</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r>
      <w:tr>
        <w:tc>
          <w:tcPr>
            <w:tcW w:type="dxa" w:w="5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6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Обрабатывающая промышленность</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123,8</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115,6</w:t>
            </w:r>
          </w:p>
        </w:tc>
      </w:tr>
      <w:tr>
        <w:tc>
          <w:tcPr>
            <w:tcW w:type="dxa" w:w="5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6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 и распределение электроэнергии, газа и воды</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98,5</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99,5</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обрабатывающей промышленности, с самым высоким удельным весом (78,8%) в производстве промышленной продукции, прогнозируется реальный рост на 15,6%, который будет обеспечен за счет:</w:t>
      </w:r>
    </w:p>
    <w:p>
      <w:pPr>
        <w:spacing w:after="120"/>
        <w:jc w:val="both"/>
      </w:pPr>
      <w:r>
        <w:rPr>
          <w:rFonts w:ascii="Arial" w:cs="Arial" w:eastAsia="Arial" w:hAnsi="Arial"/>
          <w:sz w:val="24"/>
          <w:szCs w:val="24"/>
        </w:rPr>
        <w:t xml:space="preserve">- металлургического производства (рост на 25,1%), уд. вес в общем объеме промышленности составит 40,0%: (а) активизация работы на предприятиях по разработке месторождения Кумтор, где прогнозируется рост объемов на 26,0%; (б) увеличение объемов на 8,4% на ОАО «Кыргызалтын»; (в) ввод месторождения Бозымчак;</w:t>
      </w:r>
    </w:p>
    <w:p>
      <w:pPr>
        <w:spacing w:after="120"/>
        <w:jc w:val="both"/>
      </w:pPr>
      <w:r>
        <w:rPr>
          <w:rFonts w:ascii="Arial" w:cs="Arial" w:eastAsia="Arial" w:hAnsi="Arial"/>
          <w:sz w:val="24"/>
          <w:szCs w:val="24"/>
        </w:rPr>
        <w:t xml:space="preserve">- производства прочих неметаллических минеральных продуктов (рост на 6,6%), уд.вес в общем объеме промышленности которого составит 8,6%: (а) наращивание объемов производства ОсОО «Интергласс», где объем производства листового стекла возрастет в 1,4 раза по сравнению с 2012 годом и достигнет 18,0 млн. кв. м; (б) рост производства цемента и асбестоцементных изделий прогнозируется за счет развития мощностей ЗАО «Южно Кыргызский Цемент», ОсОО «Южный комбинат строительных материалов», ОАО «Кантский цементный завод», ОсОО «Ак-Сай Цемент», что позволит полностью покрыть потребность внутреннего рынка в цементе;</w:t>
      </w:r>
    </w:p>
    <w:p>
      <w:pPr>
        <w:spacing w:after="120"/>
        <w:jc w:val="both"/>
      </w:pPr>
      <w:r>
        <w:rPr>
          <w:rFonts w:ascii="Arial" w:cs="Arial" w:eastAsia="Arial" w:hAnsi="Arial"/>
          <w:sz w:val="24"/>
          <w:szCs w:val="24"/>
        </w:rPr>
        <w:t xml:space="preserve">- устойчивой работы предприятий текстильного и швейного производств (уд. вес в общем объеме промышленности - 7,3%), где прогнозируется реальный рост на 5,0%. Наибольший удельный вес в текстильно-швейном производстве занимает швейное производство (более 80,0%), где прогнозируется рост на 5,3% за счет роста производства белья нижнего, трикотажного, машинного или ручного вязания, свитеров, джемперов, пуловеров, кардиганов, жилетов и аналогичных изделий, трикотажных, машинного или ручного вязания. Прогноз умеренного роста обусловлен возможными рисками при экспорте товаров в условиях вхождения в ТС;</w:t>
      </w:r>
    </w:p>
    <w:p>
      <w:pPr>
        <w:spacing w:after="120"/>
        <w:jc w:val="both"/>
      </w:pPr>
      <w:r>
        <w:rPr>
          <w:rFonts w:ascii="Arial" w:cs="Arial" w:eastAsia="Arial" w:hAnsi="Arial"/>
          <w:sz w:val="24"/>
          <w:szCs w:val="24"/>
        </w:rPr>
        <w:t xml:space="preserve">- реального роста выпуска продукции в производстве пищевых продуктов, включая напитки, и табака (уд. вес - 14,4%), где прогнозируется рост на 6,0% за счет роста выпуска сахара на 3,5%, этилового спирта - на 10,0%, масложировой продукции - на 8,4%, молочной продукции - на 8,8%, хлебопекарной продукции - на 11,9%, мукомольно-крупяной продукции - на 35,5%, мясной продукции - на</w:t>
      </w:r>
    </w:p>
    <w:p>
      <w:pPr>
        <w:spacing w:after="120"/>
        <w:jc w:val="both"/>
      </w:pPr>
      <w:r>
        <w:rPr>
          <w:rFonts w:ascii="Arial" w:cs="Arial" w:eastAsia="Arial" w:hAnsi="Arial"/>
          <w:sz w:val="24"/>
          <w:szCs w:val="24"/>
        </w:rPr>
        <w:t xml:space="preserve">38,7%, безалкогольных напитков - на 6,3%;</w:t>
      </w:r>
    </w:p>
    <w:p>
      <w:pPr>
        <w:spacing w:after="120"/>
        <w:jc w:val="both"/>
      </w:pPr>
      <w:r>
        <w:rPr>
          <w:rFonts w:ascii="Arial" w:cs="Arial" w:eastAsia="Arial" w:hAnsi="Arial"/>
          <w:sz w:val="24"/>
          <w:szCs w:val="24"/>
        </w:rPr>
        <w:t xml:space="preserve">- увеличения объемов производства нефтепродуктов на 17% за счет ввода и наращивания мощностей нефтеперерабатывающих заводов в гг. Кара-Балта и Токмок;</w:t>
      </w:r>
    </w:p>
    <w:p>
      <w:pPr>
        <w:spacing w:after="120"/>
        <w:jc w:val="both"/>
      </w:pPr>
      <w:r>
        <w:rPr>
          <w:rFonts w:ascii="Arial" w:cs="Arial" w:eastAsia="Arial" w:hAnsi="Arial"/>
          <w:sz w:val="24"/>
          <w:szCs w:val="24"/>
        </w:rPr>
        <w:t xml:space="preserve">- устойчивой работы предприятий производства электрического, электронного и оптического оборудования (на 1,4%) за счет роста выпуска производства трансформаторов малой мощности, ламп накаливания, производства машин и оборудования (на 3,0%), целлюлозно-бумажной и издательской деятельности - на 4,0%, резиновых и пластмассовых изделий (на 1,2%), химического производства (на 4,2%), транспортных средств и оборудования (на 5,7%) и т.д.</w:t>
      </w:r>
    </w:p>
    <w:p>
      <w:pPr>
        <w:spacing w:after="120"/>
        <w:jc w:val="both"/>
      </w:pPr>
      <w:r>
        <w:rPr>
          <w:rFonts w:ascii="Arial" w:cs="Arial" w:eastAsia="Arial" w:hAnsi="Arial"/>
          <w:sz w:val="24"/>
          <w:szCs w:val="24"/>
        </w:rPr>
        <w:t xml:space="preserve">(2). В производстве и распределении электроэнергии, газа и воды (уд. вес 16,2%) на 2014 год объемы прогнозируются почти на уровне ожидаемых показателей в 2013 году. Основным фактором рисков в данной отрасли является наступление маловодного периода.</w:t>
      </w:r>
    </w:p>
    <w:p>
      <w:pPr>
        <w:spacing w:after="120"/>
        <w:jc w:val="both"/>
      </w:pPr>
      <w:r>
        <w:rPr>
          <w:rFonts w:ascii="Arial" w:cs="Arial" w:eastAsia="Arial" w:hAnsi="Arial"/>
          <w:sz w:val="24"/>
          <w:szCs w:val="24"/>
        </w:rPr>
        <w:t xml:space="preserve">Выработка электроэнергии прогнозируется на уровне 14 364,0 млн. кВт. ч, которая рассчитана с учетом среднемноголетней приточности в створе Токтогульского гидроузла, индекс физического объема составит 99,5% за счет снижения выработки электроэнергии, сохранения объема выработки тепловой энергии и увеличения объема покупного газа.</w:t>
      </w:r>
    </w:p>
    <w:p>
      <w:pPr>
        <w:spacing w:after="120"/>
        <w:jc w:val="both"/>
      </w:pPr>
      <w:r>
        <w:rPr>
          <w:rFonts w:ascii="Arial" w:cs="Arial" w:eastAsia="Arial" w:hAnsi="Arial"/>
          <w:sz w:val="24"/>
          <w:szCs w:val="24"/>
        </w:rPr>
        <w:t xml:space="preserve">Экспорт электроэнергии прогнозируется в объеме 500,0 млн. кВт ч, это почти в 3 раза меньше, чем в 2012 году.</w:t>
      </w:r>
    </w:p>
    <w:p>
      <w:pPr>
        <w:spacing w:after="120"/>
        <w:jc w:val="both"/>
      </w:pPr>
      <w:r>
        <w:rPr>
          <w:rFonts w:ascii="Arial" w:cs="Arial" w:eastAsia="Arial" w:hAnsi="Arial"/>
          <w:sz w:val="24"/>
          <w:szCs w:val="24"/>
        </w:rPr>
        <w:t xml:space="preserve">Всего в 2014 году поступление природного газа в Кыргызскую Республику прогнозируется в объеме 400,0 млн. м3, что на 14,3% больше по сравнению с ожидаемым в 2013 году.</w:t>
      </w:r>
    </w:p>
    <w:p>
      <w:pPr>
        <w:spacing w:after="120"/>
        <w:jc w:val="both"/>
      </w:pPr>
      <w:r>
        <w:rPr>
          <w:rFonts w:ascii="Arial" w:cs="Arial" w:eastAsia="Arial" w:hAnsi="Arial"/>
          <w:sz w:val="24"/>
          <w:szCs w:val="24"/>
        </w:rPr>
        <w:t xml:space="preserve">Политика развития энергетического сектора будет сфокусирована на четырех приоритетных направлениях для осуществления реформы:</w:t>
      </w:r>
    </w:p>
    <w:p>
      <w:pPr>
        <w:spacing w:after="120"/>
        <w:jc w:val="both"/>
      </w:pPr>
      <w:r>
        <w:rPr>
          <w:rFonts w:ascii="Arial" w:cs="Arial" w:eastAsia="Arial" w:hAnsi="Arial"/>
          <w:sz w:val="24"/>
          <w:szCs w:val="24"/>
        </w:rPr>
        <w:t xml:space="preserve">- совершенствование регулирования развития энергетического сектора (реформа тарифной политики, реформа энергосектора);</w:t>
      </w:r>
    </w:p>
    <w:p>
      <w:pPr>
        <w:spacing w:after="120"/>
        <w:jc w:val="both"/>
      </w:pPr>
      <w:r>
        <w:rPr>
          <w:rFonts w:ascii="Arial" w:cs="Arial" w:eastAsia="Arial" w:hAnsi="Arial"/>
          <w:sz w:val="24"/>
          <w:szCs w:val="24"/>
        </w:rPr>
        <w:t xml:space="preserve">- создание условий для стимулирования энергосбережения (реформа энергосбережения);</w:t>
      </w:r>
    </w:p>
    <w:p>
      <w:pPr>
        <w:spacing w:after="120"/>
        <w:jc w:val="both"/>
      </w:pPr>
      <w:r>
        <w:rPr>
          <w:rFonts w:ascii="Arial" w:cs="Arial" w:eastAsia="Arial" w:hAnsi="Arial"/>
          <w:sz w:val="24"/>
          <w:szCs w:val="24"/>
        </w:rPr>
        <w:t xml:space="preserve">- развитие возобновляемых источников энергии;</w:t>
      </w:r>
    </w:p>
    <w:p>
      <w:pPr>
        <w:spacing w:after="120"/>
        <w:jc w:val="both"/>
      </w:pPr>
      <w:r>
        <w:rPr>
          <w:rFonts w:ascii="Arial" w:cs="Arial" w:eastAsia="Arial" w:hAnsi="Arial"/>
          <w:sz w:val="24"/>
          <w:szCs w:val="24"/>
        </w:rPr>
        <w:t xml:space="preserve">- устойчивое развитие энергетического сектора и соблюдение норм экологической безопасности (реформа экспортоориентированной энергетики).</w:t>
      </w:r>
    </w:p>
    <w:p>
      <w:pPr>
        <w:spacing w:after="120"/>
        <w:jc w:val="both"/>
      </w:pPr>
      <w:r>
        <w:rPr>
          <w:rFonts w:ascii="Arial" w:cs="Arial" w:eastAsia="Arial" w:hAnsi="Arial"/>
          <w:sz w:val="24"/>
          <w:szCs w:val="24"/>
        </w:rPr>
        <w:t xml:space="preserve">(3). В горнодобывающей промышленности (уд. вес 5,0% в объеме промышленного производства) в 2014 году рост объема производства прогнозируется на уровне 5,9%, в том числе по добыче топливно-энергетических полезных ископаемых на 1,9%, прочих полезных ископаемых на 10,5%. Рост объемов будет достигнут за счет увеличения добычи: (1) угля, лигнита и торфа на 4,3% за счет сохранения достигнутых объемов добычи и ежегодного наращивания на 50-100 тыс. тонн, которые определяются достигнутым объемом реализации кыргызских углей на внутреннем рынке при прохождении осенне-зимнего периода с наращиванием поставок кыргызских углей на ТЭЦ гор. Бишкек до 700 тыс. тонн к 2016 году, что позволит достичь производства продукции по отрасли в объеме 1200 тыс.т; (2) гранул, каменной крошки, гальки, гравия, щебня или дробленого камня на 6,3%, глины и каолина - на 18,2%, природного песка - на 4,6% за счет роста спроса со стороны предприятий, специализирующихся на выпуске железобетонной продукции, бетона, строительного раствора, пескоблоков, полимерпесчаной черепицы.</w:t>
      </w:r>
    </w:p>
    <w:p>
      <w:pPr>
        <w:spacing w:after="120"/>
        <w:jc w:val="both"/>
      </w:pPr>
      <w:r>
        <w:rPr>
          <w:rFonts w:ascii="Arial" w:cs="Arial" w:eastAsia="Arial" w:hAnsi="Arial"/>
          <w:sz w:val="24"/>
          <w:szCs w:val="24"/>
        </w:rPr>
        <w:t xml:space="preserve">Рост физического объема промышленной продукции прогнозируется достичь во всех регионах республики. Основной вклад в объем промышленного производства традиционно внесет Чуйская (39,6%), Иссык-Кульская (20,9%), Джалал-Абадская (10,4%) области и гор. Бишкек (20,1%), суммарная доля которых составит 91,0%. В Иссык-Кульской и Чуйской областях рост объемов производства промышленной продукции прогнозируется за счет активизации работы предприятий по разработке месторождений Кумтор, Джалал-Абадской - ввода в эксплуатацию месторождения Бозымчак.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6.6.3. Строительство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Объемы капитальных вложений в 2014 году прогнозируются в размере 89,6 млрд. сомов, реальный рост составит 115,2%.</w:t>
      </w:r>
    </w:p>
    <w:p>
      <w:pPr>
        <w:spacing w:after="120"/>
        <w:jc w:val="both"/>
      </w:pPr>
      <w:r>
        <w:rPr>
          <w:rFonts w:ascii="Arial" w:cs="Arial" w:eastAsia="Arial" w:hAnsi="Arial"/>
          <w:sz w:val="24"/>
          <w:szCs w:val="24"/>
        </w:rPr>
        <w:t xml:space="preserve">Структура капитальных вложений относительно ожидаемой в 2013 году изменится в сторону сокращения доли внутренних инвестиций с 70,1% до 67,2% и, соответственно, увеличения доли внешних инвестиций с 29,9% до 32,8%.</w:t>
      </w:r>
    </w:p>
    <w:p>
      <w:pPr>
        <w:spacing w:after="120"/>
        <w:jc w:val="both"/>
      </w:pPr>
      <w:r>
        <w:rPr>
          <w:rFonts w:ascii="Arial" w:cs="Arial" w:eastAsia="Arial" w:hAnsi="Arial"/>
          <w:sz w:val="24"/>
          <w:szCs w:val="24"/>
        </w:rPr>
        <w:t xml:space="preserve">Основную долю в структуре внутренних инвестиций занимают средства предприятий, организаций и населения, составляя 86,7%.</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Динамика темпов роста в строительной отрасли, в процентах за 2013 -2014 гг.</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633"/>
        <w:gridCol w:w="1773"/>
        <w:gridCol w:w="1773"/>
      </w:tblGrid>
      <w:tr>
        <w:tc>
          <w:tcPr>
            <w:tcW w:type="dxa" w:w="6633"/>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Показатели</w:t>
            </w:r>
          </w:p>
        </w:tc>
        <w:tc>
          <w:tcPr>
            <w:tcW w:type="dxa" w:w="177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w:t>
            </w:r>
          </w:p>
        </w:tc>
        <w:tc>
          <w:tcPr>
            <w:tcW w:type="dxa" w:w="177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w:t>
            </w:r>
          </w:p>
        </w:tc>
      </w:tr>
      <w:tr>
        <w:tc>
          <w:tcPr>
            <w:vMerge w:val="continue"/>
            <w:tcBorders>
              <w:top w:val="single" w:color="CBBF9E" w:sz="4"/>
              <w:left w:val="single" w:color="CBBF9E" w:sz="4"/>
              <w:bottom w:val="single" w:color="CBBF9E" w:sz="4"/>
              <w:right w:val="single" w:color="CBBF9E" w:sz="4"/>
            </w:tcBorders>
          </w:tcPr>
          <w:p/>
        </w:tc>
        <w:tc>
          <w:tcPr>
            <w:tcW w:type="dxa" w:w="1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w:t>
            </w:r>
          </w:p>
        </w:tc>
        <w:tc>
          <w:tcPr>
            <w:tcW w:type="dxa" w:w="1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r>
      <w:tr>
        <w:tc>
          <w:tcPr>
            <w:tcW w:type="dxa" w:w="66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строительства</w:t>
            </w:r>
          </w:p>
        </w:tc>
        <w:tc>
          <w:tcPr>
            <w:tcW w:type="dxa" w:w="1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112,5</w:t>
            </w:r>
          </w:p>
        </w:tc>
        <w:tc>
          <w:tcPr>
            <w:tcW w:type="dxa" w:w="1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115,5</w:t>
            </w:r>
          </w:p>
        </w:tc>
      </w:tr>
      <w:tr>
        <w:tc>
          <w:tcPr>
            <w:tcW w:type="dxa" w:w="66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Инвестиции в основной капитал</w:t>
            </w:r>
          </w:p>
        </w:tc>
        <w:tc>
          <w:tcPr>
            <w:tcW w:type="dxa" w:w="1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112,8</w:t>
            </w:r>
          </w:p>
        </w:tc>
        <w:tc>
          <w:tcPr>
            <w:tcW w:type="dxa" w:w="1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115,2</w:t>
            </w:r>
          </w:p>
        </w:tc>
      </w:tr>
      <w:tr>
        <w:tc>
          <w:tcPr>
            <w:tcW w:type="dxa" w:w="66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6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Внутренние инвестиции</w:t>
            </w:r>
          </w:p>
        </w:tc>
        <w:tc>
          <w:tcPr>
            <w:tcW w:type="dxa" w:w="1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117,5</w:t>
            </w:r>
          </w:p>
        </w:tc>
        <w:tc>
          <w:tcPr>
            <w:tcW w:type="dxa" w:w="1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r>
      <w:tr>
        <w:tc>
          <w:tcPr>
            <w:tcW w:type="dxa" w:w="66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Внешние инвестиции</w:t>
            </w:r>
          </w:p>
        </w:tc>
        <w:tc>
          <w:tcPr>
            <w:tcW w:type="dxa" w:w="1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103,2</w:t>
            </w:r>
          </w:p>
        </w:tc>
        <w:tc>
          <w:tcPr>
            <w:tcW w:type="dxa" w:w="1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126,5</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2014 году объемы капитальных вложений будут направлены в приоритетном порядке на строительство и реконструкцию объектов социально-экономического значения, в том числе в сфере образования, здравоохранения, жилищного строительства, а также на строительство и реконструкцию автодорог и ГЭС в республике.</w:t>
      </w:r>
    </w:p>
    <w:p>
      <w:pPr>
        <w:spacing w:after="120"/>
        <w:jc w:val="both"/>
      </w:pPr>
      <w:r>
        <w:rPr>
          <w:rFonts w:ascii="Arial" w:cs="Arial" w:eastAsia="Arial" w:hAnsi="Arial"/>
          <w:sz w:val="24"/>
          <w:szCs w:val="24"/>
        </w:rPr>
        <w:t xml:space="preserve">За счет республиканского бюджета капитальные вложения планируется направить, в первую очередь, на:</w:t>
      </w:r>
    </w:p>
    <w:p>
      <w:pPr>
        <w:spacing w:after="120"/>
        <w:jc w:val="both"/>
      </w:pPr>
      <w:r>
        <w:rPr>
          <w:rFonts w:ascii="Arial" w:cs="Arial" w:eastAsia="Arial" w:hAnsi="Arial"/>
          <w:sz w:val="24"/>
          <w:szCs w:val="24"/>
        </w:rPr>
        <w:t xml:space="preserve">- незавершенные строительством объекты, финансируемые из республиканского бюджета и подлежащие завершению строительством в планируемом году;</w:t>
      </w:r>
    </w:p>
    <w:p>
      <w:pPr>
        <w:spacing w:after="120"/>
        <w:jc w:val="both"/>
      </w:pPr>
      <w:r>
        <w:rPr>
          <w:rFonts w:ascii="Arial" w:cs="Arial" w:eastAsia="Arial" w:hAnsi="Arial"/>
          <w:sz w:val="24"/>
          <w:szCs w:val="24"/>
        </w:rPr>
        <w:t xml:space="preserve">- стройки и объекты, по которым принятые в пределах лимитов бюджетных обязательств денежные обязательства республиканского бюджета остались неисполненными по причине недостаточности фактически выделенных средств;</w:t>
      </w:r>
    </w:p>
    <w:p>
      <w:pPr>
        <w:spacing w:after="120"/>
        <w:jc w:val="both"/>
      </w:pPr>
      <w:r>
        <w:rPr>
          <w:rFonts w:ascii="Arial" w:cs="Arial" w:eastAsia="Arial" w:hAnsi="Arial"/>
          <w:sz w:val="24"/>
          <w:szCs w:val="24"/>
        </w:rPr>
        <w:t xml:space="preserve">- строительство инженерной и социальной инфраструктуры в зонах массовой индивидуальной застройки гор. Бишкек;</w:t>
      </w:r>
    </w:p>
    <w:p>
      <w:pPr>
        <w:spacing w:after="120"/>
        <w:jc w:val="both"/>
      </w:pPr>
      <w:r>
        <w:rPr>
          <w:rFonts w:ascii="Arial" w:cs="Arial" w:eastAsia="Arial" w:hAnsi="Arial"/>
          <w:sz w:val="24"/>
          <w:szCs w:val="24"/>
        </w:rPr>
        <w:t xml:space="preserve">- реализацию мероприятий Государственной программы строительства водохозяйственных объектов и освоения новых орошаемых земель в Кыргызской Республике на 2011-2015 годы, утвержденной </w:t>
      </w:r>
      <w:hyperlink w:history="1" r:id="rId68rucg-aqdasfhw1wp9x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16 мая 2011 года № 229;</w:t>
      </w:r>
    </w:p>
    <w:p>
      <w:pPr>
        <w:spacing w:after="120"/>
        <w:jc w:val="both"/>
      </w:pPr>
      <w:r>
        <w:rPr>
          <w:rFonts w:ascii="Arial" w:cs="Arial" w:eastAsia="Arial" w:hAnsi="Arial"/>
          <w:sz w:val="24"/>
          <w:szCs w:val="24"/>
        </w:rPr>
        <w:t xml:space="preserve">- строительство автодороги Кокташ-Аксай-Тамдык Баткенского района Баткенской области, объемом финансирования в 2014 году в размере 10 млн. сомов;</w:t>
      </w:r>
    </w:p>
    <w:p>
      <w:pPr>
        <w:spacing w:after="120"/>
        <w:jc w:val="both"/>
      </w:pPr>
      <w:r>
        <w:rPr>
          <w:rFonts w:ascii="Arial" w:cs="Arial" w:eastAsia="Arial" w:hAnsi="Arial"/>
          <w:sz w:val="24"/>
          <w:szCs w:val="24"/>
        </w:rPr>
        <w:t xml:space="preserve">- строительство здания пограничного поста в селе Таян Баткенского района Баткенской области для пограничников, с объемом финансирования в размере 6,2 млн. сомов;</w:t>
      </w:r>
    </w:p>
    <w:p>
      <w:pPr>
        <w:spacing w:after="120"/>
        <w:jc w:val="both"/>
      </w:pPr>
      <w:r>
        <w:rPr>
          <w:rFonts w:ascii="Arial" w:cs="Arial" w:eastAsia="Arial" w:hAnsi="Arial"/>
          <w:sz w:val="24"/>
          <w:szCs w:val="24"/>
        </w:rPr>
        <w:t xml:space="preserve">- строительство автомобильной дороги Айгульташ-Согмент-Чарбак-Таян, с объемом финансирования в размере 8,0 млн. сомов;</w:t>
      </w:r>
    </w:p>
    <w:p>
      <w:pPr>
        <w:spacing w:after="120"/>
        <w:jc w:val="both"/>
      </w:pPr>
      <w:r>
        <w:rPr>
          <w:rFonts w:ascii="Arial" w:cs="Arial" w:eastAsia="Arial" w:hAnsi="Arial"/>
          <w:sz w:val="24"/>
          <w:szCs w:val="24"/>
        </w:rPr>
        <w:t xml:space="preserve">- строительство автомобильной дороги Бел-Согот-Божой, с объемом финансирования в размере 10,0 млн. сомов;</w:t>
      </w:r>
    </w:p>
    <w:p>
      <w:pPr>
        <w:spacing w:after="120"/>
        <w:jc w:val="both"/>
      </w:pPr>
      <w:r>
        <w:rPr>
          <w:rFonts w:ascii="Arial" w:cs="Arial" w:eastAsia="Arial" w:hAnsi="Arial"/>
          <w:sz w:val="24"/>
          <w:szCs w:val="24"/>
        </w:rPr>
        <w:t xml:space="preserve">- строительство автодороги Кулунду-Максат и двух мостов, с объемом финансирования в размере 9,7 млн. сомов.</w:t>
      </w:r>
    </w:p>
    <w:p>
      <w:pPr>
        <w:spacing w:after="120"/>
        <w:jc w:val="both"/>
      </w:pPr>
      <w:r>
        <w:rPr>
          <w:rFonts w:ascii="Arial" w:cs="Arial" w:eastAsia="Arial" w:hAnsi="Arial"/>
          <w:sz w:val="24"/>
          <w:szCs w:val="24"/>
        </w:rPr>
        <w:t xml:space="preserve">В части строительства водохозяйственных объектов в 2014 году прогнозируется реализация следующих проектов:</w:t>
      </w:r>
    </w:p>
    <w:p>
      <w:pPr>
        <w:spacing w:after="120"/>
        <w:jc w:val="both"/>
      </w:pPr>
      <w:r>
        <w:rPr>
          <w:rFonts w:ascii="Arial" w:cs="Arial" w:eastAsia="Arial" w:hAnsi="Arial"/>
          <w:sz w:val="24"/>
          <w:szCs w:val="24"/>
        </w:rPr>
        <w:t xml:space="preserve">- строительство водопроводной сети в селах Чарбак, Таян, Сай Баткенского района Баткенской области, с объемом финансирования в размере 37,7 млн. сомов;</w:t>
      </w:r>
    </w:p>
    <w:p>
      <w:pPr>
        <w:spacing w:after="120"/>
        <w:jc w:val="both"/>
      </w:pPr>
      <w:r>
        <w:rPr>
          <w:rFonts w:ascii="Arial" w:cs="Arial" w:eastAsia="Arial" w:hAnsi="Arial"/>
          <w:sz w:val="24"/>
          <w:szCs w:val="24"/>
        </w:rPr>
        <w:t xml:space="preserve">- завершение строительства ирригационного сооружения Бургандинского массива Кадамжайского района Баткенской области и введение 3498 га новых орошаемых земель, с объемом финансирования в 2014 году в размере 120,0 млн. сомов;</w:t>
      </w:r>
    </w:p>
    <w:p>
      <w:pPr>
        <w:spacing w:after="120"/>
        <w:jc w:val="both"/>
      </w:pPr>
      <w:r>
        <w:rPr>
          <w:rFonts w:ascii="Arial" w:cs="Arial" w:eastAsia="Arial" w:hAnsi="Arial"/>
          <w:sz w:val="24"/>
          <w:szCs w:val="24"/>
        </w:rPr>
        <w:t xml:space="preserve">- строительство канала Каракыштак-Боз Кадамжайского района Баткенской области (ввод 270 га), с объемом финансирования в 2014 году в размере 115,2 млн. сомов;</w:t>
      </w:r>
    </w:p>
    <w:p>
      <w:pPr>
        <w:spacing w:after="120"/>
        <w:jc w:val="both"/>
      </w:pPr>
      <w:r>
        <w:rPr>
          <w:rFonts w:ascii="Arial" w:cs="Arial" w:eastAsia="Arial" w:hAnsi="Arial"/>
          <w:sz w:val="24"/>
          <w:szCs w:val="24"/>
        </w:rPr>
        <w:t xml:space="preserve">- реконструкция канала Сарымсак Кара-Бууринского района Таласской области (ввод 1000 га), с объемом финансирования в 2014 году в размере 105,6 млн. сомов;</w:t>
      </w:r>
    </w:p>
    <w:p>
      <w:pPr>
        <w:spacing w:after="120"/>
        <w:jc w:val="both"/>
      </w:pPr>
      <w:r>
        <w:rPr>
          <w:rFonts w:ascii="Arial" w:cs="Arial" w:eastAsia="Arial" w:hAnsi="Arial"/>
          <w:sz w:val="24"/>
          <w:szCs w:val="24"/>
        </w:rPr>
        <w:t xml:space="preserve">- строительство бассейна декадного регулирования на реке Шамшы Чуйского района Чуйской области, с объемом финансирования в 2014 году в размере 120,0 млн. сомов;</w:t>
      </w:r>
    </w:p>
    <w:p>
      <w:pPr>
        <w:spacing w:after="120"/>
        <w:jc w:val="both"/>
      </w:pPr>
      <w:r>
        <w:rPr>
          <w:rFonts w:ascii="Arial" w:cs="Arial" w:eastAsia="Arial" w:hAnsi="Arial"/>
          <w:sz w:val="24"/>
          <w:szCs w:val="24"/>
        </w:rPr>
        <w:t xml:space="preserve">- реабилитация концевой части канала Беш-Батман для улучшения водообеспеченности Ренжитской долины Аксыйского района Джалал-Абадской области, с объемом финансирования в 2014 году в размере 201,6 млн. сомов;</w:t>
      </w:r>
    </w:p>
    <w:p>
      <w:pPr>
        <w:spacing w:after="120"/>
        <w:jc w:val="both"/>
      </w:pPr>
      <w:r>
        <w:rPr>
          <w:rFonts w:ascii="Arial" w:cs="Arial" w:eastAsia="Arial" w:hAnsi="Arial"/>
          <w:sz w:val="24"/>
          <w:szCs w:val="24"/>
        </w:rPr>
        <w:t xml:space="preserve">- строительство канала Р-4вх и наращивание существующего канала Р-4 в Баткенском районе Баткенской области, с объемом финансирования в 2014 году в размере 115,2 млн. сомов;</w:t>
      </w:r>
    </w:p>
    <w:p>
      <w:pPr>
        <w:spacing w:after="120"/>
        <w:jc w:val="both"/>
      </w:pPr>
      <w:r>
        <w:rPr>
          <w:rFonts w:ascii="Arial" w:cs="Arial" w:eastAsia="Arial" w:hAnsi="Arial"/>
          <w:sz w:val="24"/>
          <w:szCs w:val="24"/>
        </w:rPr>
        <w:t xml:space="preserve">- реконструкция канала Ак-Олен в Тонском районе Иссык-Кульской области, с объемом финансирования в 2014 году в размере 50,4 млн. сомов;</w:t>
      </w:r>
    </w:p>
    <w:p>
      <w:pPr>
        <w:spacing w:after="120"/>
        <w:jc w:val="both"/>
      </w:pPr>
      <w:r>
        <w:rPr>
          <w:rFonts w:ascii="Arial" w:cs="Arial" w:eastAsia="Arial" w:hAnsi="Arial"/>
          <w:sz w:val="24"/>
          <w:szCs w:val="24"/>
        </w:rPr>
        <w:t xml:space="preserve">- строительство канала Бахты-Ногой в Кара-Бууринском районе Талаской области, с объемом финансирования в 2014 году в размере 36,0 млн. сомов;</w:t>
      </w:r>
    </w:p>
    <w:p>
      <w:pPr>
        <w:spacing w:after="120"/>
        <w:jc w:val="both"/>
      </w:pPr>
      <w:r>
        <w:rPr>
          <w:rFonts w:ascii="Arial" w:cs="Arial" w:eastAsia="Arial" w:hAnsi="Arial"/>
          <w:sz w:val="24"/>
          <w:szCs w:val="24"/>
        </w:rPr>
        <w:t xml:space="preserve">- реконструкция бассейна суточного регулирования Кара-Тума и строительство внутрихозяйственной сети в Панфиловском районе Чуйской области, с объемом финансирования в 2014 году в размере 48,0 млн. сомов.</w:t>
      </w:r>
    </w:p>
    <w:p>
      <w:pPr>
        <w:spacing w:after="120"/>
        <w:jc w:val="both"/>
      </w:pPr>
      <w:r>
        <w:rPr>
          <w:rFonts w:ascii="Arial" w:cs="Arial" w:eastAsia="Arial" w:hAnsi="Arial"/>
          <w:sz w:val="24"/>
          <w:szCs w:val="24"/>
        </w:rPr>
        <w:t xml:space="preserve">За счет капитальных вложений предприятий и организаций и населения будут вестись в основном работы:</w:t>
      </w:r>
    </w:p>
    <w:p>
      <w:pPr>
        <w:spacing w:after="120"/>
        <w:jc w:val="both"/>
      </w:pPr>
      <w:r>
        <w:rPr>
          <w:rFonts w:ascii="Arial" w:cs="Arial" w:eastAsia="Arial" w:hAnsi="Arial"/>
          <w:sz w:val="24"/>
          <w:szCs w:val="24"/>
        </w:rPr>
        <w:t xml:space="preserve">- реконструкция аэропортов Баткен, Исфана, Джалал-Абад за счет собственных средств ОАО «Международный аэропорт «Манас», с объемом финансирования в 2014 году в размере 10,8 млн. долларов США;</w:t>
      </w:r>
    </w:p>
    <w:p>
      <w:pPr>
        <w:spacing w:after="120"/>
        <w:jc w:val="both"/>
      </w:pPr>
      <w:r>
        <w:rPr>
          <w:rFonts w:ascii="Arial" w:cs="Arial" w:eastAsia="Arial" w:hAnsi="Arial"/>
          <w:sz w:val="24"/>
          <w:szCs w:val="24"/>
        </w:rPr>
        <w:t xml:space="preserve">- модернизация и приобретение навигационного оборудования и технических средств для аэропортов Манас, Ош, Иссык-Куль за счет собственных средств ОАО «Международный аэропорт «Манас», с объемом финансирования в 2014 году в размере 5,65 млн. долларов США;</w:t>
      </w:r>
    </w:p>
    <w:p>
      <w:pPr>
        <w:spacing w:after="120"/>
        <w:jc w:val="both"/>
      </w:pPr>
      <w:r>
        <w:rPr>
          <w:rFonts w:ascii="Arial" w:cs="Arial" w:eastAsia="Arial" w:hAnsi="Arial"/>
          <w:sz w:val="24"/>
          <w:szCs w:val="24"/>
        </w:rPr>
        <w:t xml:space="preserve">- жилищное строительство, осуществляемое в основном за счет средств населения.</w:t>
      </w:r>
    </w:p>
    <w:p>
      <w:pPr>
        <w:spacing w:after="120"/>
        <w:jc w:val="both"/>
      </w:pPr>
      <w:r>
        <w:rPr>
          <w:rFonts w:ascii="Arial" w:cs="Arial" w:eastAsia="Arial" w:hAnsi="Arial"/>
          <w:sz w:val="24"/>
          <w:szCs w:val="24"/>
        </w:rPr>
        <w:t xml:space="preserve">Запланированы крупные инвестиционные проекты в энергетической отрасли, которые внесут основной вклад в строительство в 2014 году:</w:t>
      </w:r>
    </w:p>
    <w:p>
      <w:pPr>
        <w:spacing w:after="120"/>
        <w:jc w:val="both"/>
      </w:pPr>
      <w:r>
        <w:rPr>
          <w:rFonts w:ascii="Arial" w:cs="Arial" w:eastAsia="Arial" w:hAnsi="Arial"/>
          <w:sz w:val="24"/>
          <w:szCs w:val="24"/>
        </w:rPr>
        <w:t xml:space="preserve">- проект «Развитие сектора энергетики». Общая проектная стоимость проекта составляет 56,0 млн. долларов США, из них планируется освоить в 2014 году 10,9 млн. долларов США;</w:t>
      </w:r>
    </w:p>
    <w:p>
      <w:pPr>
        <w:spacing w:after="120"/>
        <w:jc w:val="both"/>
      </w:pPr>
      <w:r>
        <w:rPr>
          <w:rFonts w:ascii="Arial" w:cs="Arial" w:eastAsia="Arial" w:hAnsi="Arial"/>
          <w:sz w:val="24"/>
          <w:szCs w:val="24"/>
        </w:rPr>
        <w:t xml:space="preserve">- проект «Модернизация линий электропередачи на юге Кыргызстана» (Строительство ПС 500 кВ «Датка» и ВЛ 220 кВ), с объемом финансирования в 2014 году в размере 10,4 млн. долларов США за счет средств Экспортно-импортного банка Китая;</w:t>
      </w:r>
    </w:p>
    <w:p>
      <w:pPr>
        <w:spacing w:after="120"/>
        <w:jc w:val="both"/>
      </w:pPr>
      <w:r>
        <w:rPr>
          <w:rFonts w:ascii="Arial" w:cs="Arial" w:eastAsia="Arial" w:hAnsi="Arial"/>
          <w:sz w:val="24"/>
          <w:szCs w:val="24"/>
        </w:rPr>
        <w:t xml:space="preserve">- строительство Камбаратинской ГЭС-1, с объемом финансирования в 2014 году в размере 340,0 млн. долларов США;</w:t>
      </w:r>
    </w:p>
    <w:p>
      <w:pPr>
        <w:spacing w:after="120"/>
        <w:jc w:val="both"/>
      </w:pPr>
      <w:r>
        <w:rPr>
          <w:rFonts w:ascii="Arial" w:cs="Arial" w:eastAsia="Arial" w:hAnsi="Arial"/>
          <w:sz w:val="24"/>
          <w:szCs w:val="24"/>
        </w:rPr>
        <w:t xml:space="preserve">- строительство Верхненарынского каскада ГЭС (4 ГЭС - Акбулунская, Нарын - 1, 2, 3), с объемом финансирования в 2014 году в размере 60,0 млн. долларов США;</w:t>
      </w:r>
    </w:p>
    <w:p>
      <w:pPr>
        <w:spacing w:after="120"/>
        <w:jc w:val="both"/>
      </w:pPr>
      <w:r>
        <w:rPr>
          <w:rFonts w:ascii="Arial" w:cs="Arial" w:eastAsia="Arial" w:hAnsi="Arial"/>
          <w:sz w:val="24"/>
          <w:szCs w:val="24"/>
        </w:rPr>
        <w:t xml:space="preserve">- проект «Улучшение электроснабжения гор. Бишкек и гор. Ош» Исламского банка развития (далее - ИБР, кредит), с объемом финансирования в 2014 году в размере 10,3 млн. долларов США;</w:t>
      </w:r>
    </w:p>
    <w:p>
      <w:pPr>
        <w:spacing w:after="120"/>
        <w:jc w:val="both"/>
      </w:pPr>
      <w:r>
        <w:rPr>
          <w:rFonts w:ascii="Arial" w:cs="Arial" w:eastAsia="Arial" w:hAnsi="Arial"/>
          <w:sz w:val="24"/>
          <w:szCs w:val="24"/>
        </w:rPr>
        <w:t xml:space="preserve">- обеспечение пуска 2-го гидроагрегата Камбаратинской ГЭС-2 за счет средств ОАО «Электрические станции», с объемом финансирования в размере 131 млн. долларов США, освоение запланировано в 2015-2016 годах, из них в 2014 году - 43,7 млн. долларов США;</w:t>
      </w:r>
    </w:p>
    <w:p>
      <w:pPr>
        <w:spacing w:after="120"/>
        <w:jc w:val="both"/>
      </w:pPr>
      <w:r>
        <w:rPr>
          <w:rFonts w:ascii="Arial" w:cs="Arial" w:eastAsia="Arial" w:hAnsi="Arial"/>
          <w:sz w:val="24"/>
          <w:szCs w:val="24"/>
        </w:rPr>
        <w:t xml:space="preserve">- развитие малых ГЭС за счет частных инвестиций, с объемом финансирования в размере 49,3 млн. долларов США, освоение которых запланировано в 2014-2017 годах, из них в 2014 году - 12,3 млн. долларов США;</w:t>
      </w:r>
    </w:p>
    <w:p>
      <w:pPr>
        <w:spacing w:after="120"/>
        <w:jc w:val="both"/>
      </w:pPr>
      <w:r>
        <w:rPr>
          <w:rFonts w:ascii="Arial" w:cs="Arial" w:eastAsia="Arial" w:hAnsi="Arial"/>
          <w:sz w:val="24"/>
          <w:szCs w:val="24"/>
        </w:rPr>
        <w:t xml:space="preserve">- строительство двухцепной ВЛ 110 кВ и ПС 110/10 кВ в жилмассиве Ак-Ордо гор. Бишкек, с объемом финансирования в 2014 году в размере 2,5 млн. долларов США (кредит Турецкой Республики);</w:t>
      </w:r>
    </w:p>
    <w:p>
      <w:pPr>
        <w:spacing w:after="120"/>
        <w:jc w:val="both"/>
      </w:pPr>
      <w:r>
        <w:rPr>
          <w:rFonts w:ascii="Arial" w:cs="Arial" w:eastAsia="Arial" w:hAnsi="Arial"/>
          <w:sz w:val="24"/>
          <w:szCs w:val="24"/>
        </w:rPr>
        <w:t xml:space="preserve">- проект «Реабилитация сектора энергетики» (АБР, кредит), с объемом финансирования в 2014 году в размере 15,3 млн. долларов США;</w:t>
      </w:r>
    </w:p>
    <w:p>
      <w:pPr>
        <w:spacing w:after="120"/>
        <w:jc w:val="both"/>
      </w:pPr>
      <w:r>
        <w:rPr>
          <w:rFonts w:ascii="Arial" w:cs="Arial" w:eastAsia="Arial" w:hAnsi="Arial"/>
          <w:sz w:val="24"/>
          <w:szCs w:val="24"/>
        </w:rPr>
        <w:t xml:space="preserve">- проект «Строительство ЛЭП 500 кВ «Датка-Кемин» и ПС 500 кВ «Кемин» (Экспортно-импортный банк Китая, кредит), с объемом финансирования в 2014 году в размере 97,4 млн. долларов США;</w:t>
      </w:r>
    </w:p>
    <w:p>
      <w:pPr>
        <w:spacing w:after="120"/>
        <w:jc w:val="both"/>
      </w:pPr>
      <w:r>
        <w:rPr>
          <w:rFonts w:ascii="Arial" w:cs="Arial" w:eastAsia="Arial" w:hAnsi="Arial"/>
          <w:sz w:val="24"/>
          <w:szCs w:val="24"/>
        </w:rPr>
        <w:t xml:space="preserve">- освоение инвестиций при строительстве объектов горнодобывающей промышленности (разработка месторождения золота Бозымчак (объем капитальных вложений в 2014 году - 11 млн. долларов США), Иштамберды, (объем капитальных вложений в 2013 году - 8 млн. долларов США).</w:t>
      </w:r>
    </w:p>
    <w:p>
      <w:pPr>
        <w:spacing w:after="120"/>
        <w:jc w:val="both"/>
      </w:pPr>
      <w:r>
        <w:rPr>
          <w:rFonts w:ascii="Arial" w:cs="Arial" w:eastAsia="Arial" w:hAnsi="Arial"/>
          <w:sz w:val="24"/>
          <w:szCs w:val="24"/>
        </w:rPr>
        <w:t xml:space="preserve">В части работы по развитию дорожно-транспортной инфраструктуры в 2014 году прогнозируется продолжение реализации следующих проектов:</w:t>
      </w:r>
    </w:p>
    <w:p>
      <w:pPr>
        <w:spacing w:after="120"/>
        <w:jc w:val="both"/>
      </w:pPr>
      <w:r>
        <w:rPr>
          <w:rFonts w:ascii="Arial" w:cs="Arial" w:eastAsia="Arial" w:hAnsi="Arial"/>
          <w:sz w:val="24"/>
          <w:szCs w:val="24"/>
        </w:rPr>
        <w:t xml:space="preserve">- реабилитация автодороги Бишкек-Нарын-Торугарт (9-272 км, 272-365 км, 365-539 км), с объемом финансирования в 2014 году в размере 54,6 млн. долларов США;</w:t>
      </w:r>
    </w:p>
    <w:p>
      <w:pPr>
        <w:spacing w:after="120"/>
        <w:jc w:val="both"/>
      </w:pPr>
      <w:r>
        <w:rPr>
          <w:rFonts w:ascii="Arial" w:cs="Arial" w:eastAsia="Arial" w:hAnsi="Arial"/>
          <w:sz w:val="24"/>
          <w:szCs w:val="24"/>
        </w:rPr>
        <w:t xml:space="preserve">- реабилитация автодороги Ош-Баткен-Исфана (10-28 км, 108-123 км, 220-232 км, 232-248 км, 248-360 км), с объемом финансирования в 2014 году в размере 24,3 млн. долларов США;</w:t>
      </w:r>
    </w:p>
    <w:p>
      <w:pPr>
        <w:spacing w:after="120"/>
        <w:jc w:val="both"/>
      </w:pPr>
      <w:r>
        <w:rPr>
          <w:rFonts w:ascii="Arial" w:cs="Arial" w:eastAsia="Arial" w:hAnsi="Arial"/>
          <w:sz w:val="24"/>
          <w:szCs w:val="24"/>
        </w:rPr>
        <w:t xml:space="preserve">- реабилитация автодороги Тараз-Талас-Суусамыр (с 75 по 105 км), (Фаза III), с объемом финансирования в 2014 году в размере 8,0 млн. долларов США;</w:t>
      </w:r>
    </w:p>
    <w:p>
      <w:pPr>
        <w:spacing w:after="120"/>
        <w:jc w:val="both"/>
      </w:pPr>
      <w:r>
        <w:rPr>
          <w:rFonts w:ascii="Arial" w:cs="Arial" w:eastAsia="Arial" w:hAnsi="Arial"/>
          <w:sz w:val="24"/>
          <w:szCs w:val="24"/>
        </w:rPr>
        <w:t xml:space="preserve">- реконструкция аэропортов Баткен, Исфана, Джалал-Абад, Каракол, Казарман, Кербен, Талас и др., с объемом финансирования в 2014 году в размере 2,8 млн. долларов США.</w:t>
      </w:r>
    </w:p>
    <w:p>
      <w:pPr>
        <w:spacing w:after="120"/>
        <w:jc w:val="both"/>
      </w:pPr>
      <w:r>
        <w:rPr>
          <w:rFonts w:ascii="Arial" w:cs="Arial" w:eastAsia="Arial" w:hAnsi="Arial"/>
          <w:sz w:val="24"/>
          <w:szCs w:val="24"/>
        </w:rPr>
        <w:t xml:space="preserve">Исходя из планируемых объемов капитализации экономики, реальный рост общего объема валовой продукции строительства в 2014 году прогнозируется на 15,5% и составит 80,8 млрд. сомов. Влияние строительного сектора на темпы экономического роста будет положительным и составит 0,92 процентного пункта, удельный вес строительства в структуре производства ВВП - 6,4%.</w:t>
      </w:r>
    </w:p>
    <w:p>
      <w:pPr>
        <w:spacing w:after="120"/>
        <w:jc w:val="both"/>
      </w:pPr>
      <w:r>
        <w:rPr>
          <w:rFonts w:ascii="Arial" w:cs="Arial" w:eastAsia="Arial" w:hAnsi="Arial"/>
          <w:sz w:val="24"/>
          <w:szCs w:val="24"/>
        </w:rPr>
        <w:t xml:space="preserve">Для совершенствования системы принятия решений при выделении земельных участков для строительства будут: (1) внесены поправки в нормативные правовые акты по вопросам выделения земельных участков, обязательного исполнения требований сейсмобезопасности (Земельный </w:t>
      </w:r>
      <w:hyperlink w:history="1" r:id="rIdyyr0a4wbhkqsdpvfyaw27">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w:t>
      </w:r>
      <w:hyperlink w:history="1" r:id="rIdfc66tw4gusm6yyja6jnix">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градостроительстве и архитектуре Кыргызской Республики» и другие нормативные правовые акты); (2) разработан информационный банк данных земельных участков под строительство в населенных пунктах Кыргызской Республики; (3) принят план мероприятий по инвентаризации и поэтапной реконструкции инженерной инфраструктуры населенных пунктов.</w:t>
      </w:r>
    </w:p>
    <w:p>
      <w:pPr>
        <w:spacing w:after="120"/>
        <w:jc w:val="both"/>
      </w:pPr>
      <w:r>
        <w:rPr>
          <w:rFonts w:ascii="Arial" w:cs="Arial" w:eastAsia="Arial" w:hAnsi="Arial"/>
          <w:sz w:val="24"/>
          <w:szCs w:val="24"/>
        </w:rPr>
        <w:t xml:space="preserve">Рост объемов строительства прогнозируется во всех регионах за счет ввода ранее начатых социальных объектов, активизации реализации инвестиционных проектов в горнодобывающей и энергетической отраслях. Основную долю будут занимать гор. Бишкек (27,9%), Иссык-Кульская (21,4%), Чуйская (15,7%) и Джалал-Абадская (13,6%) области.</w:t>
      </w:r>
    </w:p>
    <w:p>
      <w:pPr>
        <w:spacing w:after="120"/>
        <w:jc w:val="both"/>
      </w:pPr>
      <w:r>
        <w:rPr>
          <w:rFonts w:ascii="Arial" w:cs="Arial" w:eastAsia="Arial" w:hAnsi="Arial"/>
          <w:sz w:val="24"/>
          <w:szCs w:val="24"/>
        </w:rPr>
        <w:t xml:space="preserve">Исходя из ожидаемого уровня капитальных вложений в экономику, объем валовых инвестиций (см. табл. 20), необходимый для экономического роста на уровне 6,9%, прогнозируется в сумме 135,5 млрд. сомов или 33,8% к ВВП и увеличится по сравнению с ожидаемым показателем 2013 года на 7,5%. При этом объем государственных инвестиций прогнозируется в сумме 23,1 млрд. сомов или 5,8% к ВВП, в том числе доля ПГИ - 4,2% к ВВП. Ресурсы ПГИ будут направлены на строительство инфраструктурных объектов и объектов энергетики.</w:t>
      </w:r>
    </w:p>
    <w:p>
      <w:pPr>
        <w:spacing w:after="120"/>
        <w:jc w:val="both"/>
      </w:pPr>
      <w:r>
        <w:rPr>
          <w:rFonts w:ascii="Arial" w:cs="Arial" w:eastAsia="Arial" w:hAnsi="Arial"/>
          <w:sz w:val="24"/>
          <w:szCs w:val="24"/>
        </w:rPr>
        <w:t xml:space="preserve">Частные инвестиции, включая прямые иностранные инвестиции, прогнозируются в сумме 112,4 млрд. сомов или 28,0% к ВВП. При этом прогнозируется приток прямых иностранных инвестиций в сумме 47,7 млрд. сомов или 964,0 млн. долларов США, рост составит 14,0%. Рост частных инвестиций предположительно будет обусловлен притоком инвестиций в крупные среднесрочные и долгосрочные национальные проекты.</w:t>
      </w:r>
    </w:p>
    <w:p>
      <w:pPr>
        <w:spacing w:after="120"/>
        <w:jc w:val="both"/>
      </w:pPr>
      <w:r>
        <w:rPr>
          <w:rFonts w:ascii="Arial" w:cs="Arial" w:eastAsia="Arial" w:hAnsi="Arial"/>
          <w:sz w:val="24"/>
          <w:szCs w:val="24"/>
        </w:rPr>
        <w:t xml:space="preserve">Современные тенденции развития мировой и отечественной экономики показывают, что в случае последующего усиления негативного влияния инфляционных процессов, вызванных внешними шоками и нестабильной макроэкономической ситуацией, могут возникнуть следующие риски и угрозы:</w:t>
      </w:r>
    </w:p>
    <w:p>
      <w:pPr>
        <w:spacing w:after="120"/>
        <w:jc w:val="both"/>
      </w:pPr>
      <w:r>
        <w:rPr>
          <w:rFonts w:ascii="Arial" w:cs="Arial" w:eastAsia="Arial" w:hAnsi="Arial"/>
          <w:sz w:val="24"/>
          <w:szCs w:val="24"/>
        </w:rPr>
        <w:t xml:space="preserve">- снижение объемов производства;</w:t>
      </w:r>
    </w:p>
    <w:p>
      <w:pPr>
        <w:spacing w:after="120"/>
        <w:jc w:val="both"/>
      </w:pPr>
      <w:r>
        <w:rPr>
          <w:rFonts w:ascii="Arial" w:cs="Arial" w:eastAsia="Arial" w:hAnsi="Arial"/>
          <w:sz w:val="24"/>
          <w:szCs w:val="24"/>
        </w:rPr>
        <w:t xml:space="preserve">- снижение инвестиций в основной капитал;</w:t>
      </w:r>
    </w:p>
    <w:p>
      <w:pPr>
        <w:spacing w:after="120"/>
        <w:jc w:val="both"/>
      </w:pPr>
      <w:r>
        <w:rPr>
          <w:rFonts w:ascii="Arial" w:cs="Arial" w:eastAsia="Arial" w:hAnsi="Arial"/>
          <w:sz w:val="24"/>
          <w:szCs w:val="24"/>
        </w:rPr>
        <w:t xml:space="preserve">- приостановка строящихся объектов;</w:t>
      </w:r>
    </w:p>
    <w:p>
      <w:pPr>
        <w:spacing w:after="120"/>
        <w:jc w:val="both"/>
      </w:pPr>
      <w:r>
        <w:rPr>
          <w:rFonts w:ascii="Arial" w:cs="Arial" w:eastAsia="Arial" w:hAnsi="Arial"/>
          <w:sz w:val="24"/>
          <w:szCs w:val="24"/>
        </w:rPr>
        <w:t xml:space="preserve">- несвоевременный ввод в эксплуатацию жилья и т.д.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6.6.4. Сфера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Сфера услуг остается основным сектором в формировании ВВП, удельный вес которой в структуре ВВП достигнет 47,3%.</w:t>
      </w:r>
    </w:p>
    <w:p>
      <w:pPr>
        <w:spacing w:after="120"/>
        <w:jc w:val="both"/>
      </w:pPr>
      <w:r>
        <w:rPr>
          <w:rFonts w:ascii="Arial" w:cs="Arial" w:eastAsia="Arial" w:hAnsi="Arial"/>
          <w:sz w:val="24"/>
          <w:szCs w:val="24"/>
        </w:rPr>
        <w:t xml:space="preserve">Валовой выпуск сферы услуг в 2014 году прогнозируется в объеме 343,8 млрд. сомов, где рост составит 105,5%. Основными источниками роста будут: торговля, где рост прогнозируется на уровне 6,3%, транспортные услуги - на 8,9%, услуги связи - на 8,8%, услуги финансовой деятельности - на 5,8% и услуги гостиниц и ресторанов - на 8,4%.</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Динамика темпов роста в отраслях сферы услуг, в процентах к предыдущему году</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123"/>
        <w:gridCol w:w="2027"/>
        <w:gridCol w:w="2027"/>
      </w:tblGrid>
      <w:tr>
        <w:tc>
          <w:tcPr>
            <w:tcW w:type="dxa" w:w="6123"/>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Показатели</w:t>
            </w:r>
          </w:p>
        </w:tc>
        <w:tc>
          <w:tcPr>
            <w:tcW w:type="dxa" w:w="202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w:t>
            </w:r>
          </w:p>
        </w:tc>
        <w:tc>
          <w:tcPr>
            <w:tcW w:type="dxa" w:w="202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w:t>
            </w:r>
          </w:p>
        </w:tc>
      </w:tr>
      <w:tr>
        <w:tc>
          <w:tcPr>
            <w:vMerge w:val="continue"/>
            <w:tcBorders>
              <w:top w:val="single" w:color="CBBF9E" w:sz="4"/>
              <w:left w:val="single" w:color="CBBF9E" w:sz="4"/>
              <w:bottom w:val="single" w:color="CBBF9E" w:sz="4"/>
              <w:right w:val="single" w:color="CBBF9E" w:sz="4"/>
            </w:tcBorders>
          </w:tcP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w:t>
            </w: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r>
      <w:tr>
        <w:tc>
          <w:tcPr>
            <w:tcW w:type="dxa" w:w="61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Сфера услуг</w:t>
            </w: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105,7</w:t>
            </w: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r>
      <w:tr>
        <w:tc>
          <w:tcPr>
            <w:tcW w:type="dxa" w:w="61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 по отраслям:</w:t>
            </w: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Торговля, ремонт автомобилей, бытовых изделий и предметов личного пользования</w:t>
            </w: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r>
      <w:tr>
        <w:tc>
          <w:tcPr>
            <w:tcW w:type="dxa" w:w="61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Гостиницы и рестораны</w:t>
            </w: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108,1</w:t>
            </w: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108,4</w:t>
            </w:r>
          </w:p>
        </w:tc>
      </w:tr>
      <w:tr>
        <w:tc>
          <w:tcPr>
            <w:tcW w:type="dxa" w:w="61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Транспорт и связь</w:t>
            </w: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109,6</w:t>
            </w: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108,8</w:t>
            </w:r>
          </w:p>
        </w:tc>
      </w:tr>
      <w:tr>
        <w:tc>
          <w:tcPr>
            <w:tcW w:type="dxa" w:w="61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Финансовая деятельность</w:t>
            </w: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w:t>
            </w: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w:t>
            </w:r>
          </w:p>
        </w:tc>
      </w:tr>
      <w:tr>
        <w:tc>
          <w:tcPr>
            <w:tcW w:type="dxa" w:w="61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Операции с недвижимым имуществом, аренда и предоставление услуг потребителям</w:t>
            </w: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101,1</w:t>
            </w: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w:t>
            </w:r>
          </w:p>
        </w:tc>
      </w:tr>
      <w:tr>
        <w:tc>
          <w:tcPr>
            <w:tcW w:type="dxa" w:w="61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Государственное управление</w:t>
            </w: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w:t>
            </w: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r>
      <w:tr>
        <w:tc>
          <w:tcPr>
            <w:tcW w:type="dxa" w:w="61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Образование</w:t>
            </w: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102,1</w:t>
            </w: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102,2</w:t>
            </w:r>
          </w:p>
        </w:tc>
      </w:tr>
      <w:tr>
        <w:tc>
          <w:tcPr>
            <w:tcW w:type="dxa" w:w="61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Здравоохранение и предоставление социальных услуг</w:t>
            </w: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103,2</w:t>
            </w:r>
          </w:p>
        </w:tc>
      </w:tr>
      <w:tr>
        <w:tc>
          <w:tcPr>
            <w:tcW w:type="dxa" w:w="61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Предоставление коммунальных, социальных и персональных услуг</w:t>
            </w: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102,2</w:t>
            </w: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102,7</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структуре сферы услуг основную долю занимают услуги торговли, которые в 2014 году составят 32,5% от общего объема предоставляемых услуг. Благоприятными предпосылками для увеличения торговли станут рост денежных доходов населения на 15,3% и развитие секторов экономики. Политика мер в области торговли будет направлена на: (а) совершенствование регуляторной политики в области торговли и создание благоприятной бизнес - среды; (б) внедрение современных форм торговли; (в) обеспечение роста доступности потребительских рынков для широкого населения; (г) формирование развитой системы продвижения товаров; (д) внедрение эффективных механизмов регулирования торговой деятельности; (е) развитие электронной торговли; (ж) расширение крупных торговых центров.</w:t>
      </w:r>
    </w:p>
    <w:p>
      <w:pPr>
        <w:spacing w:after="120"/>
        <w:jc w:val="both"/>
      </w:pPr>
      <w:r>
        <w:rPr>
          <w:rFonts w:ascii="Arial" w:cs="Arial" w:eastAsia="Arial" w:hAnsi="Arial"/>
          <w:sz w:val="24"/>
          <w:szCs w:val="24"/>
        </w:rPr>
        <w:t xml:space="preserve">Особое внимание будет уделено развитию упорядоченных форм приграничной торговли, это позволит расширить объемы торговли, что, в свою очередь, предоставит возможность развития и, соответственно, выравнивания социально-экономического положения регионов республики. Планируется создание центров приграничной торговли на юге страны в Лейлекском районе Баткенской области и на севере страны в селе Чалдовар Жайылского района Чуйской области. Создание подобных центров будет стимулировать в целом развитие торговой инфраструктуры отдаленных территорий страны, включая мелкую организованную торговлю.</w:t>
      </w:r>
    </w:p>
    <w:p>
      <w:pPr>
        <w:spacing w:after="120"/>
        <w:jc w:val="both"/>
      </w:pPr>
      <w:r>
        <w:rPr>
          <w:rFonts w:ascii="Arial" w:cs="Arial" w:eastAsia="Arial" w:hAnsi="Arial"/>
          <w:sz w:val="24"/>
          <w:szCs w:val="24"/>
        </w:rPr>
        <w:t xml:space="preserve">В целях укрепления и повышения конкурентоспособности торгово-рыночных комплексов «Дордой» и «Кара-Суу», сохранения темпов роста торгового оборота и количества рабочих мест на рынках, увеличения поступления налогов будут реализовываться меры в соответствии с </w:t>
      </w:r>
      <w:hyperlink w:history="1" r:id="rIdgglqkfumgmdqsaf-w69oj">
        <w:r>
          <w:rPr>
            <w:rFonts w:ascii="Arial" w:cs="Arial" w:eastAsia="Arial" w:hAnsi="Arial"/>
            <w:color w:val="1D4ED8"/>
            <w:sz w:val="24"/>
            <w:szCs w:val="24"/>
            <w:u w:val="single"/>
          </w:rPr>
          <w:t xml:space="preserve">Программой</w:t>
        </w:r>
      </w:hyperlink>
      <w:r>
        <w:rPr>
          <w:rFonts w:ascii="Arial" w:cs="Arial" w:eastAsia="Arial" w:hAnsi="Arial"/>
          <w:sz w:val="24"/>
          <w:szCs w:val="24"/>
        </w:rPr>
        <w:t xml:space="preserve"> развития торгово-рыночных комплексов «Дордой» и «Кара-Суу» (</w:t>
      </w:r>
      <w:hyperlink w:history="1" r:id="rIdfpqr-wlgpwqh3jbf1otq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26 сентября 2012 года № 654).</w:t>
      </w:r>
    </w:p>
    <w:p>
      <w:pPr>
        <w:spacing w:after="120"/>
        <w:jc w:val="both"/>
      </w:pPr>
      <w:r>
        <w:rPr>
          <w:rFonts w:ascii="Arial" w:cs="Arial" w:eastAsia="Arial" w:hAnsi="Arial"/>
          <w:sz w:val="24"/>
          <w:szCs w:val="24"/>
        </w:rPr>
        <w:t xml:space="preserve">Услуги транспорта и связи, являясь исключительно важной составляющей для экономики страны, прогнозируются на уровне 108,8%, в основном за счет быстрого развития современных видов услуг связи. Развитие услуг связи будет нацелено на создание высокотехнологической телекоммуникационной системы, обеспечивающей широкий спектр услуг и способствующей интеграции страны в общемировое информационное пространство. Лидером по темпам развития в телекоммуникационной отрасли будет оставаться мобильная связь. Прирост предоставляемых услуг связи прогнозируется на уровне 108,8%. Общее количество пользователей Интернетом достигнет в 2014 году 70-80% населения страны. Продолжится активная работа по реализации проектов строительства волоконно-оптических линий связи (ВОЛС) в Кыргызской Республике по направлениям Таджикистан, Узбекистан и Китай, строительство ВОЛС, в частности, по направлениям Балыкчы-Каракол, Ош-Иркештам и Ош-Узген - Джалал-Абад-Таш-Кумыр. К концу 2014 года планируется охватить цифровым вещанием 90% населения Кыргызской Республики. Продолжится работа по замене устаревшего оборудования и строительству новых антенно-мачтовых сооружений, цифровых автоматических телевизионных ретрансляторов, а также по модернизации и развитию сети отделений связи Государственного предприятия «Кыргыз почтасы».</w:t>
      </w:r>
    </w:p>
    <w:p>
      <w:pPr>
        <w:spacing w:after="120"/>
        <w:jc w:val="both"/>
      </w:pPr>
      <w:r>
        <w:rPr>
          <w:rFonts w:ascii="Arial" w:cs="Arial" w:eastAsia="Arial" w:hAnsi="Arial"/>
          <w:sz w:val="24"/>
          <w:szCs w:val="24"/>
        </w:rPr>
        <w:t xml:space="preserve">Основной задачей для роста и улучшения качества услуг транспорта в 2014 году станет ускоренный процесс реабилитации транспортной инфраструктуры. Планируется, что основная часть транспортных коридоров будет реабилитирована в 2014 году, для чего будет привлечен немалый объем инвестиций. На воздушном транспорте будет обеспечиваться надежное авиасообщение между регионами страны, странами ближнего и дальнего зарубежья. Рост предоставляемых услуг транспорта прогнозируется на уровне 108,9%. Основными задачами для его поддержания на этом уровне будут: (а) реабилитация и эффективное использование международных транзитно-транспортных коридоров; (б) реконструкция железных и автомобильных дорог; (в) обеспечение безопасности воздушного движения.</w:t>
      </w:r>
    </w:p>
    <w:p>
      <w:pPr>
        <w:spacing w:after="120"/>
        <w:jc w:val="both"/>
      </w:pPr>
      <w:r>
        <w:rPr>
          <w:rFonts w:ascii="Arial" w:cs="Arial" w:eastAsia="Arial" w:hAnsi="Arial"/>
          <w:sz w:val="24"/>
          <w:szCs w:val="24"/>
        </w:rPr>
        <w:t xml:space="preserve">Развитие туризма будет нацелено на формирование конкурентоспособной туристической индустрии. С учетом тенденций развития мирового туристического рынка меры будут направлены на развитие четыре основных вида туризма в Кыргызстане, способных дать высокую экономическую отдачу в 2014 году - это курортно-рекреационный туризм, ориентированный на Казахстан, Россию (Сибирь и Урал), Узбекистан; туризм на Великом Шелковом пути, ориентированный на страны ЕС, Японию, Южную Корею и другие страны; горно-приключенческий туризм, включая экологический туризм, ориентированный на страны ЕС, Казахстан, Россию и другие страны и деловой туризм - за счет использования выгодного географического расположения Кыргызстана. Рост экспорта туристических услуг прогнозируется на уровне 770,0 млн. долларов США, удельный вес которых в ВВП в 2014 году возрастет до 5,6%.</w:t>
      </w:r>
    </w:p>
    <w:p>
      <w:pPr>
        <w:spacing w:after="120"/>
        <w:jc w:val="both"/>
      </w:pPr>
      <w:r>
        <w:rPr>
          <w:rFonts w:ascii="Arial" w:cs="Arial" w:eastAsia="Arial" w:hAnsi="Arial"/>
          <w:sz w:val="24"/>
          <w:szCs w:val="24"/>
        </w:rPr>
        <w:t xml:space="preserve">Политика меры в области развития туризма будет направлена на решение таких задач, как:</w:t>
      </w:r>
    </w:p>
    <w:p>
      <w:pPr>
        <w:spacing w:after="120"/>
        <w:jc w:val="both"/>
      </w:pPr>
      <w:r>
        <w:rPr>
          <w:rFonts w:ascii="Arial" w:cs="Arial" w:eastAsia="Arial" w:hAnsi="Arial"/>
          <w:sz w:val="24"/>
          <w:szCs w:val="24"/>
        </w:rPr>
        <w:t xml:space="preserve">- поддержка отечественного предпринимательства в сфере туризма;</w:t>
      </w:r>
    </w:p>
    <w:p>
      <w:pPr>
        <w:spacing w:after="120"/>
        <w:jc w:val="both"/>
      </w:pPr>
      <w:r>
        <w:rPr>
          <w:rFonts w:ascii="Arial" w:cs="Arial" w:eastAsia="Arial" w:hAnsi="Arial"/>
          <w:sz w:val="24"/>
          <w:szCs w:val="24"/>
        </w:rPr>
        <w:t xml:space="preserve">- формирование современной инфраструктуры туристического обслуживания;</w:t>
      </w:r>
    </w:p>
    <w:p>
      <w:pPr>
        <w:spacing w:after="120"/>
        <w:jc w:val="both"/>
      </w:pPr>
      <w:r>
        <w:rPr>
          <w:rFonts w:ascii="Arial" w:cs="Arial" w:eastAsia="Arial" w:hAnsi="Arial"/>
          <w:sz w:val="24"/>
          <w:szCs w:val="24"/>
        </w:rPr>
        <w:t xml:space="preserve">- активизация рекламных кампаний на туристических рынках;</w:t>
      </w:r>
    </w:p>
    <w:p>
      <w:pPr>
        <w:spacing w:after="120"/>
        <w:jc w:val="both"/>
      </w:pPr>
      <w:r>
        <w:rPr>
          <w:rFonts w:ascii="Arial" w:cs="Arial" w:eastAsia="Arial" w:hAnsi="Arial"/>
          <w:sz w:val="24"/>
          <w:szCs w:val="24"/>
        </w:rPr>
        <w:t xml:space="preserve">- создание благоприятных условии для кооперации туристических, банковских, транспортных и гостиничных структур;</w:t>
      </w:r>
    </w:p>
    <w:p>
      <w:pPr>
        <w:spacing w:after="120"/>
        <w:jc w:val="both"/>
      </w:pPr>
      <w:r>
        <w:rPr>
          <w:rFonts w:ascii="Arial" w:cs="Arial" w:eastAsia="Arial" w:hAnsi="Arial"/>
          <w:sz w:val="24"/>
          <w:szCs w:val="24"/>
        </w:rPr>
        <w:t xml:space="preserve">- формирование имиджа гостеприимной страны, обеспечение узнаваемости туристического продукта Кыргызстана, укрепление и расширение позиций туристического продукта Кыргызстана на внешних рынках.</w:t>
      </w:r>
    </w:p>
    <w:p>
      <w:pPr>
        <w:spacing w:after="120"/>
        <w:jc w:val="both"/>
      </w:pPr>
      <w:r>
        <w:rPr>
          <w:rFonts w:ascii="Arial" w:cs="Arial" w:eastAsia="Arial" w:hAnsi="Arial"/>
          <w:sz w:val="24"/>
          <w:szCs w:val="24"/>
        </w:rPr>
        <w:t xml:space="preserve">В 2014 году в региональном разрезе основной вклад в объем рыночных услуг прогнозируется от гор. Бишкек (56,3%), а также Чуйской (11,3%), Джалал-Абадской (8,2%) областей. Их суммарный вклад составит 75,8%, что непосредственно связано с деловой активностью данных регионов и высокими доходами населения по сравнению с другими областями республики.</w:t>
      </w:r>
    </w:p>
    <w:p>
      <w:pPr>
        <w:spacing w:after="120"/>
        <w:jc w:val="both"/>
      </w:pPr>
      <w:r>
        <w:rPr>
          <w:rFonts w:ascii="Arial" w:cs="Arial" w:eastAsia="Arial" w:hAnsi="Arial"/>
          <w:sz w:val="24"/>
          <w:szCs w:val="24"/>
        </w:rPr>
        <w:t xml:space="preserve">6.7. Внешнеэкономическая деятельность в 2014 году будет складываться под влиянием таких факторов, как: (а) рост внутреннего производства на 6,9%; (б) риски, связанные с условиями действия Таможенного союза; (в) прогнозируемое снижение мировых цен на золото.</w:t>
      </w:r>
    </w:p>
    <w:p>
      <w:pPr>
        <w:spacing w:after="120"/>
        <w:jc w:val="both"/>
      </w:pPr>
      <w:r>
        <w:rPr>
          <w:rFonts w:ascii="Arial" w:cs="Arial" w:eastAsia="Arial" w:hAnsi="Arial"/>
          <w:sz w:val="24"/>
          <w:szCs w:val="24"/>
        </w:rPr>
        <w:t xml:space="preserve">Значительное влияние на развитие внешней торговли в среднесрочной перспективе окажет присоединение Кыргызстана к Таможенному союзу. Ожидается, что это улучшит торговые отношения со странами ТС, но в то же время, могут возникнуть проблемы в торговле со странами, не входящими в ТС.</w:t>
      </w:r>
    </w:p>
    <w:p>
      <w:pPr>
        <w:spacing w:after="120"/>
        <w:jc w:val="both"/>
      </w:pPr>
      <w:r>
        <w:rPr>
          <w:rFonts w:ascii="Arial" w:cs="Arial" w:eastAsia="Arial" w:hAnsi="Arial"/>
          <w:sz w:val="24"/>
          <w:szCs w:val="24"/>
        </w:rPr>
        <w:t xml:space="preserve">Наиболее очевидным преимуществом для кыргызской экономики будет сохранение уровней поставок и цен импорта нефтепродуктов, металла, лесоматериалов из стран-членов ТС, доступ к рынкам стран ТС, улучшение условий трудоустройства для мигрантов. Вследствие ожидаемого ввода и начала крупных инвестиционных проектов можно ожидать увеличения притока прямых иностранных инвестиций, направляемых на приобретение техники.</w:t>
      </w:r>
    </w:p>
    <w:p>
      <w:pPr>
        <w:spacing w:after="120"/>
        <w:jc w:val="both"/>
      </w:pPr>
      <w:r>
        <w:rPr>
          <w:rFonts w:ascii="Arial" w:cs="Arial" w:eastAsia="Arial" w:hAnsi="Arial"/>
          <w:sz w:val="24"/>
          <w:szCs w:val="24"/>
        </w:rPr>
        <w:t xml:space="preserve">Для сохранения транзитного потенциала страны и таких объектов как «Дордой» и «Кара-Суу», как логистических центров будет осуществлена переориентация на экспортное производство предприятий, занимавшихся реэкспортом, с созданием соответствующей инфраструктуры.</w:t>
      </w:r>
    </w:p>
    <w:p>
      <w:pPr>
        <w:spacing w:after="120"/>
        <w:jc w:val="both"/>
      </w:pPr>
      <w:r>
        <w:rPr>
          <w:rFonts w:ascii="Arial" w:cs="Arial" w:eastAsia="Arial" w:hAnsi="Arial"/>
          <w:sz w:val="24"/>
          <w:szCs w:val="24"/>
        </w:rPr>
        <w:t xml:space="preserve">Будет продолжена работа по запуску системы «Единого окна» при выдаче разрешительных документов на экспорт и импорт.</w:t>
      </w:r>
    </w:p>
    <w:p>
      <w:pPr>
        <w:spacing w:after="120"/>
        <w:jc w:val="both"/>
      </w:pPr>
      <w:r>
        <w:rPr>
          <w:rFonts w:ascii="Arial" w:cs="Arial" w:eastAsia="Arial" w:hAnsi="Arial"/>
          <w:sz w:val="24"/>
          <w:szCs w:val="24"/>
        </w:rPr>
        <w:t xml:space="preserve">Объем внешнеторгового оборота прогнозируется на уровне 9580 млн. долларов США, с номинальным превышением уровня 2013 года на 15,4%.</w:t>
      </w:r>
    </w:p>
    <w:p>
      <w:pPr>
        <w:spacing w:after="120"/>
        <w:jc w:val="both"/>
      </w:pPr>
      <w:r>
        <w:rPr>
          <w:rFonts w:ascii="Arial" w:cs="Arial" w:eastAsia="Arial" w:hAnsi="Arial"/>
          <w:sz w:val="24"/>
          <w:szCs w:val="24"/>
        </w:rPr>
        <w:t xml:space="preserve">Прогнозируется, что номинальный объем экспортных поставок составит до 2,3 млрд. долларов США, и темп роста сложится на уровне 10,7%, за счет увеличения поставок золота на 9,6%, доля которого в общем объеме экспорта составит 30,8% против ожидаемого уровня 31,1% в 2013 году, а также роста экспорта швейных изделий (на 13,9%), ламп накаливания (на 4,7%), овощей и фруктов (на 5,9%), хлопка-волокна (на 3,3%) и др.</w:t>
      </w:r>
    </w:p>
    <w:p>
      <w:pPr>
        <w:spacing w:after="120"/>
        <w:jc w:val="both"/>
      </w:pPr>
      <w:r>
        <w:rPr>
          <w:rFonts w:ascii="Arial" w:cs="Arial" w:eastAsia="Arial" w:hAnsi="Arial"/>
          <w:sz w:val="24"/>
          <w:szCs w:val="24"/>
        </w:rPr>
        <w:t xml:space="preserve">Что касается импорта, то его объем сложится в размере 7,3 млрд. долларов США и номинальный рост составит 17,0%, который будет определяться ростом потребительского спроса, связанным с увеличением объемов поставок нефтепродуктов на 17,0% (доля в структуре импорта - 19,4%), промежуточных и инвестиционных товаров, а также потребительских товаров. Импорт инвестиционных товаров возрастет на 12,4%, что создаст надежные предпосылки для поддержания экономического роста.</w:t>
      </w:r>
    </w:p>
    <w:p>
      <w:pPr>
        <w:spacing w:after="120"/>
        <w:jc w:val="both"/>
      </w:pPr>
      <w:r>
        <w:rPr>
          <w:rFonts w:ascii="Arial" w:cs="Arial" w:eastAsia="Arial" w:hAnsi="Arial"/>
          <w:sz w:val="24"/>
          <w:szCs w:val="24"/>
        </w:rPr>
        <w:t xml:space="preserve">В результате отрицательное сальдо торгового баланса сложится на уровне 4,9 млрд. долларов США.</w:t>
      </w:r>
    </w:p>
    <w:p>
      <w:pPr>
        <w:spacing w:after="120"/>
        <w:jc w:val="both"/>
      </w:pPr>
      <w:r>
        <w:rPr>
          <w:rFonts w:ascii="Arial" w:cs="Arial" w:eastAsia="Arial" w:hAnsi="Arial"/>
          <w:sz w:val="24"/>
          <w:szCs w:val="24"/>
        </w:rPr>
        <w:t xml:space="preserve">Отрицательное сальдо чистого экспорта товаров и услуг к ВВП ухудшится с (-) 50,0% в 2013 году до (-) 50,9% в 2014 году.</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20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ВВП по использованию (в % к ВВП)</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310"/>
        <w:gridCol w:w="1934"/>
        <w:gridCol w:w="1934"/>
      </w:tblGrid>
      <w:tr>
        <w:tc>
          <w:tcPr>
            <w:tcW w:type="dxa" w:w="6310"/>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Показатели</w:t>
            </w:r>
          </w:p>
        </w:tc>
        <w:tc>
          <w:tcPr>
            <w:tcW w:type="dxa" w:w="193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w:t>
            </w:r>
          </w:p>
        </w:tc>
        <w:tc>
          <w:tcPr>
            <w:tcW w:type="dxa" w:w="193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w:t>
            </w:r>
          </w:p>
        </w:tc>
      </w:tr>
      <w:tr>
        <w:tc>
          <w:tcPr>
            <w:vMerge w:val="continue"/>
            <w:tcBorders>
              <w:top w:val="single" w:color="CBBF9E" w:sz="4"/>
              <w:left w:val="single" w:color="CBBF9E" w:sz="4"/>
              <w:bottom w:val="single" w:color="CBBF9E" w:sz="4"/>
              <w:right w:val="single" w:color="CBBF9E" w:sz="4"/>
            </w:tcBorders>
          </w:tcPr>
          <w:p/>
        </w:tc>
        <w:tc>
          <w:tcPr>
            <w:tcW w:type="dxa" w:w="1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w:t>
            </w:r>
          </w:p>
        </w:tc>
        <w:tc>
          <w:tcPr>
            <w:tcW w:type="dxa" w:w="1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r>
      <w:tr>
        <w:tc>
          <w:tcPr>
            <w:tcW w:type="dxa" w:w="6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Потребление</w:t>
            </w:r>
          </w:p>
        </w:tc>
        <w:tc>
          <w:tcPr>
            <w:tcW w:type="dxa" w:w="1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116,7</w:t>
            </w:r>
          </w:p>
        </w:tc>
        <w:tc>
          <w:tcPr>
            <w:tcW w:type="dxa" w:w="1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117,1</w:t>
            </w:r>
          </w:p>
        </w:tc>
      </w:tr>
      <w:tr>
        <w:tc>
          <w:tcPr>
            <w:tcW w:type="dxa" w:w="6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Государственное</w:t>
            </w:r>
          </w:p>
        </w:tc>
        <w:tc>
          <w:tcPr>
            <w:tcW w:type="dxa" w:w="1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w:t>
            </w:r>
          </w:p>
        </w:tc>
        <w:tc>
          <w:tcPr>
            <w:tcW w:type="dxa" w:w="1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18,6</w:t>
            </w:r>
          </w:p>
        </w:tc>
      </w:tr>
      <w:tr>
        <w:tc>
          <w:tcPr>
            <w:tcW w:type="dxa" w:w="6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Частное</w:t>
            </w:r>
          </w:p>
        </w:tc>
        <w:tc>
          <w:tcPr>
            <w:tcW w:type="dxa" w:w="1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97,7</w:t>
            </w:r>
          </w:p>
        </w:tc>
        <w:tc>
          <w:tcPr>
            <w:tcW w:type="dxa" w:w="1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98,5</w:t>
            </w:r>
          </w:p>
        </w:tc>
      </w:tr>
      <w:tr>
        <w:tc>
          <w:tcPr>
            <w:tcW w:type="dxa" w:w="6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Валовые инвестиции</w:t>
            </w:r>
          </w:p>
        </w:tc>
        <w:tc>
          <w:tcPr>
            <w:tcW w:type="dxa" w:w="1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33,3</w:t>
            </w:r>
          </w:p>
        </w:tc>
        <w:tc>
          <w:tcPr>
            <w:tcW w:type="dxa" w:w="1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33,8</w:t>
            </w:r>
          </w:p>
        </w:tc>
      </w:tr>
      <w:tr>
        <w:tc>
          <w:tcPr>
            <w:tcW w:type="dxa" w:w="6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Государственные инвестиции</w:t>
            </w:r>
          </w:p>
        </w:tc>
        <w:tc>
          <w:tcPr>
            <w:tcW w:type="dxa" w:w="1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w:t>
            </w:r>
          </w:p>
        </w:tc>
        <w:tc>
          <w:tcPr>
            <w:tcW w:type="dxa" w:w="1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w:t>
            </w:r>
          </w:p>
        </w:tc>
      </w:tr>
      <w:tr>
        <w:tc>
          <w:tcPr>
            <w:tcW w:type="dxa" w:w="6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них ПГИ (внешние)</w:t>
            </w:r>
          </w:p>
        </w:tc>
        <w:tc>
          <w:tcPr>
            <w:tcW w:type="dxa" w:w="1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1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w:t>
            </w:r>
          </w:p>
        </w:tc>
      </w:tr>
      <w:tr>
        <w:tc>
          <w:tcPr>
            <w:tcW w:type="dxa" w:w="6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Частные инвестиции</w:t>
            </w:r>
          </w:p>
        </w:tc>
        <w:tc>
          <w:tcPr>
            <w:tcW w:type="dxa" w:w="1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28,0</w:t>
            </w:r>
          </w:p>
        </w:tc>
        <w:tc>
          <w:tcPr>
            <w:tcW w:type="dxa" w:w="1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28,0</w:t>
            </w:r>
          </w:p>
        </w:tc>
      </w:tr>
      <w:tr>
        <w:tc>
          <w:tcPr>
            <w:tcW w:type="dxa" w:w="6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Экспорт (товары и услуги)</w:t>
            </w:r>
          </w:p>
        </w:tc>
        <w:tc>
          <w:tcPr>
            <w:tcW w:type="dxa" w:w="1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50,8</w:t>
            </w:r>
          </w:p>
        </w:tc>
        <w:tc>
          <w:tcPr>
            <w:tcW w:type="dxa" w:w="1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tc>
      </w:tr>
      <w:tr>
        <w:tc>
          <w:tcPr>
            <w:tcW w:type="dxa" w:w="6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Импорт (товары и услуги)</w:t>
            </w:r>
          </w:p>
        </w:tc>
        <w:tc>
          <w:tcPr>
            <w:tcW w:type="dxa" w:w="1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100,8</w:t>
            </w:r>
          </w:p>
        </w:tc>
        <w:tc>
          <w:tcPr>
            <w:tcW w:type="dxa" w:w="1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100,9</w:t>
            </w:r>
          </w:p>
        </w:tc>
      </w:tr>
      <w:tr>
        <w:tc>
          <w:tcPr>
            <w:tcW w:type="dxa" w:w="6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Чистый экспорт</w:t>
            </w:r>
          </w:p>
        </w:tc>
        <w:tc>
          <w:tcPr>
            <w:tcW w:type="dxa" w:w="1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tc>
        <w:tc>
          <w:tcPr>
            <w:tcW w:type="dxa" w:w="1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-50,9</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Прогнозируется, что в 2014 году доля частного потребления составит 98,5% от объема ВВП, темп реального роста сложится на уровне 6,2%. Частные потребительские расходы будут подкреплены прогнозируемым ростом денежных доходов населения на 15,3% за счет создания новых рабочих мест и ростом средней номинальной заработной платы на 12,6%. Рост частного потребления будет стимулировать опережающий рост импорта (на 4,5%).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6.8. Социальная политика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Основным приоритетом Правительства Кыргызской Республики остается решение социальных задач. Расходы из республиканского бюджета по-прежнему являются социальноориентируемыми и удельный вес расходов на социальную сферу достигает 50%.</w:t>
      </w:r>
    </w:p>
    <w:p>
      <w:pPr>
        <w:spacing w:after="120"/>
        <w:jc w:val="both"/>
      </w:pPr>
      <w:r>
        <w:rPr>
          <w:rFonts w:ascii="Arial" w:cs="Arial" w:eastAsia="Arial" w:hAnsi="Arial"/>
          <w:sz w:val="24"/>
          <w:szCs w:val="24"/>
        </w:rPr>
        <w:t xml:space="preserve">Наиболее остро в стране стоит вопрос роста уровня бедности, который имеет негативную тенденцию, с 2007 года увеличился на 5,1%. В 2014 году основные направления деятельности будут ориентированы на снижение уровня бедности. Принимая во внимание, что проблема бедности требует комплексного подхода, в 2014 году будут продолжены реформы в сфере социальной защиты, здравоохранения, социального страхования, образования, рынка труда и гендерной политики.</w:t>
      </w:r>
    </w:p>
    <w:p>
      <w:pPr>
        <w:spacing w:after="120"/>
        <w:jc w:val="both"/>
      </w:pPr>
      <w:r>
        <w:rPr>
          <w:rFonts w:ascii="Arial" w:cs="Arial" w:eastAsia="Arial" w:hAnsi="Arial"/>
          <w:sz w:val="24"/>
          <w:szCs w:val="24"/>
        </w:rPr>
        <w:t xml:space="preserve">Комплексные задачи по совершенствованию будущей системы социальной защиты будут решаться мерами, заложенными в </w:t>
      </w:r>
      <w:hyperlink w:history="1" r:id="rIdkzxdhpod83pywmaudfyhj">
        <w:r>
          <w:rPr>
            <w:rFonts w:ascii="Arial" w:cs="Arial" w:eastAsia="Arial" w:hAnsi="Arial"/>
            <w:color w:val="1D4ED8"/>
            <w:sz w:val="24"/>
            <w:szCs w:val="24"/>
            <w:u w:val="single"/>
          </w:rPr>
          <w:t xml:space="preserve">Стратегии</w:t>
        </w:r>
      </w:hyperlink>
      <w:r>
        <w:rPr>
          <w:rFonts w:ascii="Arial" w:cs="Arial" w:eastAsia="Arial" w:hAnsi="Arial"/>
          <w:sz w:val="24"/>
          <w:szCs w:val="24"/>
        </w:rPr>
        <w:t xml:space="preserve"> развития социальной защиты населения Кыргызской Республики на 2012-2014 годы (</w:t>
      </w:r>
      <w:hyperlink w:history="1" r:id="rIds-gn9puf3rjmqn9tlrnj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13 декабря 2011 года № 755).</w:t>
      </w:r>
    </w:p>
    <w:p>
      <w:pPr>
        <w:spacing w:after="120"/>
        <w:jc w:val="both"/>
      </w:pPr>
      <w:r>
        <w:rPr>
          <w:rFonts w:ascii="Arial" w:cs="Arial" w:eastAsia="Arial" w:hAnsi="Arial"/>
          <w:sz w:val="24"/>
          <w:szCs w:val="24"/>
        </w:rPr>
        <w:t xml:space="preserve">В целях повышения качества системы социальной защиты запланированы разработка и утверждение минимальных социальных стандартов и методики расчета стоимости социальных услуг. Кроме того, намечено создание системы повышения квалификации кадров, построение единой информационной системы в сфере социальной защиты.</w:t>
      </w:r>
    </w:p>
    <w:p>
      <w:pPr>
        <w:spacing w:after="120"/>
        <w:jc w:val="both"/>
      </w:pPr>
      <w:r>
        <w:rPr>
          <w:rFonts w:ascii="Arial" w:cs="Arial" w:eastAsia="Arial" w:hAnsi="Arial"/>
          <w:sz w:val="24"/>
          <w:szCs w:val="24"/>
        </w:rPr>
        <w:t xml:space="preserve">Для улучшения системы социальной защиты семей и детей в трудной жизненной ситуации планируется повышение пособий малообеспеченным семьям, имеющим детей, за счет роста гарантированного минимального дохода (ГМД) на 10% ежегодно. Будет продолжена работа по развитию и внедрению различных форм устройства детей, находящихся в трудной жизненной ситуации, (центры дневного пребывания, приемные семьи, центры адаптации и реабилитации и т.д.).</w:t>
      </w:r>
    </w:p>
    <w:p>
      <w:pPr>
        <w:spacing w:after="120"/>
        <w:jc w:val="both"/>
      </w:pPr>
      <w:r>
        <w:rPr>
          <w:rFonts w:ascii="Arial" w:cs="Arial" w:eastAsia="Arial" w:hAnsi="Arial"/>
          <w:sz w:val="24"/>
          <w:szCs w:val="24"/>
        </w:rPr>
        <w:t xml:space="preserve">В целях снижения ошибок исключения из схемы социальной защиты семей и детей в трудной жизненной ситуации планируется разработка и внедрение механизма использования социального паспорта семьи при составлении индивидуального плана защиты ребенка и Плана индивидуальной работы с семьей.</w:t>
      </w:r>
    </w:p>
    <w:p>
      <w:pPr>
        <w:spacing w:after="120"/>
        <w:jc w:val="both"/>
      </w:pPr>
      <w:r>
        <w:rPr>
          <w:rFonts w:ascii="Arial" w:cs="Arial" w:eastAsia="Arial" w:hAnsi="Arial"/>
          <w:sz w:val="24"/>
          <w:szCs w:val="24"/>
        </w:rPr>
        <w:t xml:space="preserve">Для улучшения качества социальных услуг для лиц с ограниченными возможностями здоровья (ЛОВЗ) будут внедряться новые формы и методы работы в стационарных социальных учреждениях, современные технологии изготовления технических средств реабилитации, специализированные реабилитационные программы при участии ЛОВЗ и членов семей, а также новая система определения инвалидности, с учетом международных стандартов.</w:t>
      </w:r>
    </w:p>
    <w:p>
      <w:pPr>
        <w:spacing w:after="120"/>
        <w:jc w:val="both"/>
      </w:pPr>
      <w:r>
        <w:rPr>
          <w:rFonts w:ascii="Arial" w:cs="Arial" w:eastAsia="Arial" w:hAnsi="Arial"/>
          <w:sz w:val="24"/>
          <w:szCs w:val="24"/>
        </w:rPr>
        <w:t xml:space="preserve">В части пенсионной политики в целях усиления страхового принципа при назначении пенсий предлагается поэтапное выравнивание ставок тарифов страховых взносов для индивидуальных предпринимателей, работающих на рынках, и сельскохозяйственного сектора. Также планируется разработать стимулирующие механизмы взаимодействия с владельцами рынков и торговых площадей по сбору страховых взносов от самозанятых граждан, а также с органами МСУ по сбору страховых взносов от сельскохозяйственного сектора.</w:t>
      </w:r>
    </w:p>
    <w:p>
      <w:pPr>
        <w:spacing w:after="120"/>
        <w:jc w:val="both"/>
      </w:pPr>
      <w:r>
        <w:rPr>
          <w:rFonts w:ascii="Arial" w:cs="Arial" w:eastAsia="Arial" w:hAnsi="Arial"/>
          <w:sz w:val="24"/>
          <w:szCs w:val="24"/>
        </w:rPr>
        <w:t xml:space="preserve">Кроме того, по разным оценкам, свыше 10% от общей численности населения Кыргызстана сегодня работают и проживают в других странах. Их доходы никак не регистрируются, они не делают взносов в систему государственного социального страхования на данный момент и не будут иметь возможности получать пенсию в будущем. В связи с этим будет продолжена работа по совершенствованию межгосударственных соглашений по вовлечению мигрантов в систему государственного социального страхования.</w:t>
      </w:r>
    </w:p>
    <w:p>
      <w:pPr>
        <w:spacing w:after="120"/>
        <w:jc w:val="both"/>
      </w:pPr>
      <w:r>
        <w:rPr>
          <w:rFonts w:ascii="Arial" w:cs="Arial" w:eastAsia="Arial" w:hAnsi="Arial"/>
          <w:sz w:val="24"/>
          <w:szCs w:val="24"/>
        </w:rPr>
        <w:t xml:space="preserve">В рамках инновационной политики ведется работа по дальнейшей автоматизации деятельности Социального фонда Кыргызской Республики. Разработаны блоки «Выплата», «Назначение и перерасчет пенсий» в рамках программы «eLeed». Планируется запустить данные блоки в тестовом режиме и в 2014 году приступить к практической эксплуатации в целях автоматизации процесса назначения, начисления, перерасчета и выплаты пенсий.</w:t>
      </w:r>
    </w:p>
    <w:p>
      <w:pPr>
        <w:spacing w:after="120"/>
        <w:jc w:val="both"/>
      </w:pPr>
      <w:r>
        <w:rPr>
          <w:rFonts w:ascii="Arial" w:cs="Arial" w:eastAsia="Arial" w:hAnsi="Arial"/>
          <w:sz w:val="24"/>
          <w:szCs w:val="24"/>
        </w:rPr>
        <w:t xml:space="preserve">С 1 января 2010 года в пенсионную систему введен накопительный компонент. Основными целями введения накопительной части в пенсионную систему являются:</w:t>
      </w:r>
    </w:p>
    <w:p>
      <w:pPr>
        <w:spacing w:after="120"/>
        <w:jc w:val="both"/>
      </w:pPr>
      <w:r>
        <w:rPr>
          <w:rFonts w:ascii="Arial" w:cs="Arial" w:eastAsia="Arial" w:hAnsi="Arial"/>
          <w:sz w:val="24"/>
          <w:szCs w:val="24"/>
        </w:rPr>
        <w:t xml:space="preserve">- повышение уровня пенсионного обеспечения в Кыргызстане;</w:t>
      </w:r>
    </w:p>
    <w:p>
      <w:pPr>
        <w:spacing w:after="120"/>
        <w:jc w:val="both"/>
      </w:pPr>
      <w:r>
        <w:rPr>
          <w:rFonts w:ascii="Arial" w:cs="Arial" w:eastAsia="Arial" w:hAnsi="Arial"/>
          <w:sz w:val="24"/>
          <w:szCs w:val="24"/>
        </w:rPr>
        <w:t xml:space="preserve">- достижение финансовой стабильности пенсионного фонда в среднесрочной и долгосрочной перспективе;</w:t>
      </w:r>
    </w:p>
    <w:p>
      <w:pPr>
        <w:spacing w:after="120"/>
        <w:jc w:val="both"/>
      </w:pPr>
      <w:r>
        <w:rPr>
          <w:rFonts w:ascii="Arial" w:cs="Arial" w:eastAsia="Arial" w:hAnsi="Arial"/>
          <w:sz w:val="24"/>
          <w:szCs w:val="24"/>
        </w:rPr>
        <w:t xml:space="preserve">- привлечение пенсионных «длинных денег» в качестве инвестиций в экономику страны, и, как следствие, обеспечение связи более высоких темпов экономического роста.</w:t>
      </w:r>
    </w:p>
    <w:p>
      <w:pPr>
        <w:spacing w:after="120"/>
        <w:jc w:val="both"/>
      </w:pPr>
      <w:r>
        <w:rPr>
          <w:rFonts w:ascii="Arial" w:cs="Arial" w:eastAsia="Arial" w:hAnsi="Arial"/>
          <w:sz w:val="24"/>
          <w:szCs w:val="24"/>
        </w:rPr>
        <w:t xml:space="preserve">Планируется ежегодное повышение пенсий, с учетом финансовых возможностей бюджета Социального фонда Кыргызской Республики. В 2014 году номинальный размер пенсии увеличится на 10% по сравнению с 2013 годом.</w:t>
      </w:r>
    </w:p>
    <w:p>
      <w:pPr>
        <w:spacing w:after="120"/>
        <w:jc w:val="both"/>
      </w:pPr>
      <w:r>
        <w:rPr>
          <w:rFonts w:ascii="Arial" w:cs="Arial" w:eastAsia="Arial" w:hAnsi="Arial"/>
          <w:sz w:val="24"/>
          <w:szCs w:val="24"/>
        </w:rPr>
        <w:t xml:space="preserve">В 2014 году политика в сфере образования будет проводиться в рамках Стратегии развития образования в Кыргызской Республике на 2012-2020 годы, и Плана   действий по реализации Стратегии развития образования в Кыргызской Республике на 2012-2014 годы, утвержденных </w:t>
      </w:r>
      <w:hyperlink w:history="1" r:id="rIdtfrjhkykjdx2ati3w_yd8">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23 марта 2012 года № 201, где заложены такие основные направления, как предоставление образовательных услуг соответствующих современному уровню социального, политического и экономического развития страны, равного доступа к качественному образованию, обеспечение конкурентоспособности человеческого капитала республики в региональных и международных процессах.</w:t>
      </w:r>
    </w:p>
    <w:p>
      <w:pPr>
        <w:spacing w:after="120"/>
        <w:jc w:val="both"/>
      </w:pPr>
      <w:r>
        <w:rPr>
          <w:rFonts w:ascii="Arial" w:cs="Arial" w:eastAsia="Arial" w:hAnsi="Arial"/>
          <w:sz w:val="24"/>
          <w:szCs w:val="24"/>
        </w:rPr>
        <w:t xml:space="preserve">В области дошкольного образования предусмотрено повышение охвата детей 5-6 лет (включая детей с ограниченными возможностями) программой предшкольной подготовки через существующую сеть общеобразовательных организаций, организация 240-часовой подготовки детей к школе и начало пилотирования годовой программы подготовки детей к школе. В секторе школьного образования будут реализовываться такие меры, как модернизация содержания образования, с учетом компетентностного подхода, и поддержание функционирования сети школ в соответствии со стандартами, утверждение 20 стандартов нового поколения (куррикулумов) для 5-9 классов. В рамках среднего профессионального образования предполагается разработка стандартов по специальностям, актуальным для экономики Кыргызской Республики, пилотирование программ короткого цикла для обеспечения быстрейшего выхода специалистов на рынок труда. В секторе высшего профессионального образования основные действия будут направлены на переход к двухуровневой структуре высшего профессионального образования, проведение пилотной аккредитации программ в соответствии с заявками вузов.</w:t>
      </w:r>
    </w:p>
    <w:p>
      <w:pPr>
        <w:spacing w:after="120"/>
        <w:jc w:val="both"/>
      </w:pPr>
      <w:r>
        <w:rPr>
          <w:rFonts w:ascii="Arial" w:cs="Arial" w:eastAsia="Arial" w:hAnsi="Arial"/>
          <w:sz w:val="24"/>
          <w:szCs w:val="24"/>
        </w:rPr>
        <w:t xml:space="preserve">Основополагающим документом развития здравоохранения является Национальная программа реформирования здравоохранения «Ден соолук» на 2012-2016 годы, утвержденная </w:t>
      </w:r>
      <w:hyperlink w:history="1" r:id="rIdzpp8xupmkicv-fjhta2c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24 мая 2012 года № 309, где предусмотрено создание необходимых условий для охраны и укрепления здоровья населения республики и каждого человека в отдельности, независимо от социального статуса и гендерных различий. Основываясь на структуру причин заболеваемости и смертности населения в Кыргызской Республике и обязательствах страны по достижению Целей Развития Тысячелетия, ключевыми областями воздействия Программы «Ден соолук» являются: контроль сердечно - сосудистых заболеваний, туберкулеза и ВИЧ/СПИД, охрана здоровья матери и ребенка.</w:t>
      </w:r>
    </w:p>
    <w:p>
      <w:pPr>
        <w:spacing w:after="120"/>
        <w:jc w:val="both"/>
      </w:pPr>
      <w:r>
        <w:rPr>
          <w:rFonts w:ascii="Arial" w:cs="Arial" w:eastAsia="Arial" w:hAnsi="Arial"/>
          <w:sz w:val="24"/>
          <w:szCs w:val="24"/>
        </w:rPr>
        <w:t xml:space="preserve">В рамках Программы государственных гарантий (далее - ПГГ) по обеспечению граждан Кыргызской Республики медико-санитарной помощью будут проводиться мероприятия по обеспечению доступа населения к медицинским услугам и снижению финансового бремени населения при их получении, формированию системы государственного медицинского страхования. В области лекарственного обеспечения в рамках ПГГ в целях обеспечения доступа населения к дорогостоящим и высокотехнологичным видам медицинской помощи будут совершенствоваться механизмы финансирования программы Фонда высоких технологий (далее - ФВТ) на основе прозрачности и справедливости распределения имеющихся ресурсов.</w:t>
      </w:r>
    </w:p>
    <w:p>
      <w:pPr>
        <w:spacing w:after="120"/>
        <w:jc w:val="both"/>
      </w:pPr>
      <w:r>
        <w:rPr>
          <w:rFonts w:ascii="Arial" w:cs="Arial" w:eastAsia="Arial" w:hAnsi="Arial"/>
          <w:sz w:val="24"/>
          <w:szCs w:val="24"/>
        </w:rPr>
        <w:t xml:space="preserve">В области занятости населения планируется разработка и внедрение новых образовательных программ по профессиям, востребованным в отраслях экономики, обучение преподавательского состава новым методикам преподавания и распространение положительного опыта успешных учебных заведений. Будет проводиться работа, направленная на защиту прав и интересов трудовых мигрантов за рубежом, диверсификацию направлений по трудоустройству за рубежом, разработку законопроектов о негосударственном фонде по оказанию социального обеспечения трудовым мигрантам и методологии статистического учета занятых за рубежом, а также разработку нормативно-правовой основы создания Миграционного фонда.</w:t>
      </w:r>
    </w:p>
    <w:p>
      <w:pPr>
        <w:spacing w:after="120"/>
        <w:jc w:val="both"/>
      </w:pPr>
      <w:r>
        <w:rPr>
          <w:rFonts w:ascii="Arial" w:cs="Arial" w:eastAsia="Arial" w:hAnsi="Arial"/>
          <w:sz w:val="24"/>
          <w:szCs w:val="24"/>
        </w:rPr>
        <w:t xml:space="preserve">Прогнозируемый рост в экономике и меры по содействию занятости в 2014 году повлекут создание рабочих мест и рост численности занятых в экономике от 2352,7 тыс. чел. в 2013 году до 2391,3 тыс. чел. в 2014 году. Уровень общей безработицы, соответственно, упадет с 8,3 ед. в 2013 году до 8,1 ед. в 2014 году.</w:t>
      </w:r>
    </w:p>
    <w:p>
      <w:pPr>
        <w:spacing w:after="120"/>
        <w:jc w:val="both"/>
      </w:pPr>
      <w:r>
        <w:rPr>
          <w:rFonts w:ascii="Arial" w:cs="Arial" w:eastAsia="Arial" w:hAnsi="Arial"/>
          <w:sz w:val="24"/>
          <w:szCs w:val="24"/>
        </w:rPr>
        <w:t xml:space="preserve">Исходя из прогнозируемых параметров развития экономики в 2014 году, основные социальные показатели, характеризующие уровень жизни, будут складываться следующим образом:</w:t>
      </w:r>
    </w:p>
    <w:p>
      <w:pPr>
        <w:spacing w:after="120"/>
        <w:jc w:val="both"/>
      </w:pPr>
      <w:r>
        <w:rPr>
          <w:rFonts w:ascii="Arial" w:cs="Arial" w:eastAsia="Arial" w:hAnsi="Arial"/>
          <w:sz w:val="24"/>
          <w:szCs w:val="24"/>
        </w:rPr>
        <w:t xml:space="preserve">Объем ВВП на душу населения в 2014 году увеличится относительно 2013 года с 1335,0 до 1466,7 долларов США, или на 9,9%.</w:t>
      </w:r>
    </w:p>
    <w:p>
      <w:pPr>
        <w:spacing w:after="120"/>
        <w:jc w:val="both"/>
      </w:pPr>
      <w:r>
        <w:rPr>
          <w:rFonts w:ascii="Arial" w:cs="Arial" w:eastAsia="Arial" w:hAnsi="Arial"/>
          <w:sz w:val="24"/>
          <w:szCs w:val="24"/>
        </w:rPr>
        <w:t xml:space="preserve">Номинальные денежные доходы населения возрастут на 15,3% и их объем составит 289,8 млрд. сомов. С учетом прогнозируемого роста потребительских цен, реальный темп прироста денежных доходов составит 5,6%. В структуре денежных доходов увеличится «заработная плата», где номинальный размер в среднем возрастет на 12,6% и составит 13896 сомов, а реальный рост - на 3,1%. Номинальный размер средней пенсии, с учетом компенсации за электроэнергию, вырастет на 6,5% и составит 4726,0 сома. Прожиточный минимум составит 5091,3 сома.</w:t>
      </w:r>
    </w:p>
    <w:p>
      <w:pPr>
        <w:spacing w:after="120"/>
        <w:jc w:val="both"/>
      </w:pPr>
      <w:r>
        <w:rPr>
          <w:rFonts w:ascii="Arial" w:cs="Arial" w:eastAsia="Arial" w:hAnsi="Arial"/>
          <w:sz w:val="24"/>
          <w:szCs w:val="24"/>
        </w:rPr>
        <w:t xml:space="preserve">Таким образом, прогнозируемый экономический рост в 2014 году на 6,9% будет обеспечен положительным ростом всех секторов экономики. Для достижения прогнозируемых макроэкономических параметров будет проводиться согласованная денежно-кредитная, налогово-бюджетная, инвестиционная, инновационная политика всеми участниками экономического процесса, которые создадут основу для разработки соответствующих мероприятий, включающих комплекс экономических, организационных и правовых мер для поэтапного развития.</w:t>
      </w:r>
    </w:p>
    <w:p>
      <w:pPr>
        <w:spacing w:after="120"/>
        <w:jc w:val="both"/>
      </w:pPr>
      <w:r>
        <w:rPr>
          <w:rFonts w:ascii="Arial" w:cs="Arial" w:eastAsia="Arial" w:hAnsi="Arial"/>
          <w:sz w:val="24"/>
          <w:szCs w:val="24"/>
        </w:rPr>
        <w:t xml:space="preserve">При этом риском уменьшения прогнозируемого показателя роста на 2014 год может быть влияние эффекта высокой базы ожидаемого в 2013 году, вследствие реализации резервов по увеличению объема ВВП (ожидаемые дополнительные объемы на предприятиях по разработке месторождений Кумтор, ОАО «Кыргызалтын»).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Макроэкономический прогноз на 2015-2016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2015-2016 годы главными целями экономической политики будут закрепление наметившихся позитивных тенденций в социально-экономическом развитии, упреждение ожидаемых проблем и обеспечение устойчивого экономического роста в среднем на 6,3% в год.</w:t>
      </w:r>
    </w:p>
    <w:p>
      <w:pPr>
        <w:spacing w:after="120"/>
        <w:jc w:val="both"/>
      </w:pPr>
      <w:r>
        <w:rPr>
          <w:rFonts w:ascii="Arial" w:cs="Arial" w:eastAsia="Arial" w:hAnsi="Arial"/>
          <w:sz w:val="24"/>
          <w:szCs w:val="24"/>
        </w:rPr>
        <w:t xml:space="preserve">Целевые макроэкономические показатели будут достигаться через реализацию крупных национальных проектов, эффективное управление государственными активами страны, реформирование системы государственного регулирования для стимулирования всех отраслей экономики.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21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Реальные вклады секторов производства ВВП на 2015-2016 годы, %</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74"/>
        <w:gridCol w:w="1600"/>
        <w:gridCol w:w="1600"/>
        <w:gridCol w:w="1600"/>
        <w:gridCol w:w="1600"/>
        <w:gridCol w:w="1602"/>
      </w:tblGrid>
      <w:tr>
        <w:tc>
          <w:tcPr>
            <w:tcW w:type="dxa" w:w="217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 г. прогноз</w:t>
            </w:r>
          </w:p>
        </w:tc>
        <w:tc>
          <w:tcPr>
            <w:tcW w:type="dxa" w:w="160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 г. прогноз</w:t>
            </w:r>
          </w:p>
        </w:tc>
        <w:tc>
          <w:tcPr>
            <w:tcW w:type="dxa" w:w="160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Средний удельный вес</w:t>
            </w:r>
          </w:p>
          <w:p>
            <w:pPr>
              <w:jc w:val="left"/>
            </w:pPr>
            <w:r>
              <w:rPr>
                <w:rFonts w:ascii="Arial" w:cs="Arial" w:eastAsia="Arial" w:hAnsi="Arial"/>
                <w:sz w:val="24"/>
                <w:szCs w:val="24"/>
              </w:rPr>
              <w:t xml:space="preserve">на 2015-2016 гг.</w:t>
            </w:r>
          </w:p>
        </w:tc>
        <w:tc>
          <w:tcPr>
            <w:tcW w:type="dxa" w:w="160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Средний темп роста</w:t>
            </w:r>
          </w:p>
          <w:p>
            <w:pPr>
              <w:jc w:val="left"/>
            </w:pPr>
            <w:r>
              <w:rPr>
                <w:rFonts w:ascii="Arial" w:cs="Arial" w:eastAsia="Arial" w:hAnsi="Arial"/>
                <w:sz w:val="24"/>
                <w:szCs w:val="24"/>
              </w:rPr>
              <w:t xml:space="preserve">на 2015-2016 гг.</w:t>
            </w:r>
          </w:p>
        </w:tc>
        <w:tc>
          <w:tcPr>
            <w:tcW w:type="dxa" w:w="160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Вклад в прирост ВВП</w:t>
            </w:r>
          </w:p>
          <w:p>
            <w:pPr>
              <w:jc w:val="left"/>
            </w:pPr>
            <w:r>
              <w:rPr>
                <w:rFonts w:ascii="Arial" w:cs="Arial" w:eastAsia="Arial" w:hAnsi="Arial"/>
                <w:sz w:val="24"/>
                <w:szCs w:val="24"/>
              </w:rPr>
              <w:t xml:space="preserve">на 2015-2016 гг.</w:t>
            </w:r>
          </w:p>
        </w:tc>
      </w:tr>
      <w:tr>
        <w:tc>
          <w:tcPr>
            <w:tcW w:type="dxa" w:w="2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0,97</w:t>
            </w:r>
          </w:p>
        </w:tc>
      </w:tr>
      <w:tr>
        <w:tc>
          <w:tcPr>
            <w:tcW w:type="dxa" w:w="2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удельный вес в структуре ВВП</w:t>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16,9</w:t>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w:t>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16,6</w:t>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темпы реального роста, %</w:t>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108,2</w:t>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103,4</w:t>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w:t>
            </w:r>
          </w:p>
        </w:tc>
        <w:tc>
          <w:tcPr>
            <w:tcW w:type="dxa" w:w="1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0,39</w:t>
            </w:r>
          </w:p>
        </w:tc>
      </w:tr>
      <w:tr>
        <w:tc>
          <w:tcPr>
            <w:tcW w:type="dxa" w:w="2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удельный вес в структуре ВВП</w:t>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15,3</w:t>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14,9</w:t>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w:t>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темпы реального роста, %</w:t>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c>
          <w:tcPr>
            <w:tcW w:type="dxa" w:w="1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w:t>
            </w:r>
          </w:p>
        </w:tc>
      </w:tr>
      <w:tr>
        <w:tc>
          <w:tcPr>
            <w:tcW w:type="dxa" w:w="2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удельный вес в структуре ВВП</w:t>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w:t>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w:t>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w:t>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темпы реального роста, %</w:t>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118,4</w:t>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119,8</w:t>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119,1</w:t>
            </w:r>
          </w:p>
        </w:tc>
        <w:tc>
          <w:tcPr>
            <w:tcW w:type="dxa" w:w="1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Услуги</w:t>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2,76</w:t>
            </w:r>
          </w:p>
        </w:tc>
      </w:tr>
      <w:tr>
        <w:tc>
          <w:tcPr>
            <w:tcW w:type="dxa" w:w="2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удельный вес в структуре ВВП</w:t>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47,1</w:t>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47,4</w:t>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47,3</w:t>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темпы реального роста, %</w:t>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w:t>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105,85</w:t>
            </w:r>
          </w:p>
        </w:tc>
        <w:tc>
          <w:tcPr>
            <w:tcW w:type="dxa" w:w="1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Налоги на продукты и импорт</w:t>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0,86</w:t>
            </w:r>
          </w:p>
        </w:tc>
      </w:tr>
      <w:tr>
        <w:tc>
          <w:tcPr>
            <w:tcW w:type="dxa" w:w="2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удельный вес в структуре ВВП</w:t>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w:t>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w:t>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w:t>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реального роста ВВП, %</w:t>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w:t>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w:t>
            </w:r>
          </w:p>
        </w:tc>
      </w:tr>
      <w:tr>
        <w:tc>
          <w:tcPr>
            <w:tcW w:type="dxa" w:w="2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Дефлятор ВВП</w:t>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108,3</w:t>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Исходя из ожидаемых показателей социально-экономического развития Кыргызской Республики в 2013 году и прогнозируемых показателей на 2014 год, среднегодовой реальный рост ВВП на 2015-2016 годы прогнозируется на уровне 6,3%.</w:t>
      </w:r>
    </w:p>
    <w:p>
      <w:pPr>
        <w:spacing w:after="120"/>
        <w:jc w:val="both"/>
      </w:pPr>
      <w:r>
        <w:rPr>
          <w:rFonts w:ascii="Arial" w:cs="Arial" w:eastAsia="Arial" w:hAnsi="Arial"/>
          <w:sz w:val="24"/>
          <w:szCs w:val="24"/>
        </w:rPr>
        <w:t xml:space="preserve">В секторальном разрезе в 2015-2016 годах прогнозируемые среднегодовые темпы роста составят: в сельском хозяйстве - 2,5%, в промышленности - 5,8%, в строительстве - 19,1%, в сфере предоставления услуг - 5,8%.</w:t>
      </w:r>
    </w:p>
    <w:p>
      <w:pPr>
        <w:spacing w:after="120"/>
        <w:jc w:val="both"/>
      </w:pPr>
      <w:r>
        <w:rPr>
          <w:rFonts w:ascii="Arial" w:cs="Arial" w:eastAsia="Arial" w:hAnsi="Arial"/>
          <w:sz w:val="24"/>
          <w:szCs w:val="24"/>
        </w:rPr>
        <w:t xml:space="preserve">На 2015-2016 годы рост ВВП прогнозируется традиционно в основном за счет Чуйской, Джалал-Абадской, Иссык-Кульской, Ошской областей и гор. Бишкек.</w:t>
      </w:r>
    </w:p>
    <w:p>
      <w:pPr>
        <w:spacing w:after="120"/>
        <w:jc w:val="both"/>
      </w:pPr>
      <w:r>
        <w:rPr>
          <w:rFonts w:ascii="Arial" w:cs="Arial" w:eastAsia="Arial" w:hAnsi="Arial"/>
          <w:sz w:val="24"/>
          <w:szCs w:val="24"/>
        </w:rPr>
        <w:t xml:space="preserve">В целом за период 2015-2016 гг. уровень инфляции прогнозируется на уровне однозначных показателей при условии отсутствия шоков, в основу которого заложено продолжение проведения согласованной денежно-кредитной и бюджетно-налоговой политики, направленной на укрепление тенденций макроэкономической стабильности. При этом основной целью денежно-кредитной политики останется достижение и поддержание стабильности цен.</w:t>
      </w:r>
    </w:p>
    <w:p>
      <w:pPr>
        <w:spacing w:after="120"/>
        <w:jc w:val="both"/>
      </w:pPr>
      <w:r>
        <w:rPr>
          <w:rFonts w:ascii="Arial" w:cs="Arial" w:eastAsia="Arial" w:hAnsi="Arial"/>
          <w:sz w:val="24"/>
          <w:szCs w:val="24"/>
        </w:rPr>
        <w:t xml:space="preserve">В основе прогнозируемого уровня инфляции заложены следующие предпосылки и условия: (а) умеренный рост цен на продовольственные и непродовольственные товары на внутреннем рынке; (б) умеренный рост цен на нефтепродукты (Urals) в пределах 100 долларов США за баррель</w:t>
      </w:r>
      <w:r>
        <w:rPr>
          <w:rFonts w:ascii="Arial" w:cs="Arial" w:eastAsia="Arial" w:hAnsi="Arial"/>
          <w:sz w:val="24"/>
          <w:szCs w:val="24"/>
        </w:rPr>
        <w:t xml:space="preserve">18</w:t>
      </w:r>
      <w:r>
        <w:rPr>
          <w:rFonts w:ascii="Arial" w:cs="Arial" w:eastAsia="Arial" w:hAnsi="Arial"/>
          <w:sz w:val="24"/>
          <w:szCs w:val="24"/>
        </w:rPr>
        <w:t xml:space="preserve">; (в) сдерживание резких колебаний обменного курса инструментами денежно-кредитной политики; (г) сезонные колебания цен на продовольственные товары; (д) вхождение в Таможенный союз, что несет риски к определенному росту цен; (е) умеренные показатели инфляции в странах - основных торговых партнерах (Россия - 5,0%, Казахстан - 6,0-8,0%, Китай - 3,0%, еврозона - 1,5%, мир - 3,5%).</w:t>
      </w:r>
    </w:p>
    <w:p>
      <w:pPr>
        <w:spacing w:after="120"/>
        <w:jc w:val="both"/>
      </w:pPr>
      <w:r>
        <w:rPr>
          <w:rFonts w:ascii="Arial" w:cs="Arial" w:eastAsia="Arial" w:hAnsi="Arial"/>
          <w:sz w:val="24"/>
          <w:szCs w:val="24"/>
        </w:rPr>
        <w:t xml:space="preserve">Во всех секторах экономики прогнозируются положительные темпы роста.</w:t>
      </w:r>
    </w:p>
    <w:p>
      <w:pPr>
        <w:spacing w:after="120"/>
        <w:jc w:val="both"/>
      </w:pPr>
      <w:r>
        <w:rPr>
          <w:rFonts w:ascii="Arial" w:cs="Arial" w:eastAsia="Arial" w:hAnsi="Arial"/>
          <w:sz w:val="24"/>
          <w:szCs w:val="24"/>
        </w:rPr>
        <w:t xml:space="preserve">Сфера услуг в среднесрочной перспективе, по прежнему, будет занимать основную долю в структуре ВВП (47,1%). Реальный рост всех видов услуг в среднем на 6,1% будет поддерживаться реальным ростом денежных доходов населения, прогнозируемых в пределах 7,4% в среднем за год. Прогнозируется, что в 2015-2016 годах создаваемые благоприятные условия для бизнеса в республике будут способствовать развитию сектора услуг, где рост, в основном, будет обеспечен за счет работы таких секторов, как торговля, услуги гостиниц и ресторанов, транспорт и связь.</w:t>
      </w:r>
    </w:p>
    <w:p>
      <w:pPr>
        <w:spacing w:after="120"/>
        <w:jc w:val="both"/>
      </w:pPr>
      <w:r>
        <w:rPr>
          <w:rFonts w:ascii="Arial" w:cs="Arial" w:eastAsia="Arial" w:hAnsi="Arial"/>
          <w:sz w:val="24"/>
          <w:szCs w:val="24"/>
        </w:rPr>
        <w:t xml:space="preserve">Стимулирующим фактором расширения рыночных услуг станет оптимизация и сокращение количества государственных услуг. При этом, удельный вес рыночных услуг увеличится с 77% в 2015 году до 80% в 2016 году. Основными источниками роста и расширения сферы услуг будут торговля, услуги транспорта и связи, удельный вес которых составит в среднем 66,5% в общем объеме рыночных услуг.</w:t>
      </w:r>
    </w:p>
    <w:p>
      <w:pPr>
        <w:spacing w:after="120"/>
        <w:jc w:val="both"/>
      </w:pPr>
      <w:r>
        <w:rPr>
          <w:rFonts w:ascii="Arial" w:cs="Arial" w:eastAsia="Arial" w:hAnsi="Arial"/>
          <w:sz w:val="24"/>
          <w:szCs w:val="24"/>
        </w:rPr>
        <w:t xml:space="preserve">Рост промышленного производства19 на 2015-2016 годы прогнозируется в среднем за год на уровне 105,6%. При этом темпы роста производства без предприятий, разрабатывающих месторождение Кумтор прогнозируются к 2016 году на уровне 105,6%. Рост промышленного производства прогнозируется за счет устойчивой работы действующих промышленных предприятий, возобновления простаивающих производств, освоения и добычи золота на месторождениях Жамгыр, Кумбель, Бозымчак, Иштамберды.</w:t>
      </w:r>
    </w:p>
    <w:p>
      <w:pPr>
        <w:spacing w:after="120"/>
        <w:jc w:val="both"/>
      </w:pPr>
      <w:r>
        <w:rPr>
          <w:rFonts w:ascii="Arial" w:cs="Arial" w:eastAsia="Arial" w:hAnsi="Arial"/>
          <w:sz w:val="24"/>
          <w:szCs w:val="24"/>
        </w:rPr>
        <w:t xml:space="preserve">В 2015-2016 годах прогнозируется увеличение реальных темпов роста сельского хозяйства в среднем на 2,5% за счет принимаемых государством и частным сектором мер по увеличению урожайности растениеводства и увеличению продуктивности животноводства. Будут реализованы мероприятия для достижений реальных темпов роста сельскохозяйственной отрасли к концу 2016 года: 1) систематическое увеличение всей посевной площади сельскохозяйственных культур за счет сокращения неиспользованных земель; 2) увеличение урожайности и валовых сборов сельскохозяйственных культур за счет улучшения почвенного плодородия с применением органических, минеральных и органоминеральных удобрений; 3) увеличение объемов производства семян пшеницы и ячменя с сохранением высоких урожайных свойств, технологических и хлебопекарных качеств возделываемых сортов, путем ежегодного выделения из бюджета республики 35,0 млн. сомов на закупку суперэлитных и элитных семян; 4) реализация проекта Американского агентства ЮСАИД по развитию семенной индустрии Кыргызстана путем поддержки 14 отобранных семеноводческих хозяйств современной сельхозтехникой, оборудованием и семенами, а также наделением дополнительной орошаемой пашней; 5) продолжение обеспечения фермеров необходимой сельхозтехникой на льготных кредитных условях, путем закупа сельхозтехники по лизингу; 6) увеличение объема заготовки всех видов кормов, заготовка на одну условную голову крупного рогатого скота не менее 16-18 центнеров кормовых единиц; 7) создание в каждом айылном аймаке пунктов искусственного осеменения, с использованием ценного генетического материала; 8) использование генофонда сельскохозяйственных животных и птиц, повышение эффективности селекционно-племенной работы.</w:t>
      </w:r>
    </w:p>
    <w:p>
      <w:pPr>
        <w:spacing w:after="120"/>
        <w:jc w:val="both"/>
      </w:pPr>
      <w:r>
        <w:rPr>
          <w:rFonts w:ascii="Arial" w:cs="Arial" w:eastAsia="Arial" w:hAnsi="Arial"/>
          <w:sz w:val="24"/>
          <w:szCs w:val="24"/>
        </w:rPr>
        <w:t xml:space="preserve">Развитие строительного сектора экономики прогнозируется ускоренными темпами и станет одним из значимых направлений, обеспечивающих устойчивый рост национальной экономики в среднесрочной перспективе. На развитие экономики и социальной сферы в 2015-2016 годах по всем источникам финансирования прогнозируется направление от 115,3 млрд. сомов в 2015 году до 146,6 млрд. сомов в 2016 году инвестиций в основной капитал, что составляет в среднем ежегодное увеличение на 20,3%.</w:t>
      </w:r>
    </w:p>
    <w:p>
      <w:pPr>
        <w:spacing w:after="120"/>
        <w:jc w:val="both"/>
      </w:pPr>
      <w:r>
        <w:rPr>
          <w:rFonts w:ascii="Arial" w:cs="Arial" w:eastAsia="Arial" w:hAnsi="Arial"/>
          <w:sz w:val="24"/>
          <w:szCs w:val="24"/>
        </w:rPr>
        <w:t xml:space="preserve">Структура капитальных вложений в 2016 году изменится в сторону увеличения доли внутренних инвестиций с 66,3% в 2015 году до 66,4% и, соответственно, сокращения доли внешних инвестиций с 33,7% до 33,6%. Основную долю в структуре внутренних инвестиций занимают средства предприятий, организаций и населения, составив более 84,7%, а в структуре внешних инвестиций - иностранные кредиты - 64,5%, прямые инвестиции - 25,4%.</w:t>
      </w:r>
    </w:p>
    <w:p>
      <w:pPr>
        <w:spacing w:after="120"/>
        <w:jc w:val="both"/>
      </w:pPr>
      <w:r>
        <w:rPr>
          <w:rFonts w:ascii="Arial" w:cs="Arial" w:eastAsia="Arial" w:hAnsi="Arial"/>
          <w:sz w:val="24"/>
          <w:szCs w:val="24"/>
        </w:rPr>
        <w:t xml:space="preserve">Исходя из прогнозируемого объема освоения капитальных вложений, темп роста строительства в 2015-2016 годах ожидается в среднем на уровне 119,1%. При этом, удельный вес строительной отрасли возрастет с 6,9% к ВВП в 2015 году до 7,8% к ВВП в 2016 году. Влияние строительного сектора на темпы экономического роста на прогнозируемый период будет положительным и составит в среднем 1,27 процентного пункта.</w:t>
      </w:r>
    </w:p>
    <w:p>
      <w:pPr>
        <w:spacing w:after="120"/>
        <w:jc w:val="both"/>
      </w:pPr>
      <w:r>
        <w:rPr>
          <w:rFonts w:ascii="Arial" w:cs="Arial" w:eastAsia="Arial" w:hAnsi="Arial"/>
          <w:sz w:val="24"/>
          <w:szCs w:val="24"/>
        </w:rPr>
        <w:t xml:space="preserve">Приоритетными направлениями в строительстве в 2015-2016 годах будут объекты строительства индивидуального жилья; объекты транспортной магистрали; объекты энергетики (работы по строительству линий электропередачи, связывающих территорию страны в единое энергетическое кольцо). Учитывая ограниченность ресурсов, будут поддерживаться финансирование и развитие исключительно базовой инфраструктуры страны - дороги и коммуникации, энергетика, ирригация.</w:t>
      </w:r>
    </w:p>
    <w:p>
      <w:pPr>
        <w:spacing w:after="120"/>
        <w:jc w:val="both"/>
      </w:pPr>
      <w:r>
        <w:rPr>
          <w:rFonts w:ascii="Arial" w:cs="Arial" w:eastAsia="Arial" w:hAnsi="Arial"/>
          <w:sz w:val="24"/>
          <w:szCs w:val="24"/>
        </w:rPr>
        <w:t xml:space="preserve">Проводимая государством политика в области привлечения инвестиций позволит увеличить уровень частных инвестиций до 28,8% к ВВП в 2016 году. Валовые инвестиции в экономику увеличатся до 35,0% к ВВП в 2016 году, что будет способствовать экономическому росту в среднем на 6,3% за год.</w:t>
      </w:r>
    </w:p>
    <w:p>
      <w:pPr>
        <w:spacing w:after="120"/>
        <w:jc w:val="both"/>
      </w:pPr>
      <w:r>
        <w:rPr>
          <w:rFonts w:ascii="Arial" w:cs="Arial" w:eastAsia="Arial" w:hAnsi="Arial"/>
          <w:sz w:val="24"/>
          <w:szCs w:val="24"/>
        </w:rPr>
        <w:t xml:space="preserve">Прогнозируется увеличение доли частного потребления с 98,5% к ВВП в 2014 году до 101,8% в 2016 году, обусловленное реальным увеличением денежных доходов населения и ростом среднемесячной номинальной заработной платы.</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22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Использование ВВП в 2015-2016 годах, %</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913"/>
        <w:gridCol w:w="1633"/>
        <w:gridCol w:w="1633"/>
      </w:tblGrid>
      <w:tr>
        <w:tc>
          <w:tcPr>
            <w:tcW w:type="dxa" w:w="6913"/>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Показатели</w:t>
            </w:r>
          </w:p>
        </w:tc>
        <w:tc>
          <w:tcPr>
            <w:tcW w:type="dxa" w:w="163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 г.</w:t>
            </w:r>
          </w:p>
        </w:tc>
        <w:tc>
          <w:tcPr>
            <w:tcW w:type="dxa" w:w="163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 г.</w:t>
            </w:r>
          </w:p>
        </w:tc>
      </w:tr>
      <w:tr>
        <w:tc>
          <w:tcPr>
            <w:vMerge w:val="continue"/>
            <w:tcBorders>
              <w:top w:val="single" w:color="CBBF9E" w:sz="4"/>
              <w:left w:val="single" w:color="CBBF9E" w:sz="4"/>
              <w:bottom w:val="single" w:color="CBBF9E" w:sz="4"/>
              <w:right w:val="single" w:color="CBBF9E" w:sz="4"/>
            </w:tcBorders>
          </w:tcP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r>
      <w:tr>
        <w:tc>
          <w:tcPr>
            <w:tcW w:type="dxa" w:w="69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 в рыночных ценах</w:t>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r>
        <w:tc>
          <w:tcPr>
            <w:tcW w:type="dxa" w:w="69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Потребление</w:t>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117,9</w:t>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119,9</w:t>
            </w:r>
          </w:p>
        </w:tc>
      </w:tr>
      <w:tr>
        <w:tc>
          <w:tcPr>
            <w:tcW w:type="dxa" w:w="69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Государственное</w:t>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18,4</w:t>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18,1</w:t>
            </w:r>
          </w:p>
        </w:tc>
      </w:tr>
      <w:tr>
        <w:tc>
          <w:tcPr>
            <w:tcW w:type="dxa" w:w="69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Частное</w:t>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99,5</w:t>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101,8</w:t>
            </w:r>
          </w:p>
        </w:tc>
      </w:tr>
      <w:tr>
        <w:tc>
          <w:tcPr>
            <w:tcW w:type="dxa" w:w="69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Валовые инвестиции</w:t>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34,4</w:t>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w:t>
            </w:r>
          </w:p>
        </w:tc>
      </w:tr>
      <w:tr>
        <w:tc>
          <w:tcPr>
            <w:tcW w:type="dxa" w:w="69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Государственные инвестиции</w:t>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w:t>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w:t>
            </w:r>
          </w:p>
        </w:tc>
      </w:tr>
      <w:tr>
        <w:tc>
          <w:tcPr>
            <w:tcW w:type="dxa" w:w="69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из них ПГИ (внешние)</w:t>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w:t>
            </w:r>
          </w:p>
        </w:tc>
      </w:tr>
      <w:tr>
        <w:tc>
          <w:tcPr>
            <w:tcW w:type="dxa" w:w="69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Частные инвестиции</w:t>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28,8</w:t>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28,8</w:t>
            </w:r>
          </w:p>
        </w:tc>
      </w:tr>
      <w:tr>
        <w:tc>
          <w:tcPr>
            <w:tcW w:type="dxa" w:w="69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Экспорт (товары и нефакторные услуги)</w:t>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48,9</w:t>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47,0</w:t>
            </w:r>
          </w:p>
        </w:tc>
      </w:tr>
      <w:tr>
        <w:tc>
          <w:tcPr>
            <w:tcW w:type="dxa" w:w="69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Импорт (товары и нефакторные услуги)</w:t>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w:t>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101,9</w:t>
            </w:r>
          </w:p>
        </w:tc>
      </w:tr>
      <w:tr>
        <w:tc>
          <w:tcPr>
            <w:tcW w:type="dxa" w:w="69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Чистый экспорт</w:t>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-52,3</w:t>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-54,9</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Основными влияющими факторами на развитие внешнеэкономической деятельности в среднесрочном периоде будут: (а) благоприятное географическое положение Кыргызской Республики по соседству с такими странами, как Россия, Казахстан, Узбекистан и Китай, рынки которых могут обеспечить рост экспортного потенциала Кыргызской Республики; (б) политическая стабильность в соседних государствах; в) активное использование членства Кыргызской Республики в ВТО; (г) вступление в ТС; (д) расширение внешнеэкономического сотрудничества в рамках Шанхайской организации сотрудничества (ШОС), ЕврАзЭС, СНГ; е) углубление сотрудничества с международными экономическими и финансовыми организациями.</w:t>
      </w:r>
    </w:p>
    <w:p>
      <w:pPr>
        <w:spacing w:after="120"/>
        <w:jc w:val="both"/>
      </w:pPr>
      <w:r>
        <w:rPr>
          <w:rFonts w:ascii="Arial" w:cs="Arial" w:eastAsia="Arial" w:hAnsi="Arial"/>
          <w:sz w:val="24"/>
          <w:szCs w:val="24"/>
        </w:rPr>
        <w:t xml:space="preserve">Объем внешнеторгового оборота на 2015-2016 годы будет расти в среднем на 15,4% ежегодно и достигнет уровня 12,8 млрд. долларов США.</w:t>
      </w:r>
    </w:p>
    <w:p>
      <w:pPr>
        <w:spacing w:after="120"/>
        <w:jc w:val="both"/>
      </w:pPr>
      <w:r>
        <w:rPr>
          <w:rFonts w:ascii="Arial" w:cs="Arial" w:eastAsia="Arial" w:hAnsi="Arial"/>
          <w:sz w:val="24"/>
          <w:szCs w:val="24"/>
        </w:rPr>
        <w:t xml:space="preserve">Прогнозируется, что номинальный объем экспорта вырастет до 2,8 млрд. долларов США, и вырастет по сравнению с 2014 годом на 20,4%. Рост экспорта будет обусловлен восстановлением объемов экспортных поставок золота на 35,1%, а также продукции сельскохозяйственного происхождения (овощи и фрукты - на 16,0%), строительных материалов (портландцемент - на 30,1%) и предметов одежды и ее принадлежностей на 31,2%.</w:t>
      </w:r>
    </w:p>
    <w:p>
      <w:pPr>
        <w:spacing w:after="120"/>
        <w:jc w:val="both"/>
      </w:pPr>
      <w:r>
        <w:rPr>
          <w:rFonts w:ascii="Arial" w:cs="Arial" w:eastAsia="Arial" w:hAnsi="Arial"/>
          <w:sz w:val="24"/>
          <w:szCs w:val="24"/>
        </w:rPr>
        <w:t xml:space="preserve">Импортные поступления в страну будут увеличиваться на 17,2% в среднем в год и достигнут уровня 9,95 млрд. долларов США в 2016 году. При этом объем импортированной продукции, по сравнению с 2014 годом, увеличится на 37,1%. Рост импорта будет обусловлен увеличением объема ввоза нефтепродуктов, уровень которого по отношению к 2014 году составит 137,2%, электрических машин, оборудования и аппаратуры, машин - 134,1%, а также продовольственных товаров - 132,0%. Рост ввоза инвестиционных товаров на 13,0% в среднем за год, обусловлен реализацией инвестиционных проектов.</w:t>
      </w:r>
    </w:p>
    <w:p>
      <w:pPr>
        <w:spacing w:after="120"/>
        <w:jc w:val="both"/>
      </w:pPr>
      <w:r>
        <w:rPr>
          <w:rFonts w:ascii="Arial" w:cs="Arial" w:eastAsia="Arial" w:hAnsi="Arial"/>
          <w:sz w:val="24"/>
          <w:szCs w:val="24"/>
        </w:rPr>
        <w:t xml:space="preserve">В результате отрицательное сальдо торгового баланса ухудшится с 4,9 млрд. долларов США в 2014 году до 7,2 млрд. долларов США.</w:t>
      </w:r>
    </w:p>
    <w:p>
      <w:pPr>
        <w:spacing w:after="120"/>
        <w:jc w:val="both"/>
      </w:pPr>
      <w:r>
        <w:rPr>
          <w:rFonts w:ascii="Arial" w:cs="Arial" w:eastAsia="Arial" w:hAnsi="Arial"/>
          <w:sz w:val="24"/>
          <w:szCs w:val="24"/>
        </w:rPr>
        <w:t xml:space="preserve">Отрицательное сальдо чистого экспорта товаров и услуг к ВВП ухудшится с (-) 50,9% в 2014 году до (-) 54,9% в 2016 году.</w:t>
      </w:r>
    </w:p>
    <w:p>
      <w:pPr>
        <w:spacing w:after="120"/>
        <w:jc w:val="both"/>
      </w:pPr>
      <w:r>
        <w:rPr>
          <w:rFonts w:ascii="Arial" w:cs="Arial" w:eastAsia="Arial" w:hAnsi="Arial"/>
          <w:sz w:val="24"/>
          <w:szCs w:val="24"/>
        </w:rPr>
        <w:t xml:space="preserve">Политика социального развития в 2015-2016 годах будет ориентирована на улучшение качества жизни населения и снижение масштабов бедности.</w:t>
      </w:r>
    </w:p>
    <w:p>
      <w:pPr>
        <w:spacing w:after="120"/>
        <w:jc w:val="both"/>
      </w:pPr>
      <w:r>
        <w:rPr>
          <w:rFonts w:ascii="Arial" w:cs="Arial" w:eastAsia="Arial" w:hAnsi="Arial"/>
          <w:sz w:val="24"/>
          <w:szCs w:val="24"/>
        </w:rPr>
        <w:t xml:space="preserve">Основные меры для обеспечения финансовой устойчивости пенсионной системы и повышения размеров пенсий будут направлены на поэтапное выравнивание ставок тарифов страховых взносов для индивидуальных предпринимателей, работающих на рынках, и сельскохозяйственного сектора, разработку и внедрение межгосударственных соглашений по вовлечению мигрантов в систему государственного социального страхования, поддержание базовой части пенсий на уровне не менее 12% от СЗП за предыдущий год, ежегодную индексацию страховых частей пенсии.</w:t>
      </w:r>
    </w:p>
    <w:p>
      <w:pPr>
        <w:spacing w:after="120"/>
        <w:jc w:val="both"/>
      </w:pPr>
      <w:r>
        <w:rPr>
          <w:rFonts w:ascii="Arial" w:cs="Arial" w:eastAsia="Arial" w:hAnsi="Arial"/>
          <w:sz w:val="24"/>
          <w:szCs w:val="24"/>
        </w:rPr>
        <w:t xml:space="preserve">Действия в системе образования будут складываться из следующих приоритетов: повышение эффективности государственного регулирования развития сферы образования, предоставление качественного и доступного образования в соответствии с возрастными потребностями человека.</w:t>
      </w:r>
    </w:p>
    <w:p>
      <w:pPr>
        <w:spacing w:after="120"/>
        <w:jc w:val="both"/>
      </w:pPr>
      <w:r>
        <w:rPr>
          <w:rFonts w:ascii="Arial" w:cs="Arial" w:eastAsia="Arial" w:hAnsi="Arial"/>
          <w:sz w:val="24"/>
          <w:szCs w:val="24"/>
        </w:rPr>
        <w:t xml:space="preserve">Государственная политика в сфере здравоохранения будет направлена на решение задач по таким первостепенным направлениям, как укрепление потенциала системы здравоохранения, направленного на предоставление качественных медицинских услуг населению, создание необходимых условий для охраны и укрепления здоровья населения и каждого человека в отдельности.</w:t>
      </w:r>
    </w:p>
    <w:p>
      <w:pPr>
        <w:spacing w:after="120"/>
        <w:jc w:val="both"/>
      </w:pPr>
      <w:r>
        <w:rPr>
          <w:rFonts w:ascii="Arial" w:cs="Arial" w:eastAsia="Arial" w:hAnsi="Arial"/>
          <w:sz w:val="24"/>
          <w:szCs w:val="24"/>
        </w:rPr>
        <w:t xml:space="preserve">Политика занятости будет, как и прежде, ориентирована на создание дополнительных рабочих мест для роста численности занятых в экономике, на защиту прав и интересов граждан Кыргызстана за рубежом создание благоприятных условий для свободного передвижения товаров, услуг и рабочей силы между Кыргызстаном и Россией, странами Центральной Азии и Турцией.</w:t>
      </w:r>
    </w:p>
    <w:p>
      <w:pPr>
        <w:spacing w:after="120"/>
        <w:jc w:val="both"/>
      </w:pPr>
      <w:r>
        <w:rPr>
          <w:rFonts w:ascii="Arial" w:cs="Arial" w:eastAsia="Arial" w:hAnsi="Arial"/>
          <w:sz w:val="24"/>
          <w:szCs w:val="24"/>
        </w:rPr>
        <w:t xml:space="preserve">Прогнозируется реальный рост денежных доходов населения в среднем на 7,4%. Источником роста денежных доходов будет устойчивый экономический рост, прогнозируемый на период 2015-2016 годов. В структуре денежных доходов номинальный размер средней заработной платы возрастет на 24% к уровню 2014 года и составит в 2016 году 17242,2 сома. Размер прожиточного минимума увеличится с 5091,3 сома в 2014 году до 5878,1 сома в 2016 году. Коэффициент отношения средней заработной платы к размеру прожиточного минимума трудоспособного населения сложится на уровне 2,6.</w:t>
      </w:r>
    </w:p>
    <w:p>
      <w:pPr>
        <w:spacing w:after="120"/>
        <w:jc w:val="both"/>
      </w:pPr>
      <w:r>
        <w:rPr>
          <w:rFonts w:ascii="Arial" w:cs="Arial" w:eastAsia="Arial" w:hAnsi="Arial"/>
          <w:sz w:val="24"/>
          <w:szCs w:val="24"/>
        </w:rPr>
        <w:t xml:space="preserve">Номинальный размер пенсии увеличится относительно 2014 года на 12,5% и составит в 2016 году 5316,0 сомов.</w:t>
      </w:r>
    </w:p>
    <w:p>
      <w:pPr>
        <w:spacing w:after="120"/>
        <w:jc w:val="both"/>
      </w:pPr>
      <w:r>
        <w:rPr>
          <w:rFonts w:ascii="Arial" w:cs="Arial" w:eastAsia="Arial" w:hAnsi="Arial"/>
          <w:sz w:val="24"/>
          <w:szCs w:val="24"/>
        </w:rPr>
        <w:t xml:space="preserve">Прогнозируется, что уровень общей безработицы снизится и составит в 2016 году 7,8% относительно 8,1% в 2014 году.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Заключение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Важным условием выполнения прогнозируемых целевых показателей для устойчивого развития экономики Кыргызской Республики является сохранение политической стабильности, как основы для проведения макроэкономической политики, а также минимизация влияющих на экономику внешних и внутренних шоков.</w:t>
      </w:r>
    </w:p>
    <w:p>
      <w:pPr>
        <w:spacing w:after="120"/>
        <w:jc w:val="both"/>
      </w:pPr>
      <w:r>
        <w:rPr>
          <w:rFonts w:ascii="Arial" w:cs="Arial" w:eastAsia="Arial" w:hAnsi="Arial"/>
          <w:sz w:val="24"/>
          <w:szCs w:val="24"/>
        </w:rPr>
        <w:t xml:space="preserve">Целевые макроэкономические показатели будут достигаться через реализацию крупных национальных проектов, эффективное управление государственными активами страны, реформирование системы государственного регулирования для стимулирования всех отраслей экономики.</w:t>
      </w:r>
    </w:p>
    <w:p>
      <w:pPr>
        <w:spacing w:after="120"/>
        <w:jc w:val="both"/>
      </w:pPr>
      <w:r>
        <w:rPr>
          <w:rFonts w:ascii="Arial" w:cs="Arial" w:eastAsia="Arial" w:hAnsi="Arial"/>
          <w:sz w:val="24"/>
          <w:szCs w:val="24"/>
        </w:rPr>
        <w:t xml:space="preserve">Экономический рост будет поддерживаться со стороны всех секторов реальной экономики, формирующих ВВП страны. Максимальный вклад прогнозируется от работы объектов и предприятий сферы услуг и промышленности.</w:t>
      </w:r>
    </w:p>
    <w:p>
      <w:pPr>
        <w:spacing w:after="120"/>
        <w:jc w:val="both"/>
      </w:pPr>
      <w:r>
        <w:rPr>
          <w:rFonts w:ascii="Arial" w:cs="Arial" w:eastAsia="Arial" w:hAnsi="Arial"/>
          <w:sz w:val="24"/>
          <w:szCs w:val="24"/>
        </w:rPr>
        <w:t xml:space="preserve">Восстановление и сохранение благоприятного инвестиционного климата, гибкая регуляторная политика в сфере предпринимательства, предсказуемость и стабильность законодательства будут способствовать экономическому росту, прогнозируемому на период 2014-2016 годы на уровне 6,5% в среднем за год.</w:t>
      </w:r>
    </w:p>
    <w:p>
      <w:pPr>
        <w:spacing w:after="120"/>
        <w:jc w:val="both"/>
      </w:pPr>
      <w:r>
        <w:rPr>
          <w:rFonts w:ascii="Arial" w:cs="Arial" w:eastAsia="Arial" w:hAnsi="Arial"/>
          <w:sz w:val="24"/>
          <w:szCs w:val="24"/>
        </w:rPr>
        <w:t xml:space="preserve">Прогнозируемые показатели основаны на Национальной стратегии устойчивого развития Кыргызской Республики на период 2013-2017 годы, которая будет реализоваться через разработку и осуществление ежегодных планов во взаимосвязи с пакетом национальных проектов с бюджетными и внебюджетными источниками финансирования.</w:t>
      </w:r>
    </w:p>
    <w:p>
      <w:pPr>
        <w:spacing w:after="120"/>
        <w:jc w:val="both"/>
      </w:pPr>
      <w:r>
        <w:rPr>
          <w:rFonts w:ascii="Arial" w:cs="Arial" w:eastAsia="Arial" w:hAnsi="Arial"/>
          <w:sz w:val="24"/>
          <w:szCs w:val="24"/>
        </w:rPr>
        <w:t xml:space="preserve">На основании данных мониторинга и анализа социально-экономического развития Кыргызской Республики будут периодически детально анализироваться достигнутый прогресс, определяться «слабые места» и на основании полученных результатов оперативно пересматриваться прогнозные значения показателей.</w:t>
      </w:r>
    </w:p>
    <w:p>
      <w:pPr>
        <w:spacing w:after="120"/>
        <w:jc w:val="both"/>
      </w:pPr>
      <w:r>
        <w:rPr>
          <w:rFonts w:ascii="Arial" w:cs="Arial" w:eastAsia="Arial" w:hAnsi="Arial"/>
          <w:sz w:val="24"/>
          <w:szCs w:val="24"/>
        </w:rPr>
        <w:t xml:space="preserve">Правительством Кыргызской Республики при необходимости будет разработана система мер, направленных на смягчение возможного шокового воздействия на экономику негативных процессов, связанных с ухудшением мировой конъюнктуры, и возникающих внутренних неблагоприятных условий.</w:t>
      </w:r>
    </w:p>
    <w:p>
      <w:pPr>
        <w:spacing w:after="120"/>
        <w:jc w:val="both"/>
      </w:pPr>
      <w:r>
        <w:rPr>
          <w:rFonts w:ascii="Arial" w:cs="Arial" w:eastAsia="Arial" w:hAnsi="Arial"/>
          <w:sz w:val="24"/>
          <w:szCs w:val="24"/>
        </w:rPr>
        <w:t xml:space="preserve">Перечень показателей прогноза социально-экономического развития Кыргызской Республики определен в приложениях 1-15 к настоящему Прогнозу социально-экономического развития Кыргызской Республики на 2014 год и 2015-2016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w:t>
      </w:r>
    </w:p>
    <w:p>
      <w:pPr>
        <w:spacing w:after="120"/>
        <w:jc w:val="both"/>
      </w:pPr>
      <w:r>
        <w:rPr>
          <w:rFonts w:ascii="Arial" w:cs="Arial" w:eastAsia="Arial" w:hAnsi="Arial"/>
          <w:sz w:val="24"/>
          <w:szCs w:val="24"/>
        </w:rPr>
        <w:t xml:space="preserve">1 Показатели приведены по валовой добавленной стоимости</w:t>
      </w:r>
    </w:p>
    <w:p>
      <w:pPr>
        <w:spacing w:after="120"/>
        <w:jc w:val="both"/>
      </w:pPr>
      <w:r>
        <w:rPr>
          <w:rFonts w:ascii="Arial" w:cs="Arial" w:eastAsia="Arial" w:hAnsi="Arial"/>
          <w:sz w:val="24"/>
          <w:szCs w:val="24"/>
        </w:rPr>
        <w:t xml:space="preserve">2 По данным НБКР</w:t>
      </w:r>
    </w:p>
    <w:p>
      <w:pPr>
        <w:spacing w:after="120"/>
        <w:jc w:val="both"/>
      </w:pPr>
      <w:r>
        <w:rPr>
          <w:rFonts w:ascii="Arial" w:cs="Arial" w:eastAsia="Arial" w:hAnsi="Arial"/>
          <w:sz w:val="24"/>
          <w:szCs w:val="24"/>
        </w:rPr>
        <w:t xml:space="preserve">3 Темпы прироста приведены по ВДС</w:t>
      </w:r>
    </w:p>
    <w:p>
      <w:pPr>
        <w:spacing w:after="120"/>
        <w:jc w:val="both"/>
      </w:pPr>
      <w:r>
        <w:rPr>
          <w:rFonts w:ascii="Arial" w:cs="Arial" w:eastAsia="Arial" w:hAnsi="Arial"/>
          <w:sz w:val="24"/>
          <w:szCs w:val="24"/>
        </w:rPr>
        <w:t xml:space="preserve">4 ОАО «Айыл Банк», ОАО «РСК Банк», ОАО «Залкар Банк», ЗАО «КИКБ» и ОАО «Коммерческий Банк «Кыргызстан».</w:t>
      </w:r>
    </w:p>
    <w:p>
      <w:pPr>
        <w:spacing w:after="120"/>
        <w:jc w:val="both"/>
      </w:pPr>
      <w:r>
        <w:rPr>
          <w:rFonts w:ascii="Arial" w:cs="Arial" w:eastAsia="Arial" w:hAnsi="Arial"/>
          <w:sz w:val="24"/>
          <w:szCs w:val="24"/>
        </w:rPr>
        <w:t xml:space="preserve">5 По оценке МВФ по состоянию на апрель 2013 г.</w:t>
      </w:r>
    </w:p>
    <w:p>
      <w:pPr>
        <w:spacing w:after="120"/>
        <w:jc w:val="both"/>
      </w:pPr>
      <w:r>
        <w:rPr>
          <w:rFonts w:ascii="Arial" w:cs="Arial" w:eastAsia="Arial" w:hAnsi="Arial"/>
          <w:sz w:val="24"/>
          <w:szCs w:val="24"/>
        </w:rPr>
        <w:t xml:space="preserve">6 Собственные прогнозы стран.</w:t>
      </w:r>
    </w:p>
    <w:p>
      <w:pPr>
        <w:spacing w:after="120"/>
        <w:jc w:val="both"/>
      </w:pPr>
      <w:r>
        <w:rPr>
          <w:rFonts w:ascii="Arial" w:cs="Arial" w:eastAsia="Arial" w:hAnsi="Arial"/>
          <w:sz w:val="24"/>
          <w:szCs w:val="24"/>
        </w:rPr>
        <w:t xml:space="preserve">7 Рассчитывается The London Gold Market Fixing Ltd</w:t>
      </w:r>
    </w:p>
    <w:p>
      <w:pPr>
        <w:spacing w:after="120"/>
        <w:jc w:val="both"/>
      </w:pPr>
      <w:r>
        <w:rPr>
          <w:rFonts w:ascii="Arial" w:cs="Arial" w:eastAsia="Arial" w:hAnsi="Arial"/>
          <w:sz w:val="24"/>
          <w:szCs w:val="24"/>
        </w:rPr>
        <w:t xml:space="preserve">8 На октябрь месяц 2013 года.</w:t>
      </w:r>
    </w:p>
    <w:p>
      <w:pPr>
        <w:spacing w:after="120"/>
        <w:jc w:val="both"/>
      </w:pPr>
      <w:r>
        <w:rPr>
          <w:rFonts w:ascii="Arial" w:cs="Arial" w:eastAsia="Arial" w:hAnsi="Arial"/>
          <w:sz w:val="24"/>
          <w:szCs w:val="24"/>
        </w:rPr>
        <w:t xml:space="preserve">9 Оценка МЭ КР.</w:t>
      </w:r>
    </w:p>
    <w:p>
      <w:pPr>
        <w:spacing w:after="120"/>
        <w:jc w:val="both"/>
      </w:pPr>
      <w:r>
        <w:rPr>
          <w:rFonts w:ascii="Arial" w:cs="Arial" w:eastAsia="Arial" w:hAnsi="Arial"/>
          <w:sz w:val="24"/>
          <w:szCs w:val="24"/>
        </w:rPr>
        <w:t xml:space="preserve">10 Снижение цены на 6,0% по сравнению с аналогичным периодом прошлого года.</w:t>
      </w:r>
    </w:p>
    <w:p>
      <w:pPr>
        <w:spacing w:after="120"/>
        <w:jc w:val="both"/>
      </w:pPr>
      <w:r>
        <w:rPr>
          <w:rFonts w:ascii="Arial" w:cs="Arial" w:eastAsia="Arial" w:hAnsi="Arial"/>
          <w:sz w:val="24"/>
          <w:szCs w:val="24"/>
        </w:rPr>
        <w:t xml:space="preserve">11 Темпы прироста приведены по ВДС.</w:t>
      </w:r>
    </w:p>
    <w:p>
      <w:pPr>
        <w:spacing w:after="120"/>
        <w:jc w:val="both"/>
      </w:pPr>
      <w:r>
        <w:rPr>
          <w:rFonts w:ascii="Arial" w:cs="Arial" w:eastAsia="Arial" w:hAnsi="Arial"/>
          <w:sz w:val="24"/>
          <w:szCs w:val="24"/>
        </w:rPr>
        <w:t xml:space="preserve">12 Прогноз Министерства экономического развития РФ</w:t>
      </w:r>
    </w:p>
    <w:p>
      <w:pPr>
        <w:spacing w:after="120"/>
        <w:jc w:val="both"/>
      </w:pPr>
      <w:r>
        <w:rPr>
          <w:rFonts w:ascii="Arial" w:cs="Arial" w:eastAsia="Arial" w:hAnsi="Arial"/>
          <w:sz w:val="24"/>
          <w:szCs w:val="24"/>
        </w:rPr>
        <w:t xml:space="preserve">13 Без учета стоимости переработанного давальческого сырья.</w:t>
      </w:r>
    </w:p>
    <w:p>
      <w:pPr>
        <w:spacing w:after="120"/>
        <w:jc w:val="both"/>
      </w:pPr>
      <w:r>
        <w:rPr>
          <w:rFonts w:ascii="Arial" w:cs="Arial" w:eastAsia="Arial" w:hAnsi="Arial"/>
          <w:sz w:val="24"/>
          <w:szCs w:val="24"/>
        </w:rPr>
        <w:t xml:space="preserve">14 Темпы прироста приведены по ВДС</w:t>
      </w:r>
    </w:p>
    <w:p>
      <w:pPr>
        <w:spacing w:after="120"/>
        <w:jc w:val="both"/>
      </w:pPr>
      <w:r>
        <w:rPr>
          <w:rFonts w:ascii="Arial" w:cs="Arial" w:eastAsia="Arial" w:hAnsi="Arial"/>
          <w:sz w:val="24"/>
          <w:szCs w:val="24"/>
        </w:rPr>
        <w:t xml:space="preserve">15 Прогноз Министерства экономического развития РФ.</w:t>
      </w:r>
    </w:p>
    <w:p>
      <w:pPr>
        <w:spacing w:after="120"/>
        <w:jc w:val="both"/>
      </w:pPr>
      <w:r>
        <w:rPr>
          <w:rFonts w:ascii="Arial" w:cs="Arial" w:eastAsia="Arial" w:hAnsi="Arial"/>
          <w:sz w:val="24"/>
          <w:szCs w:val="24"/>
        </w:rPr>
        <w:t xml:space="preserve">16 </w:t>
      </w:r>
      <w:r>
        <w:rPr>
          <w:rFonts w:ascii="Arial" w:cs="Arial" w:eastAsia="Arial" w:hAnsi="Arial"/>
          <w:sz w:val="24"/>
          <w:szCs w:val="24"/>
        </w:rPr>
        <w:t xml:space="preserve">Публикация</w:t>
      </w:r>
      <w:r>
        <w:rPr>
          <w:rFonts w:ascii="Arial" w:cs="Arial" w:eastAsia="Arial" w:hAnsi="Arial"/>
          <w:sz w:val="24"/>
          <w:szCs w:val="24"/>
        </w:rPr>
        <w:t xml:space="preserve"> WEF «World Economic Forum: Global Competitiveness Report 2012-2013».</w:t>
      </w:r>
    </w:p>
    <w:p>
      <w:pPr>
        <w:spacing w:after="120"/>
        <w:jc w:val="both"/>
      </w:pPr>
      <w:r>
        <w:rPr>
          <w:rFonts w:ascii="Arial" w:cs="Arial" w:eastAsia="Arial" w:hAnsi="Arial"/>
          <w:sz w:val="24"/>
          <w:szCs w:val="24"/>
        </w:rPr>
        <w:t xml:space="preserve">17 Без учета стоимости переработанного давальческого сырья</w:t>
      </w:r>
    </w:p>
    <w:p>
      <w:pPr>
        <w:spacing w:after="120"/>
        <w:jc w:val="both"/>
      </w:pPr>
      <w:r>
        <w:rPr>
          <w:rFonts w:ascii="Arial" w:cs="Arial" w:eastAsia="Arial" w:hAnsi="Arial"/>
          <w:sz w:val="24"/>
          <w:szCs w:val="24"/>
        </w:rPr>
        <w:t xml:space="preserve">18 Прогноз Министерства экономического развития РФ</w:t>
      </w:r>
    </w:p>
    <w:p>
      <w:pPr>
        <w:spacing w:after="120"/>
        <w:jc w:val="both"/>
      </w:pPr>
      <w:r>
        <w:rPr>
          <w:rFonts w:ascii="Arial" w:cs="Arial" w:eastAsia="Arial" w:hAnsi="Arial"/>
          <w:sz w:val="24"/>
          <w:szCs w:val="24"/>
        </w:rPr>
        <w:t xml:space="preserve">19 Без учета стоимости переработанного давальческого сырья</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
 к Прогнозу социально-экономического развития Кыргызской Республики на 2014 год и 2015-2016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социально-экономического развития Кыргызской Республики на 2014 год и 2015-2016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72"/>
        <w:gridCol w:w="765"/>
        <w:gridCol w:w="798"/>
        <w:gridCol w:w="662"/>
        <w:gridCol w:w="662"/>
        <w:gridCol w:w="765"/>
        <w:gridCol w:w="765"/>
        <w:gridCol w:w="765"/>
        <w:gridCol w:w="662"/>
        <w:gridCol w:w="662"/>
      </w:tblGrid>
      <w:tr>
        <w:tc>
          <w:tcPr>
            <w:tcW w:type="dxa" w:w="3672"/>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w:t>
            </w:r>
          </w:p>
        </w:tc>
        <w:tc>
          <w:tcPr>
            <w:tcW w:type="dxa" w:w="76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w:t>
            </w:r>
          </w:p>
          <w:p>
            <w:pPr>
              <w:jc w:val="left"/>
            </w:pPr>
            <w:r>
              <w:rPr>
                <w:rFonts w:ascii="Arial" w:cs="Arial" w:eastAsia="Arial" w:hAnsi="Arial"/>
                <w:sz w:val="24"/>
                <w:szCs w:val="24"/>
              </w:rPr>
              <w:t xml:space="preserve">измер.</w:t>
            </w:r>
          </w:p>
        </w:tc>
        <w:tc>
          <w:tcPr>
            <w:tcW w:type="dxa" w:w="79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66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w:t>
            </w:r>
          </w:p>
        </w:tc>
        <w:tc>
          <w:tcPr>
            <w:tcW w:type="dxa" w:w="66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w:t>
            </w:r>
          </w:p>
        </w:tc>
        <w:tc>
          <w:tcPr>
            <w:tcW w:type="dxa" w:w="2295"/>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66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 г.</w:t>
            </w:r>
          </w:p>
        </w:tc>
        <w:tc>
          <w:tcPr>
            <w:tcW w:type="dxa" w:w="66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 г.</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предв. факт</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 - март</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 - июнь</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 - сент.</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r>
      <w:tr>
        <w:tc>
          <w:tcPr>
            <w:tcW w:type="dxa" w:w="10178"/>
            <w:gridSpan w:val="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 ВВП:</w:t>
            </w:r>
          </w:p>
        </w:tc>
      </w:tr>
      <w:tr>
        <w:tc>
          <w:tcPr>
            <w:tcW w:type="dxa" w:w="36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Номинальный ВВП</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304350,1</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351140,8</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401030,0</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142906,9</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262620,5</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65683,9</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463175,4</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524850,8</w:t>
            </w:r>
          </w:p>
        </w:tc>
      </w:tr>
      <w:tr>
        <w:tc>
          <w:tcPr>
            <w:tcW w:type="dxa" w:w="36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99,1</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r>
      <w:tr>
        <w:tc>
          <w:tcPr>
            <w:tcW w:type="dxa" w:w="36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Дефлятор</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107,4</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106,7</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104,1</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108,3</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r>
      <w:tr>
        <w:tc>
          <w:tcPr>
            <w:tcW w:type="dxa" w:w="36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Добавленная стоимость</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51180,4</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59370,3</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66537,9</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14051,6</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23653,9</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37159,0</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78306,0</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85078,6</w:t>
            </w:r>
          </w:p>
        </w:tc>
      </w:tr>
      <w:tr>
        <w:tc>
          <w:tcPr>
            <w:tcW w:type="dxa" w:w="36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79,4</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119,0</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113,2</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115,5</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113,3</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111,2</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108,2</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103,4</w:t>
            </w:r>
          </w:p>
        </w:tc>
      </w:tr>
      <w:tr>
        <w:tc>
          <w:tcPr>
            <w:tcW w:type="dxa" w:w="36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53190,1</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58472,5</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64473,0</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6197,6</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17870,3</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53774,2</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71041,2</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77987,2</w:t>
            </w:r>
          </w:p>
        </w:tc>
      </w:tr>
      <w:tr>
        <w:tc>
          <w:tcPr>
            <w:tcW w:type="dxa" w:w="36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101,6</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r>
      <w:tr>
        <w:tc>
          <w:tcPr>
            <w:tcW w:type="dxa" w:w="36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17234,2</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20803,8</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25498,7</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2503,2</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7497,7</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15762,3</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32092,5</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40907,4</w:t>
            </w:r>
          </w:p>
        </w:tc>
      </w:tr>
      <w:tr>
        <w:tc>
          <w:tcPr>
            <w:tcW w:type="dxa" w:w="36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117,3</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112,5</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115,5</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114,8</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119,8</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115,4</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118,4</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119,8</w:t>
            </w:r>
          </w:p>
        </w:tc>
      </w:tr>
      <w:tr>
        <w:tc>
          <w:tcPr>
            <w:tcW w:type="dxa" w:w="36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Услуги</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141887,2</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164672,3</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189495,6</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31013,8</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72517,7</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125077,2</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218144,5</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248825,6</w:t>
            </w:r>
          </w:p>
        </w:tc>
      </w:tr>
      <w:tr>
        <w:tc>
          <w:tcPr>
            <w:tcW w:type="dxa" w:w="36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105,3</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103,9</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104,4</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104,9</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w:t>
            </w:r>
          </w:p>
        </w:tc>
      </w:tr>
      <w:tr>
        <w:tc>
          <w:tcPr>
            <w:tcW w:type="dxa" w:w="36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Чистые налоги на продукты</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40858,2</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47821,9</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55024,8</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12192,1</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24886,7</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33530,8</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63591,2</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72052,0</w:t>
            </w:r>
          </w:p>
        </w:tc>
      </w:tr>
      <w:tr>
        <w:tc>
          <w:tcPr>
            <w:tcW w:type="dxa" w:w="36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Справка:</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 без учета предприятий по разработке месторождения Кумтор</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284131,4</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327560,2</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375207,6</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133756,5</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251796,3</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59536,5</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431796,9</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493472,3</w:t>
            </w:r>
          </w:p>
        </w:tc>
      </w:tr>
      <w:tr>
        <w:tc>
          <w:tcPr>
            <w:tcW w:type="dxa" w:w="36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104,5</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r>
      <w:tr>
        <w:tc>
          <w:tcPr>
            <w:tcW w:type="dxa" w:w="36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Дефлятор</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109,3</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108,5</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108,3</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r>
      <w:tr>
        <w:tc>
          <w:tcPr>
            <w:tcW w:type="dxa" w:w="36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II. Использование ВВП:</w:t>
            </w:r>
          </w:p>
        </w:tc>
      </w:tr>
      <w:tr>
        <w:tc>
          <w:tcPr>
            <w:tcW w:type="dxa" w:w="36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Конечное потребление</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357057,9</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409784,5</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469550,8</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546084,0</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629463,4</w:t>
            </w:r>
          </w:p>
        </w:tc>
      </w:tr>
      <w:tr>
        <w:tc>
          <w:tcPr>
            <w:tcW w:type="dxa" w:w="36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В том числе:</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Частное потребление</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296750,2</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342972,8</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395119,4</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461024,9</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534436,7</w:t>
            </w:r>
          </w:p>
        </w:tc>
      </w:tr>
      <w:tr>
        <w:tc>
          <w:tcPr>
            <w:tcW w:type="dxa" w:w="36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115,2</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108,0</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104,8</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r>
      <w:tr>
        <w:tc>
          <w:tcPr>
            <w:tcW w:type="dxa" w:w="36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108,0</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108,5</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111,3</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108,9</w:t>
            </w:r>
          </w:p>
        </w:tc>
      </w:tr>
      <w:tr>
        <w:tc>
          <w:tcPr>
            <w:tcW w:type="dxa" w:w="36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Государственное потребление</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60307,7</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66811,8</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74431,5</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85059,1</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95026,7</w:t>
            </w:r>
          </w:p>
        </w:tc>
      </w:tr>
      <w:tr>
        <w:tc>
          <w:tcPr>
            <w:tcW w:type="dxa" w:w="36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102,2</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102,2</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102,4</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102,4</w:t>
            </w:r>
          </w:p>
        </w:tc>
      </w:tr>
      <w:tr>
        <w:tc>
          <w:tcPr>
            <w:tcW w:type="dxa" w:w="36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113,2</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108,4</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108,9</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111,6</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109,1</w:t>
            </w:r>
          </w:p>
        </w:tc>
      </w:tr>
      <w:tr>
        <w:tc>
          <w:tcPr>
            <w:tcW w:type="dxa" w:w="36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Валовые инвестиции</w:t>
            </w:r>
            <w:r>
              <w:rPr>
                <w:rFonts w:ascii="Arial" w:cs="Arial" w:eastAsia="Arial" w:hAnsi="Arial"/>
                <w:sz w:val="24"/>
                <w:szCs w:val="24"/>
              </w:rPr>
              <w:t xml:space="preserve">1</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100188,0</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116952,1</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135523,4</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159209,7</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183489,0</w:t>
            </w:r>
          </w:p>
        </w:tc>
      </w:tr>
      <w:tr>
        <w:tc>
          <w:tcPr>
            <w:tcW w:type="dxa" w:w="36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127,7</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107,4</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106,7</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r>
      <w:tr>
        <w:tc>
          <w:tcPr>
            <w:tcW w:type="dxa" w:w="36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107,7</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108,6</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108,2</w:t>
            </w:r>
          </w:p>
        </w:tc>
      </w:tr>
      <w:tr>
        <w:tc>
          <w:tcPr>
            <w:tcW w:type="dxa" w:w="36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В том числе:</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Государственные инвестиции</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18853,1</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18691,7</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23139,4</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26069,7</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32780,5</w:t>
            </w:r>
          </w:p>
        </w:tc>
      </w:tr>
      <w:tr>
        <w:tc>
          <w:tcPr>
            <w:tcW w:type="dxa" w:w="36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них ПГИ (внешние)</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15629,2</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14781,3</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16763,8</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15162,8</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17064,5</w:t>
            </w:r>
          </w:p>
        </w:tc>
      </w:tr>
      <w:tr>
        <w:tc>
          <w:tcPr>
            <w:tcW w:type="dxa" w:w="36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Частные инвестиции</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81334,9</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98260,4</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112384,0</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133140,0</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150708,5</w:t>
            </w:r>
          </w:p>
        </w:tc>
      </w:tr>
      <w:tr>
        <w:tc>
          <w:tcPr>
            <w:tcW w:type="dxa" w:w="36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Сальдо экспорта-импорта</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-152896</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-175596</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-204044</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-242118</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-288102</w:t>
            </w:r>
          </w:p>
        </w:tc>
      </w:tr>
      <w:tr>
        <w:tc>
          <w:tcPr>
            <w:tcW w:type="dxa" w:w="36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В том числе:</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Экспорт товаров и услуг</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150532,6</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178456,4</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200707,7</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226652,0</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246572,9</w:t>
            </w:r>
          </w:p>
        </w:tc>
      </w:tr>
      <w:tr>
        <w:tc>
          <w:tcPr>
            <w:tcW w:type="dxa" w:w="36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88,7</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107,7</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104,9</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103,4</w:t>
            </w:r>
          </w:p>
        </w:tc>
      </w:tr>
      <w:tr>
        <w:tc>
          <w:tcPr>
            <w:tcW w:type="dxa" w:w="36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108,8</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r>
      <w:tr>
        <w:tc>
          <w:tcPr>
            <w:tcW w:type="dxa" w:w="36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Импорт товаров и услуг</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303428,5</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354052,2</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404752,0</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468770,3</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534674,4</w:t>
            </w:r>
          </w:p>
        </w:tc>
      </w:tr>
      <w:tr>
        <w:tc>
          <w:tcPr>
            <w:tcW w:type="dxa" w:w="36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118,5</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104,5</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104,2</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104,8</w:t>
            </w:r>
          </w:p>
        </w:tc>
      </w:tr>
      <w:tr>
        <w:tc>
          <w:tcPr>
            <w:tcW w:type="dxa" w:w="36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109,7</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109,0</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109,4</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111,1</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108,8</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08"/>
        <w:gridCol w:w="1012"/>
        <w:gridCol w:w="680"/>
        <w:gridCol w:w="680"/>
        <w:gridCol w:w="680"/>
        <w:gridCol w:w="665"/>
        <w:gridCol w:w="665"/>
        <w:gridCol w:w="665"/>
        <w:gridCol w:w="665"/>
        <w:gridCol w:w="680"/>
        <w:gridCol w:w="680"/>
      </w:tblGrid>
      <w:tr>
        <w:tc>
          <w:tcPr>
            <w:tcW w:type="dxa" w:w="3108"/>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w:t>
            </w:r>
          </w:p>
        </w:tc>
        <w:tc>
          <w:tcPr>
            <w:tcW w:type="dxa" w:w="101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w:t>
            </w:r>
          </w:p>
          <w:p>
            <w:pPr>
              <w:jc w:val="left"/>
            </w:pPr>
            <w:r>
              <w:rPr>
                <w:rFonts w:ascii="Arial" w:cs="Arial" w:eastAsia="Arial" w:hAnsi="Arial"/>
                <w:sz w:val="24"/>
                <w:szCs w:val="24"/>
              </w:rPr>
              <w:t xml:space="preserve">измер.</w:t>
            </w:r>
          </w:p>
        </w:tc>
        <w:tc>
          <w:tcPr>
            <w:tcW w:type="dxa" w:w="68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68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w:t>
            </w:r>
          </w:p>
        </w:tc>
        <w:tc>
          <w:tcPr>
            <w:tcW w:type="dxa" w:w="68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w:t>
            </w:r>
          </w:p>
        </w:tc>
        <w:tc>
          <w:tcPr>
            <w:tcW w:type="dxa" w:w="2660"/>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68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 г.</w:t>
            </w:r>
          </w:p>
        </w:tc>
        <w:tc>
          <w:tcPr>
            <w:tcW w:type="dxa" w:w="68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 г.</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предв. факт</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r>
      <w:tr>
        <w:tc>
          <w:tcPr>
            <w:tcW w:type="dxa" w:w="10180"/>
            <w:gridSpan w:val="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III. Социальные показатели</w:t>
            </w:r>
          </w:p>
        </w:tc>
      </w:tr>
      <w:tr>
        <w:tc>
          <w:tcPr>
            <w:tcW w:type="dxa" w:w="31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 на душу населения*</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сомов</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56,9</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64,6</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72,6</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26,7</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48,3</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82,2</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92,9</w:t>
            </w:r>
          </w:p>
        </w:tc>
      </w:tr>
      <w:tr>
        <w:tc>
          <w:tcPr>
            <w:tcW w:type="dxa" w:w="31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 на душу населения*</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долл. США</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1209,7</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1335,0</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1466,7</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24,4</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53,9</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99,9</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1611,8</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1799,9</w:t>
            </w:r>
          </w:p>
        </w:tc>
      </w:tr>
      <w:tr>
        <w:tc>
          <w:tcPr>
            <w:tcW w:type="dxa" w:w="31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Уровень бедности</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38,0</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36,9</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35,5</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33,2</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32,5</w:t>
            </w:r>
          </w:p>
        </w:tc>
      </w:tr>
      <w:tr>
        <w:tc>
          <w:tcPr>
            <w:tcW w:type="dxa" w:w="31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Денежные доходы*населения</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218212,7</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251364,5</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289789,2</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70149,6</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140404,8</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213814,0</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333481,6</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386214,0</w:t>
            </w:r>
          </w:p>
        </w:tc>
      </w:tr>
      <w:tr>
        <w:tc>
          <w:tcPr>
            <w:tcW w:type="dxa" w:w="31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108,4</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107,4</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107,4</w:t>
            </w:r>
          </w:p>
        </w:tc>
      </w:tr>
      <w:tr>
        <w:tc>
          <w:tcPr>
            <w:tcW w:type="dxa" w:w="31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Прожиточный минимум</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сомов в месяц</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4341,2</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4662,4</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5091,3</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4955,7</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5164,0</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5167,9</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5353,2</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5452,8</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5878,1</w:t>
            </w:r>
          </w:p>
        </w:tc>
      </w:tr>
      <w:tr>
        <w:tc>
          <w:tcPr>
            <w:tcW w:type="dxa" w:w="31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Прожиточный минимум взрослого населения трудоспособного возраста</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сомов в месяц</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4850,3</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5209,2</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5688,5</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5523,3</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5778,3</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5785,2</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5971,5</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6092,4</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6567,6</w:t>
            </w:r>
          </w:p>
        </w:tc>
      </w:tr>
      <w:tr>
        <w:tc>
          <w:tcPr>
            <w:tcW w:type="dxa" w:w="31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Прожиточный минимум взрослого населения пенсионного возраста</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сомов в месяц</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3858,3</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4143,8</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4525,0</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4407,3</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4593,6</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4597,0</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4761,6</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4846,3</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5224,3</w:t>
            </w:r>
          </w:p>
        </w:tc>
      </w:tr>
      <w:tr>
        <w:tc>
          <w:tcPr>
            <w:tcW w:type="dxa" w:w="31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Среднегодовая наличная численность населения*</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чел.</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5352,3</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5434,4</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5507,3</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5478,0</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5488,0</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5497,2</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5572,6</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5645,2</w:t>
            </w:r>
          </w:p>
        </w:tc>
      </w:tr>
      <w:tr>
        <w:tc>
          <w:tcPr>
            <w:tcW w:type="dxa" w:w="31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Среднемесячная заработная плата2 *</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сомов</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11090</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12344,5</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13896,7</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12689,9</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13153,8</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13250,0</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15625,2</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17242,2</w:t>
            </w:r>
          </w:p>
        </w:tc>
      </w:tr>
      <w:tr>
        <w:tc>
          <w:tcPr>
            <w:tcW w:type="dxa" w:w="31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116,0</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103,6</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103,1</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109,7</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102,8</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102,9</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102,4</w:t>
            </w:r>
          </w:p>
        </w:tc>
      </w:tr>
      <w:tr>
        <w:tc>
          <w:tcPr>
            <w:tcW w:type="dxa" w:w="31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 к ПМ на трудоспособное население</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228,6</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237,0</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244,3</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256,5</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262,5</w:t>
            </w:r>
          </w:p>
        </w:tc>
      </w:tr>
      <w:tr>
        <w:tc>
          <w:tcPr>
            <w:tcW w:type="dxa" w:w="31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Среднемесячный размер пенсий3</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сомов</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4192,0</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4438,0</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4726,0</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5011,0</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5316,0</w:t>
            </w:r>
          </w:p>
        </w:tc>
      </w:tr>
      <w:tr>
        <w:tc>
          <w:tcPr>
            <w:tcW w:type="dxa" w:w="31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r>
      <w:tr>
        <w:tc>
          <w:tcPr>
            <w:tcW w:type="dxa" w:w="31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 к ПМ пенсионера</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108,6</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104,4</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103,4</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101,8</w:t>
            </w:r>
          </w:p>
        </w:tc>
      </w:tr>
      <w:tr>
        <w:tc>
          <w:tcPr>
            <w:tcW w:type="dxa" w:w="31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потребительских цен (ИПЦ)*</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 декабрю предыдущего года</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108,0</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103,9</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104,2</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108,0</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107,9</w:t>
            </w:r>
          </w:p>
        </w:tc>
      </w:tr>
      <w:tr>
        <w:tc>
          <w:tcPr>
            <w:tcW w:type="dxa" w:w="31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 предыдущему году</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102,8</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107,4</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109,2</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108,9</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109,7</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109,6</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109,2</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r>
      <w:tr>
        <w:tc>
          <w:tcPr>
            <w:tcW w:type="dxa" w:w="31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Обменный курс</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сом/ долл. США</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47,4</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48,4</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49,5</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49,3</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49,5</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48,3</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51,0</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51,6</w:t>
            </w:r>
          </w:p>
        </w:tc>
      </w:tr>
      <w:tr>
        <w:tc>
          <w:tcPr>
            <w:tcW w:type="dxa" w:w="31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0"/>
            <w:gridSpan w:val="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IV. Трудовые ресурсы</w:t>
            </w:r>
          </w:p>
        </w:tc>
      </w:tr>
      <w:tr>
        <w:tc>
          <w:tcPr>
            <w:tcW w:type="dxa" w:w="31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Численность экономически активного населения</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чел</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2528,3</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2564,8</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2601,7</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2569,0</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2580,0</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2590,0</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2601,7</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2641,7</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2682,3</w:t>
            </w:r>
          </w:p>
        </w:tc>
      </w:tr>
      <w:tr>
        <w:tc>
          <w:tcPr>
            <w:tcW w:type="dxa" w:w="31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101,4</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101,4</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100,5</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101,4</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w:t>
            </w:r>
          </w:p>
        </w:tc>
      </w:tr>
      <w:tr>
        <w:tc>
          <w:tcPr>
            <w:tcW w:type="dxa" w:w="31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Численность занятого населения</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чел</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2316,5</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2352,7</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2391,3</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2362,4</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2372,1</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2381,7</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2391,3</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2436,1</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2472,2</w:t>
            </w:r>
          </w:p>
        </w:tc>
      </w:tr>
      <w:tr>
        <w:tc>
          <w:tcPr>
            <w:tcW w:type="dxa" w:w="31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101,7</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101,6</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101,6</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100,4</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100,8</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101,3</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101,6</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101,9</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w:t>
            </w:r>
          </w:p>
        </w:tc>
      </w:tr>
      <w:tr>
        <w:tc>
          <w:tcPr>
            <w:tcW w:type="dxa" w:w="31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Численность безработных (общая)</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чел.</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211,8</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212,1</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211,2</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212,0</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211,8</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211,5</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211,2</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210,4</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210,1</w:t>
            </w:r>
          </w:p>
        </w:tc>
      </w:tr>
      <w:tr>
        <w:tc>
          <w:tcPr>
            <w:tcW w:type="dxa" w:w="31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Уровень общей безработицы</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w:t>
            </w:r>
          </w:p>
        </w:tc>
      </w:tr>
      <w:tr>
        <w:tc>
          <w:tcPr>
            <w:tcW w:type="dxa" w:w="310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роста</w:t>
            </w:r>
          </w:p>
        </w:tc>
        <w:tc>
          <w:tcPr>
            <w:tcW w:type="dxa" w:w="10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6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101,5</w:t>
            </w:r>
          </w:p>
        </w:tc>
        <w:tc>
          <w:tcPr>
            <w:tcW w:type="dxa" w:w="6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101,4</w:t>
            </w:r>
          </w:p>
        </w:tc>
        <w:tc>
          <w:tcPr>
            <w:tcW w:type="dxa" w:w="6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101,4</w:t>
            </w:r>
          </w:p>
        </w:tc>
        <w:tc>
          <w:tcPr>
            <w:tcW w:type="dxa" w:w="6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100,1</w:t>
            </w:r>
          </w:p>
        </w:tc>
        <w:tc>
          <w:tcPr>
            <w:tcW w:type="dxa" w:w="6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100,5</w:t>
            </w:r>
          </w:p>
        </w:tc>
        <w:tc>
          <w:tcPr>
            <w:tcW w:type="dxa" w:w="6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101,0</w:t>
            </w:r>
          </w:p>
        </w:tc>
        <w:tc>
          <w:tcPr>
            <w:tcW w:type="dxa" w:w="6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101,4</w:t>
            </w:r>
          </w:p>
        </w:tc>
        <w:tc>
          <w:tcPr>
            <w:tcW w:type="dxa" w:w="6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101,5</w:t>
            </w:r>
          </w:p>
        </w:tc>
        <w:tc>
          <w:tcPr>
            <w:tcW w:type="dxa" w:w="6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101,5</w:t>
            </w:r>
          </w:p>
        </w:tc>
      </w:tr>
      <w:tr>
        <w:tc>
          <w:tcPr>
            <w:tcW w:type="dxa" w:w="310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Численность занятого населения</w:t>
            </w:r>
          </w:p>
        </w:tc>
        <w:tc>
          <w:tcPr>
            <w:tcW w:type="dxa" w:w="10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тыс. чел</w:t>
            </w:r>
          </w:p>
        </w:tc>
        <w:tc>
          <w:tcPr>
            <w:tcW w:type="dxa" w:w="6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2316,5</w:t>
            </w:r>
          </w:p>
        </w:tc>
        <w:tc>
          <w:tcPr>
            <w:tcW w:type="dxa" w:w="6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2352,7</w:t>
            </w:r>
          </w:p>
        </w:tc>
        <w:tc>
          <w:tcPr>
            <w:tcW w:type="dxa" w:w="6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2391,3</w:t>
            </w:r>
          </w:p>
        </w:tc>
        <w:tc>
          <w:tcPr>
            <w:tcW w:type="dxa" w:w="6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2362,4</w:t>
            </w:r>
          </w:p>
        </w:tc>
        <w:tc>
          <w:tcPr>
            <w:tcW w:type="dxa" w:w="6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2372,1</w:t>
            </w:r>
          </w:p>
        </w:tc>
        <w:tc>
          <w:tcPr>
            <w:tcW w:type="dxa" w:w="6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2381,7</w:t>
            </w:r>
          </w:p>
        </w:tc>
        <w:tc>
          <w:tcPr>
            <w:tcW w:type="dxa" w:w="6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2391,3</w:t>
            </w:r>
          </w:p>
        </w:tc>
        <w:tc>
          <w:tcPr>
            <w:tcW w:type="dxa" w:w="6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2436,1</w:t>
            </w:r>
          </w:p>
        </w:tc>
        <w:tc>
          <w:tcPr>
            <w:tcW w:type="dxa" w:w="6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2472,2</w:t>
            </w:r>
          </w:p>
        </w:tc>
      </w:tr>
      <w:tr>
        <w:tc>
          <w:tcPr>
            <w:tcW w:type="dxa" w:w="310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роста</w:t>
            </w:r>
          </w:p>
        </w:tc>
        <w:tc>
          <w:tcPr>
            <w:tcW w:type="dxa" w:w="10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6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101,7</w:t>
            </w:r>
          </w:p>
        </w:tc>
        <w:tc>
          <w:tcPr>
            <w:tcW w:type="dxa" w:w="6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101,6</w:t>
            </w:r>
          </w:p>
        </w:tc>
        <w:tc>
          <w:tcPr>
            <w:tcW w:type="dxa" w:w="6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101,6</w:t>
            </w:r>
          </w:p>
        </w:tc>
        <w:tc>
          <w:tcPr>
            <w:tcW w:type="dxa" w:w="6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100,4</w:t>
            </w:r>
          </w:p>
        </w:tc>
        <w:tc>
          <w:tcPr>
            <w:tcW w:type="dxa" w:w="6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100,8</w:t>
            </w:r>
          </w:p>
        </w:tc>
        <w:tc>
          <w:tcPr>
            <w:tcW w:type="dxa" w:w="6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101,3</w:t>
            </w:r>
          </w:p>
        </w:tc>
        <w:tc>
          <w:tcPr>
            <w:tcW w:type="dxa" w:w="6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101,6</w:t>
            </w:r>
          </w:p>
        </w:tc>
        <w:tc>
          <w:tcPr>
            <w:tcW w:type="dxa" w:w="6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101,9</w:t>
            </w:r>
          </w:p>
        </w:tc>
        <w:tc>
          <w:tcPr>
            <w:tcW w:type="dxa" w:w="6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101,5</w:t>
            </w:r>
          </w:p>
        </w:tc>
      </w:tr>
      <w:tr>
        <w:tc>
          <w:tcPr>
            <w:tcW w:type="dxa" w:w="310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Численность безработных (общая)</w:t>
            </w:r>
          </w:p>
        </w:tc>
        <w:tc>
          <w:tcPr>
            <w:tcW w:type="dxa" w:w="10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тыс. чел.</w:t>
            </w:r>
          </w:p>
        </w:tc>
        <w:tc>
          <w:tcPr>
            <w:tcW w:type="dxa" w:w="6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211,8</w:t>
            </w:r>
          </w:p>
        </w:tc>
        <w:tc>
          <w:tcPr>
            <w:tcW w:type="dxa" w:w="6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212,1</w:t>
            </w:r>
          </w:p>
        </w:tc>
        <w:tc>
          <w:tcPr>
            <w:tcW w:type="dxa" w:w="6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211,2</w:t>
            </w:r>
          </w:p>
        </w:tc>
        <w:tc>
          <w:tcPr>
            <w:tcW w:type="dxa" w:w="6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212,0</w:t>
            </w:r>
          </w:p>
        </w:tc>
        <w:tc>
          <w:tcPr>
            <w:tcW w:type="dxa" w:w="6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211,8</w:t>
            </w:r>
          </w:p>
        </w:tc>
        <w:tc>
          <w:tcPr>
            <w:tcW w:type="dxa" w:w="6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211,5</w:t>
            </w:r>
          </w:p>
        </w:tc>
        <w:tc>
          <w:tcPr>
            <w:tcW w:type="dxa" w:w="6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211,2</w:t>
            </w:r>
          </w:p>
        </w:tc>
        <w:tc>
          <w:tcPr>
            <w:tcW w:type="dxa" w:w="6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210,4</w:t>
            </w:r>
          </w:p>
        </w:tc>
        <w:tc>
          <w:tcPr>
            <w:tcW w:type="dxa" w:w="6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210,1</w:t>
            </w:r>
          </w:p>
        </w:tc>
      </w:tr>
      <w:tr>
        <w:tc>
          <w:tcPr>
            <w:tcW w:type="dxa" w:w="310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Уровень общей безработицы</w:t>
            </w:r>
          </w:p>
        </w:tc>
        <w:tc>
          <w:tcPr>
            <w:tcW w:type="dxa" w:w="10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6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8,4</w:t>
            </w:r>
          </w:p>
        </w:tc>
        <w:tc>
          <w:tcPr>
            <w:tcW w:type="dxa" w:w="6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8,3</w:t>
            </w:r>
          </w:p>
        </w:tc>
        <w:tc>
          <w:tcPr>
            <w:tcW w:type="dxa" w:w="6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8,1</w:t>
            </w:r>
          </w:p>
        </w:tc>
        <w:tc>
          <w:tcPr>
            <w:tcW w:type="dxa" w:w="6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8,2</w:t>
            </w:r>
          </w:p>
        </w:tc>
        <w:tc>
          <w:tcPr>
            <w:tcW w:type="dxa" w:w="6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8,2</w:t>
            </w:r>
          </w:p>
        </w:tc>
        <w:tc>
          <w:tcPr>
            <w:tcW w:type="dxa" w:w="6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8,1</w:t>
            </w:r>
          </w:p>
        </w:tc>
        <w:tc>
          <w:tcPr>
            <w:tcW w:type="dxa" w:w="6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8,1</w:t>
            </w:r>
          </w:p>
        </w:tc>
        <w:tc>
          <w:tcPr>
            <w:tcW w:type="dxa" w:w="6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7,9</w:t>
            </w:r>
          </w:p>
        </w:tc>
        <w:tc>
          <w:tcPr>
            <w:tcW w:type="dxa" w:w="6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7,8</w:t>
            </w:r>
          </w:p>
        </w:tc>
      </w:tr>
    </w:tbl>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2
 к Прогнозу социально-экономического развития Кыргызской Республики на 2014 год и 2015-2016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Структура производства и конечного использования ВВП на 2014 год и 2015-2016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321"/>
        <w:gridCol w:w="771"/>
        <w:gridCol w:w="771"/>
        <w:gridCol w:w="771"/>
        <w:gridCol w:w="771"/>
        <w:gridCol w:w="771"/>
      </w:tblGrid>
      <w:tr>
        <w:tc>
          <w:tcPr>
            <w:tcW w:type="dxa" w:w="6321"/>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w:t>
            </w:r>
          </w:p>
        </w:tc>
        <w:tc>
          <w:tcPr>
            <w:tcW w:type="dxa" w:w="77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77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w:t>
            </w:r>
          </w:p>
        </w:tc>
        <w:tc>
          <w:tcPr>
            <w:tcW w:type="dxa" w:w="77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w:t>
            </w:r>
          </w:p>
        </w:tc>
        <w:tc>
          <w:tcPr>
            <w:tcW w:type="dxa" w:w="77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 г.</w:t>
            </w:r>
          </w:p>
        </w:tc>
        <w:tc>
          <w:tcPr>
            <w:tcW w:type="dxa" w:w="77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 г.</w:t>
            </w:r>
          </w:p>
        </w:tc>
      </w:tr>
      <w:tr>
        <w:tc>
          <w:tcPr>
            <w:vMerge w:val="continue"/>
            <w:tcBorders>
              <w:top w:val="single" w:color="CBBF9E" w:sz="4"/>
              <w:left w:val="single" w:color="CBBF9E" w:sz="4"/>
              <w:bottom w:val="single" w:color="CBBF9E" w:sz="4"/>
              <w:right w:val="single" w:color="CBBF9E" w:sz="4"/>
            </w:tcBorders>
          </w:tcP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w:t>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r>
      <w:tr>
        <w:tc>
          <w:tcPr>
            <w:tcW w:type="dxa" w:w="10176"/>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Национальные счета (% от ВВП)</w:t>
            </w:r>
          </w:p>
        </w:tc>
      </w:tr>
      <w:tr>
        <w:tc>
          <w:tcPr>
            <w:tcW w:type="dxa" w:w="10176"/>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 ВВП</w:t>
            </w:r>
          </w:p>
        </w:tc>
      </w:tr>
      <w:tr>
        <w:tc>
          <w:tcPr>
            <w:tcW w:type="dxa" w:w="6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w:t>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16,7</w:t>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16,1</w:t>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15,3</w:t>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14,9</w:t>
            </w:r>
          </w:p>
        </w:tc>
      </w:tr>
      <w:tr>
        <w:tc>
          <w:tcPr>
            <w:tcW w:type="dxa" w:w="6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w:t>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16,9</w:t>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16,6</w:t>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16,9</w:t>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w:t>
            </w:r>
          </w:p>
        </w:tc>
      </w:tr>
      <w:tr>
        <w:tc>
          <w:tcPr>
            <w:tcW w:type="dxa" w:w="6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Справка:</w:t>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 без учета предприятий по разработке месторождения Кумтор</w:t>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w:t>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w:t>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w:t>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w:t>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w:t>
            </w:r>
          </w:p>
        </w:tc>
      </w:tr>
      <w:tr>
        <w:tc>
          <w:tcPr>
            <w:tcW w:type="dxa" w:w="6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w:t>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w:t>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w:t>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w:t>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w:t>
            </w:r>
          </w:p>
        </w:tc>
      </w:tr>
      <w:tr>
        <w:tc>
          <w:tcPr>
            <w:tcW w:type="dxa" w:w="6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Услуги</w:t>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46,6</w:t>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46,9</w:t>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47,3</w:t>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47,1</w:t>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47,4</w:t>
            </w:r>
          </w:p>
        </w:tc>
      </w:tr>
      <w:tr>
        <w:tc>
          <w:tcPr>
            <w:tcW w:type="dxa" w:w="6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Налоги на продукты</w:t>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w:t>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w:t>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w:t>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w:t>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w:t>
            </w:r>
          </w:p>
        </w:tc>
      </w:tr>
      <w:tr>
        <w:tc>
          <w:tcPr>
            <w:tcW w:type="dxa" w:w="6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6"/>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Использование ВВП</w:t>
            </w:r>
          </w:p>
        </w:tc>
      </w:tr>
      <w:tr>
        <w:tc>
          <w:tcPr>
            <w:tcW w:type="dxa" w:w="6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Потребление</w:t>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117,3</w:t>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116,7</w:t>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117,1</w:t>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117,9</w:t>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119,9</w:t>
            </w:r>
          </w:p>
        </w:tc>
      </w:tr>
      <w:tr>
        <w:tc>
          <w:tcPr>
            <w:tcW w:type="dxa" w:w="6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Государственное</w:t>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19,8</w:t>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w:t>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18,6</w:t>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18,4</w:t>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18,1</w:t>
            </w:r>
          </w:p>
        </w:tc>
      </w:tr>
      <w:tr>
        <w:tc>
          <w:tcPr>
            <w:tcW w:type="dxa" w:w="6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Частное</w:t>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97,5</w:t>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97,7</w:t>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98,5</w:t>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99,5</w:t>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101,8</w:t>
            </w:r>
          </w:p>
        </w:tc>
      </w:tr>
      <w:tr>
        <w:tc>
          <w:tcPr>
            <w:tcW w:type="dxa" w:w="6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Валовые инвестиции1</w:t>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32,9</w:t>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33,3</w:t>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33,8</w:t>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34,4</w:t>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w:t>
            </w:r>
          </w:p>
        </w:tc>
      </w:tr>
      <w:tr>
        <w:tc>
          <w:tcPr>
            <w:tcW w:type="dxa" w:w="6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Государственные инвестиции</w:t>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w:t>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w:t>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w:t>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w:t>
            </w:r>
          </w:p>
        </w:tc>
      </w:tr>
      <w:tr>
        <w:tc>
          <w:tcPr>
            <w:tcW w:type="dxa" w:w="6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них ПГИ (внешние)</w:t>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w:t>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w:t>
            </w:r>
          </w:p>
        </w:tc>
      </w:tr>
      <w:tr>
        <w:tc>
          <w:tcPr>
            <w:tcW w:type="dxa" w:w="6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Частные инвестиции</w:t>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26,7</w:t>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28,0</w:t>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28,0</w:t>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28,8</w:t>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28,8</w:t>
            </w:r>
          </w:p>
        </w:tc>
      </w:tr>
      <w:tr>
        <w:tc>
          <w:tcPr>
            <w:tcW w:type="dxa" w:w="6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Экспорт (товары и услуги)</w:t>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49,5</w:t>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50,8</w:t>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48,9</w:t>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47,0</w:t>
            </w:r>
          </w:p>
        </w:tc>
      </w:tr>
      <w:tr>
        <w:tc>
          <w:tcPr>
            <w:tcW w:type="dxa" w:w="6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Импорт (товары и услуги)</w:t>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99,7</w:t>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100,8</w:t>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100,9</w:t>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w:t>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101,9</w:t>
            </w:r>
          </w:p>
        </w:tc>
      </w:tr>
      <w:tr>
        <w:tc>
          <w:tcPr>
            <w:tcW w:type="dxa" w:w="6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Чистый экспорт товаров и услуг</w:t>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-50,2</w:t>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-50,9</w:t>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-52,3</w:t>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-54,9</w:t>
            </w:r>
          </w:p>
        </w:tc>
      </w:tr>
    </w:tbl>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3</w:t>
      </w:r>
      <w:r>
        <w:rPr>
          <w:rFonts w:ascii="Arial" w:cs="Arial" w:eastAsia="Arial" w:hAnsi="Arial"/>
          <w:sz w:val="24"/>
          <w:szCs w:val="24"/>
        </w:rPr>
        <w:t xml:space="preserve">
 к Прогнозу социально-экономического развития Кыргызской Республики на 2014 год и 2015-2016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Валовая продукция и темпы роста в секторах, формирующих ВВП, на 2014 и 2015-2016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69"/>
        <w:gridCol w:w="798"/>
        <w:gridCol w:w="733"/>
        <w:gridCol w:w="680"/>
        <w:gridCol w:w="647"/>
        <w:gridCol w:w="647"/>
        <w:gridCol w:w="647"/>
        <w:gridCol w:w="678"/>
        <w:gridCol w:w="678"/>
      </w:tblGrid>
      <w:tr>
        <w:tc>
          <w:tcPr>
            <w:tcW w:type="dxa" w:w="4669"/>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Наименование</w:t>
            </w:r>
          </w:p>
        </w:tc>
        <w:tc>
          <w:tcPr>
            <w:tcW w:type="dxa" w:w="79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73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w:t>
            </w:r>
          </w:p>
        </w:tc>
        <w:tc>
          <w:tcPr>
            <w:tcW w:type="dxa" w:w="68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w:t>
            </w:r>
          </w:p>
        </w:tc>
        <w:tc>
          <w:tcPr>
            <w:tcW w:type="dxa" w:w="1941"/>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67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 г.</w:t>
            </w:r>
          </w:p>
        </w:tc>
        <w:tc>
          <w:tcPr>
            <w:tcW w:type="dxa" w:w="67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2016г.</w:t>
            </w:r>
          </w:p>
        </w:tc>
      </w:tr>
      <w:tr>
        <w:tc>
          <w:tcPr>
            <w:vMerge w:val="continue"/>
            <w:tcBorders>
              <w:top w:val="single" w:color="CBBF9E" w:sz="4"/>
              <w:left w:val="single" w:color="CBBF9E" w:sz="4"/>
              <w:bottom w:val="single" w:color="CBBF9E" w:sz="4"/>
              <w:right w:val="single" w:color="CBBF9E" w:sz="4"/>
            </w:tcBorders>
          </w:tcP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предв. факт</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 - март</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 - июнь</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 - сент.</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r>
      <w:tr>
        <w:tc>
          <w:tcPr>
            <w:tcW w:type="dxa" w:w="46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 (включая рыбное хозяйство), млн. сомов</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167560,1</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184200,8</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203103,5</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18661,3</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52995,1</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160422,3</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223794,7</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245676,2</w:t>
            </w:r>
          </w:p>
        </w:tc>
      </w:tr>
      <w:tr>
        <w:tc>
          <w:tcPr>
            <w:tcW w:type="dxa" w:w="46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101,6</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r>
      <w:tr>
        <w:tc>
          <w:tcPr>
            <w:tcW w:type="dxa" w:w="46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111,0</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108,2</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108,1</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104,7</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w:t>
            </w:r>
          </w:p>
        </w:tc>
      </w:tr>
      <w:tr>
        <w:tc>
          <w:tcPr>
            <w:tcW w:type="dxa" w:w="46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Промышленность4, млн. сомов</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134 867,3</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157 277,6</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176 264,5</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37 050,4</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68 644,9</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103 085,1</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207 438,7</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225 381,3</w:t>
            </w:r>
          </w:p>
        </w:tc>
      </w:tr>
      <w:tr>
        <w:tc>
          <w:tcPr>
            <w:tcW w:type="dxa" w:w="46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77,2</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118,2</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112,8</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115,3</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112,5</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111,0</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108,0</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103,3</w:t>
            </w:r>
          </w:p>
        </w:tc>
      </w:tr>
      <w:tr>
        <w:tc>
          <w:tcPr>
            <w:tcW w:type="dxa" w:w="46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99,8</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98,6</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99,4</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96,4</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108,9</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r>
      <w:tr>
        <w:tc>
          <w:tcPr>
            <w:tcW w:type="dxa" w:w="46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Промышленность5, млн. сомов</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133 822,9</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155 224,9</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173 333,8</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37 658,7</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67 870,5</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100 758,3</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203 456,5</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220 793,5</w:t>
            </w:r>
          </w:p>
        </w:tc>
      </w:tr>
      <w:tr>
        <w:tc>
          <w:tcPr>
            <w:tcW w:type="dxa" w:w="46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79,8</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118,0</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112,5</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114,5</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112,3</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110,8</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103,3</w:t>
            </w:r>
          </w:p>
        </w:tc>
      </w:tr>
      <w:tr>
        <w:tc>
          <w:tcPr>
            <w:tcW w:type="dxa" w:w="46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101,9</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98,3</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99,3</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96,6</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100,9</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108,9</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r>
      <w:tr>
        <w:tc>
          <w:tcPr>
            <w:tcW w:type="dxa" w:w="46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Горнодобывающая промышленность</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6 922,3</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7 405,9</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8 695,3</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907,9</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2 582,0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5 538,4</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10 108,1</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11 496,2</w:t>
            </w:r>
          </w:p>
        </w:tc>
      </w:tr>
      <w:tr>
        <w:tc>
          <w:tcPr>
            <w:tcW w:type="dxa" w:w="46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122,5</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101,7</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103,8</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104,7</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r>
      <w:tr>
        <w:tc>
          <w:tcPr>
            <w:tcW w:type="dxa" w:w="46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153,4</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110,9</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103,8</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108,7</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r>
      <w:tr>
        <w:tc>
          <w:tcPr>
            <w:tcW w:type="dxa" w:w="46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Обрабатывающая промышленность</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102 266,8</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122 323,0</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136 594,2</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27 780,2</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52 921,3</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79 485,2</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162 547,8</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174 098,6</w:t>
            </w:r>
          </w:p>
        </w:tc>
      </w:tr>
      <w:tr>
        <w:tc>
          <w:tcPr>
            <w:tcW w:type="dxa" w:w="46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72,8</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123,8</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115,6</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119,6</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115,7</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113,4</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109,3</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102,8</w:t>
            </w:r>
          </w:p>
        </w:tc>
      </w:tr>
      <w:tr>
        <w:tc>
          <w:tcPr>
            <w:tcW w:type="dxa" w:w="46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103,3</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96,6</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96,6</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92,8</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96,3</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98,7</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108,8</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104,2</w:t>
            </w:r>
          </w:p>
        </w:tc>
      </w:tr>
      <w:tr>
        <w:tc>
          <w:tcPr>
            <w:tcW w:type="dxa" w:w="46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 пищевых продуктов, включая напитки и табак</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18553,7</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21 511,3</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24 899,8</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4 306,4</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10 731,0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17 703,7</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28 854,1</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33 302,3</w:t>
            </w:r>
          </w:p>
        </w:tc>
      </w:tr>
      <w:tr>
        <w:tc>
          <w:tcPr>
            <w:tcW w:type="dxa" w:w="46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103,5</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104,6</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104,7</w:t>
            </w:r>
          </w:p>
        </w:tc>
      </w:tr>
      <w:tr>
        <w:tc>
          <w:tcPr>
            <w:tcW w:type="dxa" w:w="46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94,2</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110,8</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109,2</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108,8</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108,4</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108,3</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r>
      <w:tr>
        <w:tc>
          <w:tcPr>
            <w:tcW w:type="dxa" w:w="46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 и распределение электроэнергии, газа и воды</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24 633,8</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25 496,0</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28 044,4</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8 970,6</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12 367,2</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15 734,6</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30 800,5</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35 198,7</w:t>
            </w:r>
          </w:p>
        </w:tc>
      </w:tr>
      <w:tr>
        <w:tc>
          <w:tcPr>
            <w:tcW w:type="dxa" w:w="46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98,5</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99,5</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100,5</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r>
      <w:tr>
        <w:tc>
          <w:tcPr>
            <w:tcW w:type="dxa" w:w="46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93,7</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109,9</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109,9</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109,3</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108,9</w:t>
            </w:r>
          </w:p>
        </w:tc>
      </w:tr>
      <w:tr>
        <w:tc>
          <w:tcPr>
            <w:tcW w:type="dxa" w:w="46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Справка:</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Промышленность5, без учета предприятий по разработке месторождения Кумтор</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83 152,8</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94 491,3</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106 308,2</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21 105,1</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42 433,2</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67 214,7</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120 938,5</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138 275,6</w:t>
            </w:r>
          </w:p>
        </w:tc>
      </w:tr>
      <w:tr>
        <w:tc>
          <w:tcPr>
            <w:tcW w:type="dxa" w:w="46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104,6</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103,8</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101,7</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103,1</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104,8</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r>
      <w:tr>
        <w:tc>
          <w:tcPr>
            <w:tcW w:type="dxa" w:w="46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108,7</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108,4</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109,1</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109,2</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109,3</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108,5</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108,3</w:t>
            </w:r>
          </w:p>
        </w:tc>
      </w:tr>
      <w:tr>
        <w:tc>
          <w:tcPr>
            <w:tcW w:type="dxa" w:w="46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 млн. сомов</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54625,0</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65939,2</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80820,2</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7849,6</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23511,2</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49427,3</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101719,7</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129659,3</w:t>
            </w:r>
          </w:p>
        </w:tc>
      </w:tr>
      <w:tr>
        <w:tc>
          <w:tcPr>
            <w:tcW w:type="dxa" w:w="46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117,3</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112,5</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115,5</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114,8</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119,8</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115,4</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118,4</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119,8</w:t>
            </w:r>
          </w:p>
        </w:tc>
      </w:tr>
      <w:tr>
        <w:tc>
          <w:tcPr>
            <w:tcW w:type="dxa" w:w="46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104,4</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r>
      <w:tr>
        <w:tc>
          <w:tcPr>
            <w:tcW w:type="dxa" w:w="46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Услуги, млн. сомов</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258397,8</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299892,9</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343847,6</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60673,1</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138759,5</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230858,8</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395832,2</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453148,7</w:t>
            </w:r>
          </w:p>
        </w:tc>
      </w:tr>
      <w:tr>
        <w:tc>
          <w:tcPr>
            <w:tcW w:type="dxa" w:w="46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105,7</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104,1</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104,6</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r>
      <w:tr>
        <w:tc>
          <w:tcPr>
            <w:tcW w:type="dxa" w:w="46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104,8</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109,8</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108,7</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107,9</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108,5</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108,0</w:t>
            </w:r>
          </w:p>
        </w:tc>
      </w:tr>
      <w:tr>
        <w:tc>
          <w:tcPr>
            <w:tcW w:type="dxa" w:w="46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Торговля; ремонт автомобилей, бытовых изделий и предметов личного пользования, млн. сомов</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81827,3</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96944,646</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111740,1</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17908,7</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40618,3</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71026,1</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128860,2</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147920,9</w:t>
            </w:r>
          </w:p>
        </w:tc>
      </w:tr>
      <w:tr>
        <w:tc>
          <w:tcPr>
            <w:tcW w:type="dxa" w:w="46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104,8</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105,7</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r>
      <w:tr>
        <w:tc>
          <w:tcPr>
            <w:tcW w:type="dxa" w:w="46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102,6</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108,4</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107,4</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107,9</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108,2</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107,9</w:t>
            </w:r>
          </w:p>
        </w:tc>
      </w:tr>
      <w:tr>
        <w:tc>
          <w:tcPr>
            <w:tcW w:type="dxa" w:w="46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Гостиницы и рестораны, млн. сомов</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12016,8</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14424,3</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17115,0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2682,1</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6080,5</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11209,6</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20259,8</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23939,1</w:t>
            </w:r>
          </w:p>
        </w:tc>
      </w:tr>
      <w:tr>
        <w:tc>
          <w:tcPr>
            <w:tcW w:type="dxa" w:w="46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111,9</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108,1</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108,4</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108,0</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108,7</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108,9</w:t>
            </w:r>
          </w:p>
        </w:tc>
      </w:tr>
      <w:tr>
        <w:tc>
          <w:tcPr>
            <w:tcW w:type="dxa" w:w="46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99,5</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111,0</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109,5</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104,9</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108,9</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108,5</w:t>
            </w:r>
          </w:p>
        </w:tc>
      </w:tr>
      <w:tr>
        <w:tc>
          <w:tcPr>
            <w:tcW w:type="dxa" w:w="46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Транспорт и связь, млн. сомов</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55431,603</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65396,9</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75784,1</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15498,3</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32752,9</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53493,6</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88451,3</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102712,9</w:t>
            </w:r>
          </w:p>
        </w:tc>
      </w:tr>
      <w:tr>
        <w:tc>
          <w:tcPr>
            <w:tcW w:type="dxa" w:w="46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108,8</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109,6</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108,8</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109,3</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109,4</w:t>
            </w:r>
          </w:p>
        </w:tc>
      </w:tr>
      <w:tr>
        <w:tc>
          <w:tcPr>
            <w:tcW w:type="dxa" w:w="46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103,9</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104,4</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105,7</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r>
    </w:tbl>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4
 к Прогнозу социально-экономического развития Кыргызской Республики на 2014 год и 2015-2016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Прогноз развития сельского хозяйства Кыргызской Республики на 2014 год и 2015-2016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64"/>
        <w:gridCol w:w="1087"/>
        <w:gridCol w:w="890"/>
        <w:gridCol w:w="890"/>
        <w:gridCol w:w="884"/>
        <w:gridCol w:w="884"/>
        <w:gridCol w:w="884"/>
        <w:gridCol w:w="810"/>
        <w:gridCol w:w="885"/>
      </w:tblGrid>
      <w:tr>
        <w:tc>
          <w:tcPr>
            <w:tcW w:type="dxa" w:w="2964"/>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Показатели</w:t>
            </w:r>
          </w:p>
        </w:tc>
        <w:tc>
          <w:tcPr>
            <w:tcW w:type="dxa" w:w="108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89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2013г.</w:t>
            </w:r>
          </w:p>
        </w:tc>
        <w:tc>
          <w:tcPr>
            <w:tcW w:type="dxa" w:w="89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w:t>
            </w:r>
          </w:p>
        </w:tc>
        <w:tc>
          <w:tcPr>
            <w:tcW w:type="dxa" w:w="2652"/>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81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 г.</w:t>
            </w:r>
          </w:p>
        </w:tc>
        <w:tc>
          <w:tcPr>
            <w:tcW w:type="dxa" w:w="88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 г.</w:t>
            </w:r>
          </w:p>
        </w:tc>
      </w:tr>
      <w:tr>
        <w:tc>
          <w:tcPr>
            <w:vMerge w:val="continue"/>
            <w:tcBorders>
              <w:top w:val="single" w:color="CBBF9E" w:sz="4"/>
              <w:left w:val="single" w:color="CBBF9E" w:sz="4"/>
              <w:bottom w:val="single" w:color="CBBF9E" w:sz="4"/>
              <w:right w:val="single" w:color="CBBF9E" w:sz="4"/>
            </w:tcBorders>
          </w:tcP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предв. факт</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 - март</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 - июнь</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 - сент.</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r>
      <w:tr>
        <w:tc>
          <w:tcPr>
            <w:tcW w:type="dxa" w:w="29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выпуск сельского хозяйства (включая рыбное хозяйство), млн. сомов</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167560,1</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184200,8</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203103,5</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18661,3</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52995,1</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160422,3</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223794,7</w:t>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245676,2</w:t>
            </w:r>
          </w:p>
        </w:tc>
      </w:tr>
      <w:tr>
        <w:tc>
          <w:tcPr>
            <w:tcW w:type="dxa" w:w="29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101,6</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r>
      <w:tr>
        <w:tc>
          <w:tcPr>
            <w:tcW w:type="dxa" w:w="29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111,0</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108,2</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108,1</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104,7</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108,0</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w:t>
            </w:r>
          </w:p>
        </w:tc>
      </w:tr>
      <w:tr>
        <w:tc>
          <w:tcPr>
            <w:tcW w:type="dxa" w:w="29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Растениеводство, млн. сомов</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84526,2</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94244,1</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109040,0</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368,3</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6218,0</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89158,4</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121532,0</w:t>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135752,7</w:t>
            </w:r>
          </w:p>
        </w:tc>
      </w:tr>
      <w:tr>
        <w:tc>
          <w:tcPr>
            <w:tcW w:type="dxa" w:w="29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100,6</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102,7</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101,8</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102,7</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102,9</w:t>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103,1</w:t>
            </w:r>
          </w:p>
        </w:tc>
      </w:tr>
      <w:tr>
        <w:tc>
          <w:tcPr>
            <w:tcW w:type="dxa" w:w="29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111,6</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109,0</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112,6</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103,5</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112,4</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108,3</w:t>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108,3</w:t>
            </w:r>
          </w:p>
        </w:tc>
      </w:tr>
      <w:tr>
        <w:tc>
          <w:tcPr>
            <w:tcW w:type="dxa" w:w="29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Зерно (в весе после доработки), млн. сомов</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23680,6</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29561,9</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34845,85</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41103,59</w:t>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44176,5</w:t>
            </w:r>
          </w:p>
        </w:tc>
      </w:tr>
      <w:tr>
        <w:tc>
          <w:tcPr>
            <w:tcW w:type="dxa" w:w="29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91,0</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112,1</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102,6</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104,3</w:t>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r>
      <w:tr>
        <w:tc>
          <w:tcPr>
            <w:tcW w:type="dxa" w:w="29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123,4</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111,4</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114,8</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113,1</w:t>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103,4</w:t>
            </w:r>
          </w:p>
        </w:tc>
      </w:tr>
      <w:tr>
        <w:tc>
          <w:tcPr>
            <w:tcW w:type="dxa" w:w="29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Зерно (в весе после доработки), тыс. т</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1438,3</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1611,8</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1654,4</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1725,635</w:t>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1793,97</w:t>
            </w:r>
          </w:p>
        </w:tc>
      </w:tr>
      <w:tr>
        <w:tc>
          <w:tcPr>
            <w:tcW w:type="dxa" w:w="29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Хлопок (в зачетном весе), млн. сомов</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2912,5</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3580,13</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4026,42</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4469,79</w:t>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4756,10</w:t>
            </w:r>
          </w:p>
        </w:tc>
      </w:tr>
      <w:tr>
        <w:tc>
          <w:tcPr>
            <w:tcW w:type="dxa" w:w="29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83,6</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102,2</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102,7</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104,1</w:t>
            </w:r>
          </w:p>
        </w:tc>
      </w:tr>
      <w:tr>
        <w:tc>
          <w:tcPr>
            <w:tcW w:type="dxa" w:w="29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120,2</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109,5</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w:t>
            </w:r>
          </w:p>
        </w:tc>
      </w:tr>
      <w:tr>
        <w:tc>
          <w:tcPr>
            <w:tcW w:type="dxa" w:w="29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Хлопок (в зачетном весе, тыс. т)</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86,6</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89,0</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91,65</w:t>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95,37</w:t>
            </w:r>
          </w:p>
        </w:tc>
      </w:tr>
      <w:tr>
        <w:tc>
          <w:tcPr>
            <w:tcW w:type="dxa" w:w="29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Табак (в зачетном весе), млн. сомов</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415,9</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486,30</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536,49</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568,06</w:t>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623,74</w:t>
            </w:r>
          </w:p>
        </w:tc>
      </w:tr>
      <w:tr>
        <w:tc>
          <w:tcPr>
            <w:tcW w:type="dxa" w:w="29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75,0</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103,7</w:t>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r>
      <w:tr>
        <w:tc>
          <w:tcPr>
            <w:tcW w:type="dxa" w:w="29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135,5</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109,3</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102,1</w:t>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w:t>
            </w:r>
          </w:p>
        </w:tc>
      </w:tr>
      <w:tr>
        <w:tc>
          <w:tcPr>
            <w:tcW w:type="dxa" w:w="29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Табак (в зачетном весе), тыс. т</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8,89</w:t>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9,07</w:t>
            </w:r>
          </w:p>
        </w:tc>
      </w:tr>
      <w:tr>
        <w:tc>
          <w:tcPr>
            <w:tcW w:type="dxa" w:w="29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Сахарная свекла (фабричная), млн. сомов</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295,9</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513,3</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623,13</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696,92</w:t>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743,12</w:t>
            </w:r>
          </w:p>
        </w:tc>
      </w:tr>
      <w:tr>
        <w:tc>
          <w:tcPr>
            <w:tcW w:type="dxa" w:w="29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64,2</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151,0</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103,3</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103,1</w:t>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102,2</w:t>
            </w:r>
          </w:p>
        </w:tc>
      </w:tr>
      <w:tr>
        <w:tc>
          <w:tcPr>
            <w:tcW w:type="dxa" w:w="29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117,9</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114,9</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117,5</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108,4</w:t>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104,4</w:t>
            </w:r>
          </w:p>
        </w:tc>
      </w:tr>
      <w:tr>
        <w:tc>
          <w:tcPr>
            <w:tcW w:type="dxa" w:w="29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Сахарная свекла (фабричная), тыс. т</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154,1</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159,2</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164,17</w:t>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167,75</w:t>
            </w:r>
          </w:p>
        </w:tc>
      </w:tr>
      <w:tr>
        <w:tc>
          <w:tcPr>
            <w:tcW w:type="dxa" w:w="29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Масличные культуры, млн. сомов</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1328,6</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1259,9</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1622,3</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1881,73</w:t>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1935,55</w:t>
            </w:r>
          </w:p>
        </w:tc>
      </w:tr>
      <w:tr>
        <w:tc>
          <w:tcPr>
            <w:tcW w:type="dxa" w:w="29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103,4</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89,0</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114,3</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102,6</w:t>
            </w:r>
          </w:p>
        </w:tc>
      </w:tr>
      <w:tr>
        <w:tc>
          <w:tcPr>
            <w:tcW w:type="dxa" w:w="29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97,9</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112,7</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113,1</w:t>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100,3</w:t>
            </w:r>
          </w:p>
        </w:tc>
      </w:tr>
      <w:tr>
        <w:tc>
          <w:tcPr>
            <w:tcW w:type="dxa" w:w="29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Масличные культуры, тыс. т</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58,6</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52,2</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59,6</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61,13</w:t>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62,70</w:t>
            </w:r>
          </w:p>
        </w:tc>
      </w:tr>
      <w:tr>
        <w:tc>
          <w:tcPr>
            <w:tcW w:type="dxa" w:w="29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Картофель, млн. сомов</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13125,1</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14359,4</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18837,1</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21613,05</w:t>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25554,44</w:t>
            </w:r>
          </w:p>
        </w:tc>
      </w:tr>
      <w:tr>
        <w:tc>
          <w:tcPr>
            <w:tcW w:type="dxa" w:w="29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95,2</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98,3</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103,1</w:t>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104,4</w:t>
            </w:r>
          </w:p>
        </w:tc>
      </w:tr>
      <w:tr>
        <w:tc>
          <w:tcPr>
            <w:tcW w:type="dxa" w:w="29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106,7</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111,2</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127,4</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111,3</w:t>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113,2</w:t>
            </w:r>
          </w:p>
        </w:tc>
      </w:tr>
      <w:tr>
        <w:tc>
          <w:tcPr>
            <w:tcW w:type="dxa" w:w="29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Картофель, тыс. т</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1312,7</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1291,0</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1329,2</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1369,96</w:t>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1430,90</w:t>
            </w:r>
          </w:p>
        </w:tc>
      </w:tr>
      <w:tr>
        <w:tc>
          <w:tcPr>
            <w:tcW w:type="dxa" w:w="29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Овощи, млн. сомов</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18722,7</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19895,8</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21640,0</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22329,24</w:t>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25129,64</w:t>
            </w:r>
          </w:p>
        </w:tc>
      </w:tr>
      <w:tr>
        <w:tc>
          <w:tcPr>
            <w:tcW w:type="dxa" w:w="29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95,2</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104,5</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102,2</w:t>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w:t>
            </w:r>
          </w:p>
        </w:tc>
      </w:tr>
      <w:tr>
        <w:tc>
          <w:tcPr>
            <w:tcW w:type="dxa" w:w="29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103,4</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111,6</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104,1</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r>
      <w:tr>
        <w:tc>
          <w:tcPr>
            <w:tcW w:type="dxa" w:w="29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Овощи, тыс. т</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865,9</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824,6</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861,4</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879,97</w:t>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900,22</w:t>
            </w:r>
          </w:p>
        </w:tc>
      </w:tr>
      <w:tr>
        <w:tc>
          <w:tcPr>
            <w:tcW w:type="dxa" w:w="29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Бахчи продовольственные, млн. сомов</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2562,0</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2901,6</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3169,8</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3403,61</w:t>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3791,11</w:t>
            </w:r>
          </w:p>
        </w:tc>
      </w:tr>
      <w:tr>
        <w:tc>
          <w:tcPr>
            <w:tcW w:type="dxa" w:w="29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127,5</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98,9</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101,7</w:t>
            </w:r>
          </w:p>
        </w:tc>
      </w:tr>
      <w:tr>
        <w:tc>
          <w:tcPr>
            <w:tcW w:type="dxa" w:w="29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102,2</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114,5</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107,9</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104,8</w:t>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109,5</w:t>
            </w:r>
          </w:p>
        </w:tc>
      </w:tr>
      <w:tr>
        <w:tc>
          <w:tcPr>
            <w:tcW w:type="dxa" w:w="29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Бахчи продовольственные, тыс. т</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193,3</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191,2</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193,6</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198,38</w:t>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201,85</w:t>
            </w:r>
          </w:p>
        </w:tc>
      </w:tr>
      <w:tr>
        <w:tc>
          <w:tcPr>
            <w:tcW w:type="dxa" w:w="29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Плоды и ягоды, млн. сомов</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7325,7</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8479,6</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9088,3</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9141,24</w:t>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10773,05</w:t>
            </w:r>
          </w:p>
        </w:tc>
      </w:tr>
      <w:tr>
        <w:tc>
          <w:tcPr>
            <w:tcW w:type="dxa" w:w="29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103,8</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100,8</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101,8</w:t>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101,6</w:t>
            </w:r>
          </w:p>
        </w:tc>
      </w:tr>
      <w:tr>
        <w:tc>
          <w:tcPr>
            <w:tcW w:type="dxa" w:w="29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97,4</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114,8</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98,8</w:t>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115,9</w:t>
            </w:r>
          </w:p>
        </w:tc>
      </w:tr>
      <w:tr>
        <w:tc>
          <w:tcPr>
            <w:tcW w:type="dxa" w:w="29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Плоды и ягоды, тыс. т</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222,7</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224,5</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227,3</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231,50</w:t>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235,30</w:t>
            </w:r>
          </w:p>
        </w:tc>
      </w:tr>
      <w:tr>
        <w:tc>
          <w:tcPr>
            <w:tcW w:type="dxa" w:w="29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Виноград, млн. сомов</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366,2</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512,7</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527,6</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507,22</w:t>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553,71</w:t>
            </w:r>
          </w:p>
        </w:tc>
      </w:tr>
      <w:tr>
        <w:tc>
          <w:tcPr>
            <w:tcW w:type="dxa" w:w="29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117,2</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121,6</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102,1</w:t>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r>
      <w:tr>
        <w:tc>
          <w:tcPr>
            <w:tcW w:type="dxa" w:w="29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118,8</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115,1</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101,8</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94,2</w:t>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r>
      <w:tr>
        <w:tc>
          <w:tcPr>
            <w:tcW w:type="dxa" w:w="29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Виноград, тыс. т</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9,85</w:t>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r>
      <w:tr>
        <w:tc>
          <w:tcPr>
            <w:tcW w:type="dxa" w:w="29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Прочие в действующих ценах</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13790,9</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12693,4</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14122,9</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15817,6</w:t>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17715,7</w:t>
            </w:r>
          </w:p>
        </w:tc>
      </w:tr>
      <w:tr>
        <w:tc>
          <w:tcPr>
            <w:tcW w:type="dxa" w:w="29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120,2</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101,3</w:t>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w:t>
            </w:r>
          </w:p>
        </w:tc>
      </w:tr>
      <w:tr>
        <w:tc>
          <w:tcPr>
            <w:tcW w:type="dxa" w:w="29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92,0</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111,3</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r>
      <w:tr>
        <w:tc>
          <w:tcPr>
            <w:tcW w:type="dxa" w:w="29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Животноводство, млн. сомов</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80138,8</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87061,7</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91168,4</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18074,2</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45750,3</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68978,3</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99367,6</w:t>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107028,5</w:t>
            </w:r>
          </w:p>
        </w:tc>
      </w:tr>
      <w:tr>
        <w:tc>
          <w:tcPr>
            <w:tcW w:type="dxa" w:w="29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101,8</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101,3</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101,8</w:t>
            </w:r>
          </w:p>
        </w:tc>
      </w:tr>
      <w:tr>
        <w:tc>
          <w:tcPr>
            <w:tcW w:type="dxa" w:w="29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110,8</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103,5</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104,7</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108,8</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102,6</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w:t>
            </w:r>
          </w:p>
        </w:tc>
      </w:tr>
      <w:tr>
        <w:tc>
          <w:tcPr>
            <w:tcW w:type="dxa" w:w="29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Скот и птица на убой (в живом весе), млн. сомов</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51940,4</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56096,1</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58621,01</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61889,10</w:t>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65255,74</w:t>
            </w:r>
          </w:p>
        </w:tc>
      </w:tr>
      <w:tr>
        <w:tc>
          <w:tcPr>
            <w:tcW w:type="dxa" w:w="29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101,7</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101,1</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101,1</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101,9</w:t>
            </w:r>
          </w:p>
        </w:tc>
      </w:tr>
      <w:tr>
        <w:tc>
          <w:tcPr>
            <w:tcW w:type="dxa" w:w="29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115,8</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103,4</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103,5</w:t>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103,4</w:t>
            </w:r>
          </w:p>
        </w:tc>
      </w:tr>
      <w:tr>
        <w:tc>
          <w:tcPr>
            <w:tcW w:type="dxa" w:w="29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Скот и птица на убой (в живом весе), тыс. т</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352,5</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356,3</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360,1</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367,2</w:t>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374,3</w:t>
            </w:r>
          </w:p>
        </w:tc>
      </w:tr>
      <w:tr>
        <w:tc>
          <w:tcPr>
            <w:tcW w:type="dxa" w:w="29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Молоко сырое, млн. сомов</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23931,3</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26209,6</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27390,75</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32063,47</w:t>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36262,87</w:t>
            </w:r>
          </w:p>
        </w:tc>
      </w:tr>
      <w:tr>
        <w:tc>
          <w:tcPr>
            <w:tcW w:type="dxa" w:w="29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101,8</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101,7</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102,1</w:t>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101,8</w:t>
            </w:r>
          </w:p>
        </w:tc>
      </w:tr>
      <w:tr>
        <w:tc>
          <w:tcPr>
            <w:tcW w:type="dxa" w:w="29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111,3</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108,5</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102,8</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114,7</w:t>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111,1</w:t>
            </w:r>
          </w:p>
        </w:tc>
      </w:tr>
      <w:tr>
        <w:tc>
          <w:tcPr>
            <w:tcW w:type="dxa" w:w="29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Молоко сырое, тыс. т</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1382,4</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1395,8</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1419,2</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1449,0</w:t>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1475,3</w:t>
            </w:r>
          </w:p>
        </w:tc>
      </w:tr>
      <w:tr>
        <w:tc>
          <w:tcPr>
            <w:tcW w:type="dxa" w:w="29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Яйца, млн. сомов</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2482,4</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2879,1</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3254,2</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3492,19</w:t>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3612,58</w:t>
            </w:r>
          </w:p>
        </w:tc>
      </w:tr>
      <w:tr>
        <w:tc>
          <w:tcPr>
            <w:tcW w:type="dxa" w:w="29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100,4</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100,3</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101,9</w:t>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101,1</w:t>
            </w:r>
          </w:p>
        </w:tc>
      </w:tr>
      <w:tr>
        <w:tc>
          <w:tcPr>
            <w:tcW w:type="dxa" w:w="29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116,6</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115,5</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112,7</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105,3</w:t>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w:t>
            </w:r>
          </w:p>
        </w:tc>
      </w:tr>
      <w:tr>
        <w:tc>
          <w:tcPr>
            <w:tcW w:type="dxa" w:w="29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Яйца, млн. штук</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416,9</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418,7</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420,0</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428,00</w:t>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432,80</w:t>
            </w:r>
          </w:p>
        </w:tc>
      </w:tr>
      <w:tr>
        <w:tc>
          <w:tcPr>
            <w:tcW w:type="dxa" w:w="29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Шерсть, млн. сомов</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383,7</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475,9</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500,53</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517,88</w:t>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491,34</w:t>
            </w:r>
          </w:p>
        </w:tc>
      </w:tr>
      <w:tr>
        <w:tc>
          <w:tcPr>
            <w:tcW w:type="dxa" w:w="29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102,1</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102,6</w:t>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101,7</w:t>
            </w:r>
          </w:p>
        </w:tc>
      </w:tr>
      <w:tr>
        <w:tc>
          <w:tcPr>
            <w:tcW w:type="dxa" w:w="29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155,6</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122,6</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103,1</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100,9</w:t>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93,3</w:t>
            </w:r>
          </w:p>
        </w:tc>
      </w:tr>
      <w:tr>
        <w:tc>
          <w:tcPr>
            <w:tcW w:type="dxa" w:w="29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Шерсть, тыс. т</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w:t>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12,20</w:t>
            </w:r>
          </w:p>
        </w:tc>
      </w:tr>
      <w:tr>
        <w:tc>
          <w:tcPr>
            <w:tcW w:type="dxa" w:w="29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Прочее животноводство, млн. сомов</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1401,1</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1401,1</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1402,0</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1405,0</w:t>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1406,0</w:t>
            </w:r>
          </w:p>
        </w:tc>
      </w:tr>
      <w:tr>
        <w:tc>
          <w:tcPr>
            <w:tcW w:type="dxa" w:w="29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r>
      <w:tr>
        <w:tc>
          <w:tcPr>
            <w:tcW w:type="dxa" w:w="29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100,2</w:t>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w:t>
            </w:r>
          </w:p>
        </w:tc>
      </w:tr>
      <w:tr>
        <w:tc>
          <w:tcPr>
            <w:tcW w:type="dxa" w:w="29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Услуги, млн. сомов</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2622,2</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2622,2</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2622,2</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190,1</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983,1</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2221,0</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2622,2</w:t>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2622,2</w:t>
            </w:r>
          </w:p>
        </w:tc>
      </w:tr>
      <w:tr>
        <w:tc>
          <w:tcPr>
            <w:tcW w:type="dxa" w:w="29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r>
      <w:tr>
        <w:tc>
          <w:tcPr>
            <w:tcW w:type="dxa" w:w="29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r>
      <w:tr>
        <w:tc>
          <w:tcPr>
            <w:tcW w:type="dxa" w:w="29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Охота и лесное хозяйство, млн. сомов</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218,1</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218,1</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218,1</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19,5</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19,5</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218,1</w:t>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218,1</w:t>
            </w:r>
          </w:p>
        </w:tc>
      </w:tr>
      <w:tr>
        <w:tc>
          <w:tcPr>
            <w:tcW w:type="dxa" w:w="29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r>
      <w:tr>
        <w:tc>
          <w:tcPr>
            <w:tcW w:type="dxa" w:w="29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r>
      <w:tr>
        <w:tc>
          <w:tcPr>
            <w:tcW w:type="dxa" w:w="29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Рыбоводство, рыболовство, млн. сомов</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54,8</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54,8</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54,8</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38,6</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54,8</w:t>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54,8</w:t>
            </w:r>
          </w:p>
        </w:tc>
      </w:tr>
      <w:tr>
        <w:tc>
          <w:tcPr>
            <w:tcW w:type="dxa" w:w="29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r>
      <w:tr>
        <w:tc>
          <w:tcPr>
            <w:tcW w:type="dxa" w:w="29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r>
    </w:tbl>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5
 к Прогнозу социально-экономического развития Кыргызской Республики на 2014 год и 2015-2016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развития промышленности Кыргызской Республики на 2014 год и 2015-2016 годы с учетом давальческого сырья за минусом стоимости покупной электроэнергии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94"/>
        <w:gridCol w:w="806"/>
        <w:gridCol w:w="727"/>
        <w:gridCol w:w="725"/>
        <w:gridCol w:w="725"/>
        <w:gridCol w:w="725"/>
        <w:gridCol w:w="725"/>
        <w:gridCol w:w="727"/>
        <w:gridCol w:w="727"/>
      </w:tblGrid>
      <w:tr>
        <w:tc>
          <w:tcPr>
            <w:tcW w:type="dxa" w:w="4294"/>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Наименование</w:t>
            </w:r>
          </w:p>
          <w:p>
            <w:pPr>
              <w:jc w:val="left"/>
            </w:pPr>
            <w:r>
              <w:rPr>
                <w:rFonts w:ascii="Arial" w:cs="Arial" w:eastAsia="Arial" w:hAnsi="Arial"/>
                <w:sz w:val="24"/>
                <w:szCs w:val="24"/>
              </w:rPr>
              <w:t xml:space="preserve"/>
            </w:r>
          </w:p>
        </w:tc>
        <w:tc>
          <w:tcPr>
            <w:tcW w:type="dxa" w:w="80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72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w:t>
            </w:r>
          </w:p>
        </w:tc>
        <w:tc>
          <w:tcPr>
            <w:tcW w:type="dxa" w:w="72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w:t>
            </w:r>
          </w:p>
        </w:tc>
        <w:tc>
          <w:tcPr>
            <w:tcW w:type="dxa" w:w="2175"/>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72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 г.</w:t>
            </w:r>
          </w:p>
        </w:tc>
        <w:tc>
          <w:tcPr>
            <w:tcW w:type="dxa" w:w="72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 г.</w:t>
            </w:r>
          </w:p>
        </w:tc>
      </w:tr>
      <w:tr>
        <w:tc>
          <w:tcPr>
            <w:vMerge w:val="continue"/>
            <w:tcBorders>
              <w:top w:val="single" w:color="CBBF9E" w:sz="4"/>
              <w:left w:val="single" w:color="CBBF9E" w:sz="4"/>
              <w:bottom w:val="single" w:color="CBBF9E" w:sz="4"/>
              <w:right w:val="single" w:color="CBBF9E" w:sz="4"/>
            </w:tcBorders>
          </w:tcP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 факт</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 - март</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 - июнь</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 - сент.</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промышленности в действующих ценах, млн. сомов</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134 867,3</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157 277,6</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176 264,5</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37 050,4</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68 644,9</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103 085,1</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207 438,7</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225 381,3</w:t>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77,2</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118,2</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112,8</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115,3</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112,5</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111,0</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108,0</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103,3</w:t>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99,8</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98,6</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99,4</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96,4</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108,9</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 без учета предприятий по разработке месторождения Кумтор, млн. сомов</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84 197,2</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96 544,0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109 238,9</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20 486,8</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44 146,8</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73 551,7</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124 920,8</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142 863,4</w:t>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104,5</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103,3</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103,6</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104,4</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105,3</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97,8</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109,1</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108,3</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108,2</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108,2</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108,0</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108,6</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108,4</w:t>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 Горнодобывающая промышленность</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6 922,3</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7 405,9</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8 695,3</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907,9</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2 582,0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5 544,6</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10 108,1</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11 496,2</w:t>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122,5</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101,7</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103,8</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104,7</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w:t>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153,7</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110,9</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103,8</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108,7</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1. Добыча топливно-энергетических полезных ископаемых</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3 525,5</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3 975,2</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4 438,0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775,4</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1 688,8</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2 931,9</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5 013,2</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5 609,5</w:t>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97,6</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103,4</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101,9</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101,3</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102,2</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100,8</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150,8</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109,5</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103,2</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108,7</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Добыча полезных ископаемых, кроме топливно-энергетических</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3 396,8</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3 430,7</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4 257,3</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132,5</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893,2</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2 612,7</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5 095,0</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5 886,7</w:t>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168,9</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121,5</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102,4</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109,6</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108,6</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109,0</w:t>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156,9</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112,3</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112,3</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111,8</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II. Обрабатывающая промышленность</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59 909,8</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131 907,2</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147 833,8</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30 189,3</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57 387,3</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86 332,9</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175 679,8</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189 177,9</w:t>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104,7</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122,4</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118,7</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114,9</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112,8</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109,1</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102,9</w:t>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96,2</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97,5</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97,5</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93,9</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97,2</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99,4</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108,9</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104,6</w:t>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1. Производство пищевых продуктов, включая напитки и табак</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24437,2</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28 332,8</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32 795,7</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6 030,8</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14 687,9</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23 064,5</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38 004,0</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43 862,7</w:t>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103,5</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104,6</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104,7</w:t>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85,9</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110,8</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109,2</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108,8</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108,4</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108,3</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2. Текстильное и швейное производство</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10 222,4</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12 117,3</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13 987,3</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1 357,1</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4 449,5</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10 515,7</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15 856,0</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17 654,6</w:t>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104,3</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115,6</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109,9</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109,8</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109,8</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109,0</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108,1</w:t>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3. Производство кожи, изделий из кожи и производство обуви</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112,5</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112,5</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56,8</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96,0</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128,9</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137,4</w:t>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78,0</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103,2</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103,1</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103,1</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w:t>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76,8</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104,2</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104,3</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104,9</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104,3</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4. Обработка древесины и производство изделий из дерева</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567,5</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646,9</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648,2</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111,4</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224,7</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391,3</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704,0</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748,3</w:t>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99,0</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112,3</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99,6</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w:t>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160,2</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100,6</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100,2</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108,5</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5. Целлюлозно-бумажное производство; издательская деятельность</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1 522,5</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1 646,6</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1 781,0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385,8</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820,5</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1 169,6</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1 907,8</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2 043,6</w:t>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132,2</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103,7</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103,9</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64,1</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104,3</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104,1</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Производство кокса, нефтепродуктов и ядерных материалов</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2580,0</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2 844,3</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3 647,3</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838,2</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771,9</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1 356,1</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4 542,0</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5 246,0</w:t>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99,5</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130,1</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124,3</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120,4</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96,8</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104,2</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109,6</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108,2</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109,0</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118,6</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7. Химическое производство</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939,0</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1 819,3</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1 952,5</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169,6</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757,7</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1 318,2</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2 023,2</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2 548,6</w:t>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122,7</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189,2</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104,2</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109,1</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104,9</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100,6</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122,3</w:t>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92,3</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102,4</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98,4</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101,6</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8. Производство резиновых и пластмассовых изделий</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1 594,7</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1 786,7</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1 920,2</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306,3</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892,0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1 476,6</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2 119,4</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2 284,5</w:t>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76,2</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101,3</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101,6</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101,4</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102,2</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101,4</w:t>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114,3</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108,0</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9. Производство прочих неметаллических минеральных продуктов</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10 449,5</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13 143,0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14 879,0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2 638,9</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6 338,7</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11 555,3</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16 959,7</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18 700,1</w:t>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116,4</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103,3</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104,6</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112,0</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112,3</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109,6</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108,2</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109,6</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108,1</w:t>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10. Металлургическое производство и производство готовых металлических изделий</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53 739,1</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64 613,0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70 996,8</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17 176,3</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26 211,2</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32 230,3</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87 773,0</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89 688,1</w:t>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55,5</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138,7</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124,5</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128,8</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126,4</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124,6</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113,4</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101,7</w:t>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100,6</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86,7</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88,3</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86,8</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87,9</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109,0</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100,4</w:t>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11. Производство машин и оборудования</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1 193,9</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1 217,8</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1 263,1</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195,3</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433,0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655,2</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1 392,4</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1 529,2</w:t>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66,5</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100,7</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103,7</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103,7</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103,7</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12. Производство электрооборудования, электронного и оптического оборудования</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1 640,4</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1 738,8</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1 798,4</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477,2</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872,1</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1 244,5</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1 969,6</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2 150,8</w:t>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101,3</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101,4</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101,1</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104,3</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102,2</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101,9</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13. Производство транспортных средств и оборудования</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835,2</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1 057,3</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1 151,1</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285,9</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497,2</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654,9</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1 344,6</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1 541,7</w:t>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108,8</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105,7</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103,6</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104,1</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104,5</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119,9</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120,1</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104,6</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104,2</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109,2</w:t>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14. Прочие отрасли производств</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746,0</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831,1</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892,2</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193,5</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373,9</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604,7</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955,2</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1 042,2</w:t>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100,8</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100,9</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100,5</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100,9</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108,0</w:t>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III. Производство и распределение</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электроэнергии, газа и воды</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17 365,1</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17 964,5</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19 735,4</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5 953,3</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8 675,7</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11 207,6</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21 650,8</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24 707,2</w:t>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98,5</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99,5</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100,5</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104,9</w:t>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89,9</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109,9</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109,8</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109,9</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109,2</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108,8</w:t>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а). производство и распределение электроэнергии, газа , пара и горячей воды</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16 558,1</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17 156,7</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18 927,6</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5 733,9</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8 267,9</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10 807,7</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20 843,0</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23 899,4</w:t>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98,4</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99,5</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100,5</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89,4</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105,3</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110,9</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109,6</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109,1</w:t>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б) сбор, очистка и распределение воды</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807,0</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807,8</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807,8</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219,4</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407,8</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399,9</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807,8</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807,8</w:t>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104,7</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99,9</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6
 к Прогнозу социально-экономического развития Кыргызской Республики на 2014 год и 2015-2016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развития промышленности Кыргызской Республики на 2014 год и 2015-2016 годы без учета давальческого сырья</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45"/>
        <w:gridCol w:w="765"/>
        <w:gridCol w:w="694"/>
        <w:gridCol w:w="694"/>
        <w:gridCol w:w="597"/>
        <w:gridCol w:w="597"/>
        <w:gridCol w:w="597"/>
        <w:gridCol w:w="694"/>
        <w:gridCol w:w="694"/>
      </w:tblGrid>
      <w:tr>
        <w:tc>
          <w:tcPr>
            <w:tcW w:type="dxa" w:w="4845"/>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Наименование</w:t>
            </w:r>
          </w:p>
        </w:tc>
        <w:tc>
          <w:tcPr>
            <w:tcW w:type="dxa" w:w="76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69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w:t>
            </w:r>
          </w:p>
        </w:tc>
        <w:tc>
          <w:tcPr>
            <w:tcW w:type="dxa" w:w="69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w:t>
            </w:r>
          </w:p>
        </w:tc>
        <w:tc>
          <w:tcPr>
            <w:tcW w:type="dxa" w:w="1791"/>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69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 г.</w:t>
            </w:r>
          </w:p>
        </w:tc>
        <w:tc>
          <w:tcPr>
            <w:tcW w:type="dxa" w:w="69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 г.</w:t>
            </w:r>
          </w:p>
        </w:tc>
      </w:tr>
      <w:tr>
        <w:tc>
          <w:tcPr>
            <w:vMerge w:val="continue"/>
            <w:tcBorders>
              <w:top w:val="single" w:color="CBBF9E" w:sz="4"/>
              <w:left w:val="single" w:color="CBBF9E" w:sz="4"/>
              <w:bottom w:val="single" w:color="CBBF9E" w:sz="4"/>
              <w:right w:val="single" w:color="CBBF9E" w:sz="4"/>
            </w:tcBorders>
          </w:tcP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 факт.</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 - март</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 - июнь</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 - сент.</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промышленности в действующих ценах, млн. сомов</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133 822,9</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155 224,9</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173 333,8</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37 658,7</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67 870,5</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100 758,3</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203 456,5</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220 793,5</w:t>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79,8</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118,0</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112,5</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114,5</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112,3</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110,8</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103,3</w:t>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101,9</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98,3</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99,3</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96,6</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99,0</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100,9</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108,9</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 без учета предприятий по разработке месторождения Кумтор, млн. сомов</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83 152,8</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94 491,3</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106 308,2</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21 105,1</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42 433,2</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67 214,7</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120 938,5</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138 275,6</w:t>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104,6</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103,8</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101,7</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103,1</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104,8</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108,7</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108,4</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109,1</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109,2</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109,3</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108,5</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108,3</w:t>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 Горнодобывающая промышленность</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6 922,3</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7 405,9</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8 695,3</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907,9</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2 582,0</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5 538,4</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10 108,1</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11 496,2</w:t>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122,5</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101,7</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103,8</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104,7</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153,4</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110,9</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103,8</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108,0</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108,7</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них:</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Добыча топливно-энергетических полезных ископаемых</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3 525,5</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3 975,2</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4 438,0</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775,4</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1 688,8</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2 931,9</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5 013,2</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5 609,5</w:t>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108,8</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103,4</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101,9</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101,3</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102,2</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100,8</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w:t>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134,9</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109,0</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109,5</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103,2</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108,7</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Добыча полезных ископаемых, кроме топливно-энергетических</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3396,8</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3 430,7</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4 257,3</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132,5</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893,2</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2 606,5</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5 095,0</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5 886,7</w:t>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168,9</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121,5</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102,4</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109,6</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108,6</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109,0</w:t>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156,9</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112,3</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112,3</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111,8</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II. Обрабатывающая промышленность</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102 266,8</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122 323,0</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136 594,2</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27 780,2</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52 921,3</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79 485,2</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162 547,8</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174 098,6</w:t>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72,8</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123,8</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115,6</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119,6</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115,7</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113,4</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109,3</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102,8</w:t>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103,3</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96,6</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96,6</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92,8</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96,3</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98,7</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108,8</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104,2</w:t>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1. Производство пищевых продуктов, включая напитки и табак</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18553,7</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21 511,3</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24 899,8</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4 306,4</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10 731,0</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17 703,7</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28 854,1</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33 302,3</w:t>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103,5</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104,6</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104,7</w:t>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94,2</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110,8</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109,2</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108,8</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109,0</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108,4</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108,3</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2. Текстильное и швейное производство</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9 252,8</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10 967,9</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12 660,6</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1 201,2</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3 940,4</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9 028,7</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14 352,0</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15 980,0</w:t>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112,5</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104,3</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108,3</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115,6</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109,9</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109,8</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109,8</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109,0</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108,1</w:t>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3. Производство кожи, изделий из кожи и производство обуви</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112,3</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112,3</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120,8</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56,8</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96,0</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128,7</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137,2</w:t>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78,0</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103,2</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103,1</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103,1</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w:t>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77,5</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104,2</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104,3</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104,9</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104,3</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4. Обработка древесины и производство изделий из дерева</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472,5</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538,6</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539,7</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93,9</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224,7</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391,3</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586,1</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623,1</w:t>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99,0</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112,3</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99,0</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99,6</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w:t>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178,6</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100,6</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100,2</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108,5</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5. Целлюлозно-бумажное производство; издательская деятельность</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1522,5</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1 646,6</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1 781,0</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385,8</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820,5</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1 169,6</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1 907,8</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2 043,6</w:t>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132,2</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103,7</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103,9</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72,7</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104,3</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104,1</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Производство кокса, нефтепродуктов и ядерных материалов</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1305,1</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1 438,8</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1 845,0</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335,5</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771,9</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1 356,1</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2 297,6</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2 653,7</w:t>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99,5</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117,0</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130,1</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124,3</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120,4</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109,1</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104,2</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109,6</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108,2</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109,0</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118,6</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7. Химическое производство</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939,0</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1 819,3</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1 952,5</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169,6</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757,7</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1 318,2</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2 023,2</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2 548,6</w:t>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122,7</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189,2</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104,2</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109,1</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104,9</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100,6</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122,3</w:t>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92,4</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102,4</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98,4</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101,6</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8. Производство резиновых и пластмассовых изделий</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1594,7</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1 786,7</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1 920,2</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306,3</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892,0</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1 476,6</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2 119,4</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2 284,5</w:t>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76,2</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101,3</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101,6</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101,4</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102,2</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101,4</w:t>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115,0</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108,0</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9. Производство прочих неметаллических минеральных продуктов</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10438,5</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13 129,1</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14 863,4</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2 638,9</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6 338,7</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11 555,3</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16 941,9</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18 680,5</w:t>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116,4</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112,0</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103,3</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104,6</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112,8</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112,3</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109,6</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108,2</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109,6</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108,1</w:t>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10. Металлургическое производство и производство готовых металлических изделий</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53 739,1</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64 613,0</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70 996,8</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17 176,3</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26 211,2</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32 230,3</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87 773,0</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89 688,1</w:t>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56,0</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138,7</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124,5</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128,8</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126,4</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124,6</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113,4</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101,7</w:t>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86,7</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88,3</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86,8</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87,9</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109,0</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100,4</w:t>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11. Производство машин и оборудования</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1187,2</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1 211,0</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1 256,1</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195,3</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433,0</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655,2</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1 384,7</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1 520,7</w:t>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66,5</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100,7</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103,7</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103,7</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103,7</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12. Производство электрооборудования, электронного и оптического оборудования</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1608,4</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1 704,9</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1 763,3</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477,2</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872,1</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1 244,5</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1 931,1</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2 108,8</w:t>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101,3</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101,4</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101,1</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104,3</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103,3</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102,2</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101,9</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13. Производство транспортных средств и оборудования</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835,2</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1 057,3</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1 151,1</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285,9</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497,2</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654,9</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1 344,6</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1 541,7</w:t>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108,8</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105,7</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103,6</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104,1</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104,5</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118,3</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120,1</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104,6</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104,2</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109,2</w:t>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14. Прочие отрасли производств</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705,7</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786,2</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844,1</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185,0</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373,9</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604,7</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903,7</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986,0</w:t>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100,8</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100,9</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100,5</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100,9</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99,8</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108,0</w:t>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III. Производство и распределение</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электроэнергии, газа и воды</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24 633,8</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25 496,0</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28 044,4</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8 970,6</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12 367,2</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15 734,6</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30 800,5</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35 198,7</w:t>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98,5</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99,5</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100,5</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93,7</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109,9</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109,9</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109,3</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108,9</w:t>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а).производство и распределение электроэнергии, газа, пара и горячей воды</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23826,8</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24 688,2</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27 236,5</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8 751,2</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11 959,5</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15 147,5</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29 992,7</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34 390,9</w:t>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98,4</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99,5</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100,5</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93,5</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105,3</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110,9</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109,6</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109,1</w:t>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б) сбор, очистка и распределение воды</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807,0</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807,8</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807,8</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219,4</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407,8</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587,1</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807,8</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807,8</w:t>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104,7</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99,1</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99,9</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r>
    </w:tbl>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7
 к Прогнозу социально-экономического развития Кыргызской Республики на 2014 год и 2015-2016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производства натуральных видов продукции промышленности на 2014 год и 2015-2016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414"/>
        <w:gridCol w:w="753"/>
        <w:gridCol w:w="753"/>
        <w:gridCol w:w="753"/>
        <w:gridCol w:w="753"/>
        <w:gridCol w:w="753"/>
      </w:tblGrid>
      <w:tr>
        <w:tc>
          <w:tcPr>
            <w:tcW w:type="dxa" w:w="6414"/>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w:t>
            </w:r>
          </w:p>
        </w:tc>
        <w:tc>
          <w:tcPr>
            <w:tcW w:type="dxa" w:w="75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75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w:t>
            </w:r>
          </w:p>
        </w:tc>
        <w:tc>
          <w:tcPr>
            <w:tcW w:type="dxa" w:w="75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w:t>
            </w:r>
          </w:p>
        </w:tc>
        <w:tc>
          <w:tcPr>
            <w:tcW w:type="dxa" w:w="75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 г.</w:t>
            </w:r>
          </w:p>
        </w:tc>
        <w:tc>
          <w:tcPr>
            <w:tcW w:type="dxa" w:w="75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 г.</w:t>
            </w:r>
          </w:p>
        </w:tc>
      </w:tr>
      <w:tr>
        <w:tc>
          <w:tcPr>
            <w:vMerge w:val="continue"/>
            <w:tcBorders>
              <w:top w:val="single" w:color="CBBF9E" w:sz="4"/>
              <w:left w:val="single" w:color="CBBF9E" w:sz="4"/>
              <w:bottom w:val="single" w:color="CBBF9E" w:sz="4"/>
              <w:right w:val="single" w:color="CBBF9E" w:sz="4"/>
            </w:tcBorders>
          </w:tcP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предв. факт</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r>
      <w:tr>
        <w:tc>
          <w:tcPr>
            <w:tcW w:type="dxa" w:w="64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Горнодобывающая промышленность</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Уголь, тыс. т</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1106,7</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1 100,0</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1 200,0</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1 300,0</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1 400,0</w:t>
            </w:r>
          </w:p>
        </w:tc>
      </w:tr>
      <w:tr>
        <w:tc>
          <w:tcPr>
            <w:tcW w:type="dxa" w:w="64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Сырая нефть, тыс. т</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83,6</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w:t>
            </w:r>
          </w:p>
        </w:tc>
      </w:tr>
      <w:tr>
        <w:tc>
          <w:tcPr>
            <w:tcW w:type="dxa" w:w="64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Газ природный, млн. куб. м</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28,5</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28,5</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28,5</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28,5</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r>
      <w:tr>
        <w:tc>
          <w:tcPr>
            <w:tcW w:type="dxa" w:w="64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Природные пески, тыс. т</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621,9</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650,0</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680,0</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700,0</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720,0</w:t>
            </w:r>
          </w:p>
        </w:tc>
      </w:tr>
      <w:tr>
        <w:tc>
          <w:tcPr>
            <w:tcW w:type="dxa" w:w="64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Гранулы, каменная крошка, галька, гравий, щебень или дробленый камень, тыс. т</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481,1</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900,0</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1000,0</w:t>
            </w:r>
          </w:p>
        </w:tc>
      </w:tr>
      <w:tr>
        <w:tc>
          <w:tcPr>
            <w:tcW w:type="dxa" w:w="64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Глина и каолин, тыс. т</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130,0</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180,0</w:t>
            </w:r>
          </w:p>
        </w:tc>
      </w:tr>
      <w:tr>
        <w:tc>
          <w:tcPr>
            <w:tcW w:type="dxa" w:w="64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Обрабатывающая промышленность</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Масло растительное, т</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14 049,3</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15 900,0</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16 300,0</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16 600,0</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16 800,0</w:t>
            </w:r>
          </w:p>
        </w:tc>
      </w:tr>
      <w:tr>
        <w:tc>
          <w:tcPr>
            <w:tcW w:type="dxa" w:w="64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Водка, тыс. дал.</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1 571,3</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1 953,8</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1 974,6</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1 989,4</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2 004,8</w:t>
            </w:r>
          </w:p>
        </w:tc>
      </w:tr>
      <w:tr>
        <w:tc>
          <w:tcPr>
            <w:tcW w:type="dxa" w:w="64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Пиво, тыс. дал.</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2 186,1</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2 155,0</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2205,0</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2255,0</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2306,8</w:t>
            </w:r>
          </w:p>
        </w:tc>
      </w:tr>
      <w:tr>
        <w:tc>
          <w:tcPr>
            <w:tcW w:type="dxa" w:w="64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Воды минеральные, газированные, неподслащенные и неароматизированные, тыс. дал.</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2 674,9</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2 690,0</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2 701,5</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2 728,5</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2 756,0</w:t>
            </w:r>
          </w:p>
        </w:tc>
      </w:tr>
      <w:tr>
        <w:tc>
          <w:tcPr>
            <w:tcW w:type="dxa" w:w="64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Напитки безалкогольные, тыс. дал.</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8 576,1</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8 600,0</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8 600,0</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8 600,0</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8 600,0</w:t>
            </w:r>
          </w:p>
        </w:tc>
      </w:tr>
      <w:tr>
        <w:tc>
          <w:tcPr>
            <w:tcW w:type="dxa" w:w="64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Мука из зерновых культур, тыс. т</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328,4</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437,2</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447,4</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458,0</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470,0</w:t>
            </w:r>
          </w:p>
        </w:tc>
      </w:tr>
      <w:tr>
        <w:tc>
          <w:tcPr>
            <w:tcW w:type="dxa" w:w="64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Сахар-песок, тыс. т</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20,8</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21,6</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23,2</w:t>
            </w:r>
          </w:p>
        </w:tc>
      </w:tr>
      <w:tr>
        <w:tc>
          <w:tcPr>
            <w:tcW w:type="dxa" w:w="64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Сигареты, млн. шт.</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1 682,7</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1 800,0</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2 100,0</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2 400,0</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2 700,0</w:t>
            </w:r>
          </w:p>
        </w:tc>
      </w:tr>
      <w:tr>
        <w:tc>
          <w:tcPr>
            <w:tcW w:type="dxa" w:w="64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Табак, промышленно изготовленный и его заменители, т</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4 134,0</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4 150,0</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4 150,0</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4 150,0</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4 150,0</w:t>
            </w:r>
          </w:p>
        </w:tc>
      </w:tr>
      <w:tr>
        <w:tc>
          <w:tcPr>
            <w:tcW w:type="dxa" w:w="64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Волокно хлопковое кардо- и гребнечесанное, тыс.т</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26,2</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26,8</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28,1</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29,1</w:t>
            </w:r>
          </w:p>
        </w:tc>
      </w:tr>
      <w:tr>
        <w:tc>
          <w:tcPr>
            <w:tcW w:type="dxa" w:w="64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Ткани готовые всех видов, тыс. м2</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714,6</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739,8</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789,2</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801,2</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865,9</w:t>
            </w:r>
          </w:p>
        </w:tc>
      </w:tr>
      <w:tr>
        <w:tc>
          <w:tcPr>
            <w:tcW w:type="dxa" w:w="64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Швейные и текстильные изделия, млн. сомов</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9 252,8</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10 967,9</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12 660,6</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14 352,0</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15 980,0</w:t>
            </w:r>
          </w:p>
        </w:tc>
      </w:tr>
      <w:tr>
        <w:tc>
          <w:tcPr>
            <w:tcW w:type="dxa" w:w="64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Кожсырье, изделия из кожи, млн. сомов</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112,3</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112,3</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120,8</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128,7</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137,2</w:t>
            </w:r>
          </w:p>
        </w:tc>
      </w:tr>
      <w:tr>
        <w:tc>
          <w:tcPr>
            <w:tcW w:type="dxa" w:w="64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Листовое стекло, млн. м2</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w:t>
            </w:r>
          </w:p>
        </w:tc>
      </w:tr>
      <w:tr>
        <w:tc>
          <w:tcPr>
            <w:tcW w:type="dxa" w:w="64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Цемент, тыс. т</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1 238,7</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1 300,0</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1 350,0</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1 400,0</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1 400,0</w:t>
            </w:r>
          </w:p>
        </w:tc>
      </w:tr>
      <w:tr>
        <w:tc>
          <w:tcPr>
            <w:tcW w:type="dxa" w:w="64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Шифер гофрированный, листы, панели и изделия аналогичные из асбестоцемента, тыс. листов</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2 285,0</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2 300,0</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2 500,0</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2 700,0</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2 800,0</w:t>
            </w:r>
          </w:p>
        </w:tc>
      </w:tr>
      <w:tr>
        <w:tc>
          <w:tcPr>
            <w:tcW w:type="dxa" w:w="64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Тракторные прицепы, шт.</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124,0</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140,0</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140,0</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160,0</w:t>
            </w:r>
          </w:p>
        </w:tc>
      </w:tr>
      <w:tr>
        <w:tc>
          <w:tcPr>
            <w:tcW w:type="dxa" w:w="64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Радиаторы, тыс. шт.</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117,4</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124,0</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135,0</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139,0</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149,0</w:t>
            </w:r>
          </w:p>
        </w:tc>
      </w:tr>
      <w:tr>
        <w:tc>
          <w:tcPr>
            <w:tcW w:type="dxa" w:w="64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Золото, т</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20,9</w:t>
            </w:r>
          </w:p>
        </w:tc>
      </w:tr>
      <w:tr>
        <w:tc>
          <w:tcPr>
            <w:tcW w:type="dxa" w:w="64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Сурьма, т</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1033,1</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1 496,5</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1 500,0</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1 500,0</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1 500,0</w:t>
            </w:r>
          </w:p>
        </w:tc>
      </w:tr>
      <w:tr>
        <w:tc>
          <w:tcPr>
            <w:tcW w:type="dxa" w:w="64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Ртуть, т.</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69,2</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75,0</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115,0</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125,0</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125,0</w:t>
            </w:r>
          </w:p>
        </w:tc>
      </w:tr>
      <w:tr>
        <w:tc>
          <w:tcPr>
            <w:tcW w:type="dxa" w:w="64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Лампы электрические, млн. шт.</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173,5</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172,6</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173,2</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173,6</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174,0</w:t>
            </w:r>
          </w:p>
        </w:tc>
      </w:tr>
      <w:tr>
        <w:tc>
          <w:tcPr>
            <w:tcW w:type="dxa" w:w="64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Бензин, тыс. т</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r>
      <w:tr>
        <w:tc>
          <w:tcPr>
            <w:tcW w:type="dxa" w:w="64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Дизельное топливо, тыс. т</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30,8</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33,0</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38,8</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42,0</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44,6</w:t>
            </w:r>
          </w:p>
        </w:tc>
      </w:tr>
      <w:tr>
        <w:tc>
          <w:tcPr>
            <w:tcW w:type="dxa" w:w="64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Мазут, тыс. т</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39,5</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40,2</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46,0</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47,0</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49,0</w:t>
            </w:r>
          </w:p>
        </w:tc>
      </w:tr>
      <w:tr>
        <w:tc>
          <w:tcPr>
            <w:tcW w:type="dxa" w:w="64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 и распределение электроэнергии, газа и воды</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Электроэнергия, млн. кВт. час</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15 265,6</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13852,0</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12930,5</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12935,5</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12934,0</w:t>
            </w:r>
          </w:p>
        </w:tc>
      </w:tr>
      <w:tr>
        <w:tc>
          <w:tcPr>
            <w:tcW w:type="dxa" w:w="64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Тепловая энергия, тыс. Гкал</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3 102,4</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3 103,0</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4 899,0</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3 103,3</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3 105,9</w:t>
            </w:r>
          </w:p>
        </w:tc>
      </w:tr>
    </w:tbl>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8
 к Прогнозу социально-экономического развития Кыргызской Республики на 2014 год и 2015-2016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производства золота на 2014 год и 2015-2016 годы *</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393"/>
        <w:gridCol w:w="957"/>
        <w:gridCol w:w="957"/>
        <w:gridCol w:w="957"/>
        <w:gridCol w:w="957"/>
        <w:gridCol w:w="957"/>
      </w:tblGrid>
      <w:tr>
        <w:tc>
          <w:tcPr>
            <w:tcW w:type="dxa" w:w="5393"/>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w:t>
            </w:r>
          </w:p>
        </w:tc>
        <w:tc>
          <w:tcPr>
            <w:tcW w:type="dxa" w:w="95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95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w:t>
            </w:r>
          </w:p>
        </w:tc>
        <w:tc>
          <w:tcPr>
            <w:tcW w:type="dxa" w:w="95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w:t>
            </w:r>
          </w:p>
        </w:tc>
        <w:tc>
          <w:tcPr>
            <w:tcW w:type="dxa" w:w="95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 г.</w:t>
            </w:r>
          </w:p>
        </w:tc>
        <w:tc>
          <w:tcPr>
            <w:tcW w:type="dxa" w:w="95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 г.</w:t>
            </w:r>
          </w:p>
        </w:tc>
      </w:tr>
      <w:tr>
        <w:tc>
          <w:tcPr>
            <w:vMerge w:val="continue"/>
            <w:tcBorders>
              <w:top w:val="single" w:color="CBBF9E" w:sz="4"/>
              <w:left w:val="single" w:color="CBBF9E" w:sz="4"/>
              <w:bottom w:val="single" w:color="CBBF9E" w:sz="4"/>
              <w:right w:val="single" w:color="CBBF9E" w:sz="4"/>
            </w:tcBorders>
          </w:tcP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предв. факт</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r>
      <w:tr>
        <w:tc>
          <w:tcPr>
            <w:tcW w:type="dxa" w:w="5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 золота, т</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20,9</w:t>
            </w:r>
          </w:p>
        </w:tc>
      </w:tr>
      <w:tr>
        <w:tc>
          <w:tcPr>
            <w:tcW w:type="dxa" w:w="5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Закрытое акционерное общество «КумторГолд Компани»</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 золота, т</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17,3</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19,5</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19,5</w:t>
            </w:r>
          </w:p>
        </w:tc>
      </w:tr>
      <w:tr>
        <w:tc>
          <w:tcPr>
            <w:tcW w:type="dxa" w:w="5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54,1</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112,5</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r>
    </w:tbl>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9
 к Прогнозу социально-экономического развития Кыргызской Республики на 2014 год и 2015-2016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развития сферы услуг в Кыргызской Республике на 2014 год и 2015-2016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63"/>
        <w:gridCol w:w="832"/>
        <w:gridCol w:w="733"/>
        <w:gridCol w:w="661"/>
        <w:gridCol w:w="689"/>
        <w:gridCol w:w="689"/>
        <w:gridCol w:w="689"/>
        <w:gridCol w:w="661"/>
        <w:gridCol w:w="661"/>
      </w:tblGrid>
      <w:tr>
        <w:tc>
          <w:tcPr>
            <w:tcW w:type="dxa" w:w="4563"/>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w:t>
            </w:r>
          </w:p>
        </w:tc>
        <w:tc>
          <w:tcPr>
            <w:tcW w:type="dxa" w:w="83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73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w:t>
            </w:r>
          </w:p>
        </w:tc>
        <w:tc>
          <w:tcPr>
            <w:tcW w:type="dxa" w:w="66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w:t>
            </w:r>
          </w:p>
        </w:tc>
        <w:tc>
          <w:tcPr>
            <w:tcW w:type="dxa" w:w="2067"/>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66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 г.</w:t>
            </w:r>
          </w:p>
        </w:tc>
        <w:tc>
          <w:tcPr>
            <w:tcW w:type="dxa" w:w="66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 г.</w:t>
            </w:r>
          </w:p>
        </w:tc>
      </w:tr>
      <w:tr>
        <w:tc>
          <w:tcPr>
            <w:vMerge w:val="continue"/>
            <w:tcBorders>
              <w:top w:val="single" w:color="CBBF9E" w:sz="4"/>
              <w:left w:val="single" w:color="CBBF9E" w:sz="4"/>
              <w:bottom w:val="single" w:color="CBBF9E" w:sz="4"/>
              <w:right w:val="single" w:color="CBBF9E" w:sz="4"/>
            </w:tcBorders>
          </w:tcP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предв. факт.</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янв.-март</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янв.-июнь</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янв.-сент.</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r>
      <w:tr>
        <w:tc>
          <w:tcPr>
            <w:tcW w:type="dxa" w:w="45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выпуск сферы услуг всего, млн. сомов</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258397,8</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299892,9</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343847,6</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60673,1</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138759,5</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230858,8</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395832,2</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453148,7</w:t>
            </w:r>
          </w:p>
        </w:tc>
      </w:tr>
      <w:tr>
        <w:tc>
          <w:tcPr>
            <w:tcW w:type="dxa" w:w="45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105,7</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104,1</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104,6</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r>
      <w:tr>
        <w:tc>
          <w:tcPr>
            <w:tcW w:type="dxa" w:w="45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104,8</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109,8</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108,7</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107,9</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108,5</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108,0</w:t>
            </w:r>
          </w:p>
        </w:tc>
      </w:tr>
      <w:tr>
        <w:tc>
          <w:tcPr>
            <w:tcW w:type="dxa" w:w="45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Торговля, ремонт автомобилей, бытовых изделий и предметов личного пользования, млн. сомов</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81827,3</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96944,646</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111740,1</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17908,7</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40618,3</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71026,1</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128860,2</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147920,9</w:t>
            </w:r>
          </w:p>
        </w:tc>
      </w:tr>
      <w:tr>
        <w:tc>
          <w:tcPr>
            <w:tcW w:type="dxa" w:w="45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104,8</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105,7</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r>
      <w:tr>
        <w:tc>
          <w:tcPr>
            <w:tcW w:type="dxa" w:w="45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102,6</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108,4</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107,4</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107,9</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108,2</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107,9</w:t>
            </w:r>
          </w:p>
        </w:tc>
      </w:tr>
      <w:tr>
        <w:tc>
          <w:tcPr>
            <w:tcW w:type="dxa" w:w="45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Гостиницы и рестораны, млн. сомов</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12016,8</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14424,3</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17115,0</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2682,1</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6080,5</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11209,6</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20259,8</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23939,1</w:t>
            </w:r>
          </w:p>
        </w:tc>
      </w:tr>
      <w:tr>
        <w:tc>
          <w:tcPr>
            <w:tcW w:type="dxa" w:w="45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111,9</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108,1</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108,4</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108,0</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108,7</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108,9</w:t>
            </w:r>
          </w:p>
        </w:tc>
      </w:tr>
      <w:tr>
        <w:tc>
          <w:tcPr>
            <w:tcW w:type="dxa" w:w="45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99,5</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111,0</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109,5</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104,9</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108,9</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108,5</w:t>
            </w:r>
          </w:p>
        </w:tc>
      </w:tr>
      <w:tr>
        <w:tc>
          <w:tcPr>
            <w:tcW w:type="dxa" w:w="45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Транспорт и связь, млн. сомов</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55431,7</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65396,9</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75784,1</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15498,3</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32752,9</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53493,6</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88451,3</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102712,9</w:t>
            </w:r>
          </w:p>
        </w:tc>
      </w:tr>
      <w:tr>
        <w:tc>
          <w:tcPr>
            <w:tcW w:type="dxa" w:w="45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108,8</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109,6</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108,8</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109,3</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109,4</w:t>
            </w:r>
          </w:p>
        </w:tc>
      </w:tr>
      <w:tr>
        <w:tc>
          <w:tcPr>
            <w:tcW w:type="dxa" w:w="45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103,9</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104,4</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105,7</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r>
      <w:tr>
        <w:tc>
          <w:tcPr>
            <w:tcW w:type="dxa" w:w="45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Транспорт, млн. сомов</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34095,7</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41134,3</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49252,3</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9791,8</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20659,6</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34167,7</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59649,1</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71649,3</w:t>
            </w:r>
          </w:p>
        </w:tc>
      </w:tr>
      <w:tr>
        <w:tc>
          <w:tcPr>
            <w:tcW w:type="dxa" w:w="45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108,6</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108,9</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109,8</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r>
      <w:tr>
        <w:tc>
          <w:tcPr>
            <w:tcW w:type="dxa" w:w="45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111,9</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108,9</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109,0</w:t>
            </w:r>
          </w:p>
        </w:tc>
      </w:tr>
      <w:tr>
        <w:tc>
          <w:tcPr>
            <w:tcW w:type="dxa" w:w="45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Связь, млн. сомов</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21336,0</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24262,7</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26531,8</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5706,5</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12093,3</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19325,8</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28802,3</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31063,6</w:t>
            </w:r>
          </w:p>
        </w:tc>
      </w:tr>
      <w:tr>
        <w:tc>
          <w:tcPr>
            <w:tcW w:type="dxa" w:w="45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109,2</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112,5</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108,8</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108,4</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108,3</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107,9</w:t>
            </w:r>
          </w:p>
        </w:tc>
      </w:tr>
      <w:tr>
        <w:tc>
          <w:tcPr>
            <w:tcW w:type="dxa" w:w="45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100,5</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101,1</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100,6</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100,7</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100,5</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100,2</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r>
      <w:tr>
        <w:tc>
          <w:tcPr>
            <w:tcW w:type="dxa" w:w="45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Финансовая деятельность, млн. сомов</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15683,9</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17758,2</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20082,3</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3851,6</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8991,7</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14318,9</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22563,1</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25329,8</w:t>
            </w:r>
          </w:p>
        </w:tc>
      </w:tr>
      <w:tr>
        <w:tc>
          <w:tcPr>
            <w:tcW w:type="dxa" w:w="45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104,1</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104,9</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105,3</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r>
      <w:tr>
        <w:tc>
          <w:tcPr>
            <w:tcW w:type="dxa" w:w="45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114,8</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107,4</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106,7</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r>
      <w:tr>
        <w:tc>
          <w:tcPr>
            <w:tcW w:type="dxa" w:w="45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Операции с недвижимым имуществом, аренда и предоставление услуг потребителям, млн. сомов</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20390,7</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22850,5</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25671,6</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5308,9</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11265,3</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17835,6</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28837,4</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32167,7</w:t>
            </w:r>
          </w:p>
        </w:tc>
      </w:tr>
      <w:tr>
        <w:tc>
          <w:tcPr>
            <w:tcW w:type="dxa" w:w="45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98,1</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101,1</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101,1</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101,7</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101,8</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w:t>
            </w:r>
          </w:p>
        </w:tc>
      </w:tr>
      <w:tr>
        <w:tc>
          <w:tcPr>
            <w:tcW w:type="dxa" w:w="45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102,7</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110,8</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110,7</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107,9</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108,6</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109,6</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109,9</w:t>
            </w:r>
          </w:p>
        </w:tc>
      </w:tr>
      <w:tr>
        <w:tc>
          <w:tcPr>
            <w:tcW w:type="dxa" w:w="45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Государственное управление, млн. сомов</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23865,7</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26636,9</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30092,7</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5106,6</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12103,4</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20096,3</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34876,5</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39840,1</w:t>
            </w:r>
          </w:p>
        </w:tc>
      </w:tr>
      <w:tr>
        <w:tc>
          <w:tcPr>
            <w:tcW w:type="dxa" w:w="45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101,8</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101,3</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101,9</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104,6</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104,8</w:t>
            </w:r>
          </w:p>
        </w:tc>
      </w:tr>
      <w:tr>
        <w:tc>
          <w:tcPr>
            <w:tcW w:type="dxa" w:w="45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99,4</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111,5</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110,8</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107,9</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109,2</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110,8</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109,0</w:t>
            </w:r>
          </w:p>
        </w:tc>
      </w:tr>
      <w:tr>
        <w:tc>
          <w:tcPr>
            <w:tcW w:type="dxa" w:w="45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Образование, млн. сомов</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22832,0</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25768,5</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28796,9</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4557,9</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13270,3</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19850,5</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32909,7</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37193,7</w:t>
            </w:r>
          </w:p>
        </w:tc>
      </w:tr>
      <w:tr>
        <w:tc>
          <w:tcPr>
            <w:tcW w:type="dxa" w:w="45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102,1</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102,2</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101,7</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101,9</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104,3</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r>
      <w:tr>
        <w:tc>
          <w:tcPr>
            <w:tcW w:type="dxa" w:w="45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109,0</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109,4</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107,7</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108,5</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109,6</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108,7</w:t>
            </w:r>
          </w:p>
        </w:tc>
      </w:tr>
      <w:tr>
        <w:tc>
          <w:tcPr>
            <w:tcW w:type="dxa" w:w="45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Здравоохранение и предоставление социальных услуг, млн. сомов</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15070,1</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17307,2</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19941,2</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3277,2</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7968,4</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13249,1</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22629,1</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25601,5</w:t>
            </w:r>
          </w:p>
        </w:tc>
      </w:tr>
      <w:tr>
        <w:tc>
          <w:tcPr>
            <w:tcW w:type="dxa" w:w="45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102,4</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103,2</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101,8</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102,7</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103,3</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102,8</w:t>
            </w:r>
          </w:p>
        </w:tc>
      </w:tr>
      <w:tr>
        <w:tc>
          <w:tcPr>
            <w:tcW w:type="dxa" w:w="45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121,2</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111,5</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111,7</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109,4</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109,9</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r>
      <w:tr>
        <w:tc>
          <w:tcPr>
            <w:tcW w:type="dxa" w:w="45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Предоставление коммунальных, социальных и персональных услуг, млн. сомов</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11279,6</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12805,6</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14623,8</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2481,8</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5708,6</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9779,1</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16445,1</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18443,0</w:t>
            </w:r>
          </w:p>
        </w:tc>
      </w:tr>
      <w:tr>
        <w:tc>
          <w:tcPr>
            <w:tcW w:type="dxa" w:w="45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97,0</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102,2</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102,7</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102,9</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102,9</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102,4</w:t>
            </w:r>
          </w:p>
        </w:tc>
      </w:tr>
      <w:tr>
        <w:tc>
          <w:tcPr>
            <w:tcW w:type="dxa" w:w="45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108,0</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111,1</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111,3</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109,2</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109,3</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109,5</w:t>
            </w:r>
          </w:p>
        </w:tc>
      </w:tr>
    </w:tbl>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10
 к Прогнозу социально-экономического развития Кыргызской Республики на 2014 год и 2015-2016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Объем оказанных рыночных услуг в Кыргызской Республике на 2014 год и 2015-2016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50"/>
        <w:gridCol w:w="798"/>
        <w:gridCol w:w="661"/>
        <w:gridCol w:w="661"/>
        <w:gridCol w:w="695"/>
        <w:gridCol w:w="695"/>
        <w:gridCol w:w="695"/>
        <w:gridCol w:w="661"/>
        <w:gridCol w:w="661"/>
      </w:tblGrid>
      <w:tr>
        <w:tc>
          <w:tcPr>
            <w:tcW w:type="dxa" w:w="4650"/>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w:t>
            </w:r>
          </w:p>
        </w:tc>
        <w:tc>
          <w:tcPr>
            <w:tcW w:type="dxa" w:w="79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66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w:t>
            </w:r>
          </w:p>
        </w:tc>
        <w:tc>
          <w:tcPr>
            <w:tcW w:type="dxa" w:w="66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w:t>
            </w:r>
          </w:p>
        </w:tc>
        <w:tc>
          <w:tcPr>
            <w:tcW w:type="dxa" w:w="2085"/>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66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 г.</w:t>
            </w:r>
          </w:p>
        </w:tc>
        <w:tc>
          <w:tcPr>
            <w:tcW w:type="dxa" w:w="66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 г.</w:t>
            </w:r>
          </w:p>
        </w:tc>
      </w:tr>
      <w:tr>
        <w:tc>
          <w:tcPr>
            <w:vMerge w:val="continue"/>
            <w:tcBorders>
              <w:top w:val="single" w:color="CBBF9E" w:sz="4"/>
              <w:left w:val="single" w:color="CBBF9E" w:sz="4"/>
              <w:bottom w:val="single" w:color="CBBF9E" w:sz="4"/>
              <w:right w:val="single" w:color="CBBF9E" w:sz="4"/>
            </w:tcBorders>
          </w:tcP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предв. факт</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янв.-март</w:t>
            </w:r>
          </w:p>
        </w:tc>
        <w:tc>
          <w:tcPr>
            <w:tcW w:type="dxa" w:w="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янв.-июнь</w:t>
            </w:r>
          </w:p>
        </w:tc>
        <w:tc>
          <w:tcPr>
            <w:tcW w:type="dxa" w:w="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янв.-сент.</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r>
      <w:tr>
        <w:tc>
          <w:tcPr>
            <w:tcW w:type="dxa" w:w="46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Объем оказанных рыночных услуг, млн. сомов</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386400,1</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451603,3</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522071,5</w:t>
            </w:r>
          </w:p>
        </w:tc>
        <w:tc>
          <w:tcPr>
            <w:tcW w:type="dxa" w:w="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84612,7</w:t>
            </w:r>
          </w:p>
        </w:tc>
        <w:tc>
          <w:tcPr>
            <w:tcW w:type="dxa" w:w="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195185,8</w:t>
            </w:r>
          </w:p>
        </w:tc>
        <w:tc>
          <w:tcPr>
            <w:tcW w:type="dxa" w:w="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338532,7</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606639,2</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700423,0</w:t>
            </w:r>
          </w:p>
        </w:tc>
      </w:tr>
      <w:tr>
        <w:tc>
          <w:tcPr>
            <w:tcW w:type="dxa" w:w="46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109,8</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c>
          <w:tcPr>
            <w:tcW w:type="dxa" w:w="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w:t>
            </w:r>
          </w:p>
        </w:tc>
      </w:tr>
      <w:tr>
        <w:tc>
          <w:tcPr>
            <w:tcW w:type="dxa" w:w="46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101,7</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108,9</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108,6</w:t>
            </w:r>
          </w:p>
        </w:tc>
        <w:tc>
          <w:tcPr>
            <w:tcW w:type="dxa" w:w="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c>
          <w:tcPr>
            <w:tcW w:type="dxa" w:w="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c>
          <w:tcPr>
            <w:tcW w:type="dxa" w:w="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108,1</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108,8</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108,3</w:t>
            </w:r>
          </w:p>
        </w:tc>
      </w:tr>
      <w:tr>
        <w:tc>
          <w:tcPr>
            <w:tcW w:type="dxa" w:w="46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Оборот торговли, ремонта автомобилей, бытовых изделий и предметов личного пользования, млн. сомов</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286495,3</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336942,5</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391147,8</w:t>
            </w:r>
          </w:p>
        </w:tc>
        <w:tc>
          <w:tcPr>
            <w:tcW w:type="dxa" w:w="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61920,1</w:t>
            </w:r>
          </w:p>
        </w:tc>
        <w:tc>
          <w:tcPr>
            <w:tcW w:type="dxa" w:w="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142960,6</w:t>
            </w:r>
          </w:p>
        </w:tc>
        <w:tc>
          <w:tcPr>
            <w:tcW w:type="dxa" w:w="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249334,7</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456605,6</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529088,1</w:t>
            </w:r>
          </w:p>
        </w:tc>
      </w:tr>
      <w:tr>
        <w:tc>
          <w:tcPr>
            <w:tcW w:type="dxa" w:w="46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111,1</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107,7</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w:t>
            </w:r>
          </w:p>
        </w:tc>
        <w:tc>
          <w:tcPr>
            <w:tcW w:type="dxa" w:w="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105,3</w:t>
            </w:r>
          </w:p>
        </w:tc>
        <w:tc>
          <w:tcPr>
            <w:tcW w:type="dxa" w:w="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c>
          <w:tcPr>
            <w:tcW w:type="dxa" w:w="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w:t>
            </w:r>
          </w:p>
        </w:tc>
      </w:tr>
      <w:tr>
        <w:tc>
          <w:tcPr>
            <w:tcW w:type="dxa" w:w="46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102,4</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109,2</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108,9</w:t>
            </w:r>
          </w:p>
        </w:tc>
        <w:tc>
          <w:tcPr>
            <w:tcW w:type="dxa" w:w="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w:t>
            </w:r>
          </w:p>
        </w:tc>
        <w:tc>
          <w:tcPr>
            <w:tcW w:type="dxa" w:w="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107,7</w:t>
            </w:r>
          </w:p>
        </w:tc>
        <w:tc>
          <w:tcPr>
            <w:tcW w:type="dxa" w:w="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108,3</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109,2</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108,7</w:t>
            </w:r>
          </w:p>
        </w:tc>
      </w:tr>
      <w:tr>
        <w:tc>
          <w:tcPr>
            <w:tcW w:type="dxa" w:w="46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Объем услуг гостиниц и ресторанов, млн. сомов</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12158,5</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14375,9</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17152,7</w:t>
            </w:r>
          </w:p>
        </w:tc>
        <w:tc>
          <w:tcPr>
            <w:tcW w:type="dxa" w:w="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2747,0</w:t>
            </w:r>
          </w:p>
        </w:tc>
        <w:tc>
          <w:tcPr>
            <w:tcW w:type="dxa" w:w="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6307,1</w:t>
            </w:r>
          </w:p>
        </w:tc>
        <w:tc>
          <w:tcPr>
            <w:tcW w:type="dxa" w:w="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11183,9</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20391,5</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24155,1</w:t>
            </w:r>
          </w:p>
        </w:tc>
      </w:tr>
      <w:tr>
        <w:tc>
          <w:tcPr>
            <w:tcW w:type="dxa" w:w="46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111,9</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108,3</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108,7</w:t>
            </w:r>
          </w:p>
        </w:tc>
        <w:tc>
          <w:tcPr>
            <w:tcW w:type="dxa" w:w="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c>
          <w:tcPr>
            <w:tcW w:type="dxa" w:w="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108,2</w:t>
            </w:r>
          </w:p>
        </w:tc>
        <w:tc>
          <w:tcPr>
            <w:tcW w:type="dxa" w:w="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109,1</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108,9</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109,2</w:t>
            </w:r>
          </w:p>
        </w:tc>
      </w:tr>
      <w:tr>
        <w:tc>
          <w:tcPr>
            <w:tcW w:type="dxa" w:w="46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99,5</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109,2</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109,8</w:t>
            </w:r>
          </w:p>
        </w:tc>
        <w:tc>
          <w:tcPr>
            <w:tcW w:type="dxa" w:w="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107,9</w:t>
            </w:r>
          </w:p>
        </w:tc>
        <w:tc>
          <w:tcPr>
            <w:tcW w:type="dxa" w:w="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108,4</w:t>
            </w:r>
          </w:p>
        </w:tc>
        <w:tc>
          <w:tcPr>
            <w:tcW w:type="dxa" w:w="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109,6</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109,2</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108,5</w:t>
            </w:r>
          </w:p>
        </w:tc>
      </w:tr>
      <w:tr>
        <w:tc>
          <w:tcPr>
            <w:tcW w:type="dxa" w:w="46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Прочие, млн. сомов</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87746,3</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100284,9</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113771,0</w:t>
            </w:r>
          </w:p>
        </w:tc>
        <w:tc>
          <w:tcPr>
            <w:tcW w:type="dxa" w:w="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19945,6</w:t>
            </w:r>
          </w:p>
        </w:tc>
        <w:tc>
          <w:tcPr>
            <w:tcW w:type="dxa" w:w="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45918,0</w:t>
            </w:r>
          </w:p>
        </w:tc>
        <w:tc>
          <w:tcPr>
            <w:tcW w:type="dxa" w:w="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78014,1</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129642,0</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147179,7</w:t>
            </w:r>
          </w:p>
        </w:tc>
      </w:tr>
      <w:tr>
        <w:tc>
          <w:tcPr>
            <w:tcW w:type="dxa" w:w="46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99,8</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105,7</w:t>
            </w:r>
          </w:p>
        </w:tc>
        <w:tc>
          <w:tcPr>
            <w:tcW w:type="dxa" w:w="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104,9</w:t>
            </w:r>
          </w:p>
        </w:tc>
        <w:tc>
          <w:tcPr>
            <w:tcW w:type="dxa" w:w="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c>
          <w:tcPr>
            <w:tcW w:type="dxa" w:w="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r>
      <w:tr>
        <w:tc>
          <w:tcPr>
            <w:tcW w:type="dxa" w:w="46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w:t>
            </w:r>
          </w:p>
        </w:tc>
        <w:tc>
          <w:tcPr>
            <w:tcW w:type="dxa" w:w="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c>
          <w:tcPr>
            <w:tcW w:type="dxa" w:w="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r>
    </w:tbl>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11
 к Прогнозу социально-экономического развития Кыргызской Республики на 2014 год и 2015-2016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инвестиций в основной капитал на 2014 год и 2015-2016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03"/>
        <w:gridCol w:w="806"/>
        <w:gridCol w:w="627"/>
        <w:gridCol w:w="627"/>
        <w:gridCol w:w="793"/>
        <w:gridCol w:w="793"/>
        <w:gridCol w:w="793"/>
        <w:gridCol w:w="668"/>
        <w:gridCol w:w="668"/>
      </w:tblGrid>
      <w:tr>
        <w:tc>
          <w:tcPr>
            <w:tcW w:type="dxa" w:w="4403"/>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w:t>
            </w:r>
          </w:p>
        </w:tc>
        <w:tc>
          <w:tcPr>
            <w:tcW w:type="dxa" w:w="80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62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w:t>
            </w:r>
          </w:p>
        </w:tc>
        <w:tc>
          <w:tcPr>
            <w:tcW w:type="dxa" w:w="62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w:t>
            </w:r>
          </w:p>
        </w:tc>
        <w:tc>
          <w:tcPr>
            <w:tcW w:type="dxa" w:w="2379"/>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66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 г.</w:t>
            </w:r>
          </w:p>
        </w:tc>
        <w:tc>
          <w:tcPr>
            <w:tcW w:type="dxa" w:w="66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 г.</w:t>
            </w:r>
          </w:p>
        </w:tc>
      </w:tr>
      <w:tr>
        <w:tc>
          <w:tcPr>
            <w:vMerge w:val="continue"/>
            <w:tcBorders>
              <w:top w:val="single" w:color="CBBF9E" w:sz="4"/>
              <w:left w:val="single" w:color="CBBF9E" w:sz="4"/>
              <w:bottom w:val="single" w:color="CBBF9E" w:sz="4"/>
              <w:right w:val="single" w:color="CBBF9E" w:sz="4"/>
            </w:tcBorders>
          </w:tcP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предв. факт</w:t>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w:t>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7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 - март</w:t>
            </w:r>
          </w:p>
        </w:tc>
        <w:tc>
          <w:tcPr>
            <w:tcW w:type="dxa" w:w="7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 - июнь</w:t>
            </w:r>
          </w:p>
        </w:tc>
        <w:tc>
          <w:tcPr>
            <w:tcW w:type="dxa" w:w="7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 - сент.</w:t>
            </w:r>
          </w:p>
        </w:tc>
        <w:tc>
          <w:tcPr>
            <w:tcW w:type="dxa" w:w="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r>
      <w:tr>
        <w:tc>
          <w:tcPr>
            <w:tcW w:type="dxa" w:w="44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Инвестиции в основной капитал, млн. сомов</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62625,0</w:t>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73 256,7</w:t>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89 563,6</w:t>
            </w:r>
          </w:p>
        </w:tc>
        <w:tc>
          <w:tcPr>
            <w:tcW w:type="dxa" w:w="7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8290,9</w:t>
            </w:r>
          </w:p>
        </w:tc>
        <w:tc>
          <w:tcPr>
            <w:tcW w:type="dxa" w:w="7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25558,8</w:t>
            </w:r>
          </w:p>
        </w:tc>
        <w:tc>
          <w:tcPr>
            <w:tcW w:type="dxa" w:w="7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52342,9</w:t>
            </w:r>
          </w:p>
        </w:tc>
        <w:tc>
          <w:tcPr>
            <w:tcW w:type="dxa" w:w="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115305,4</w:t>
            </w:r>
          </w:p>
        </w:tc>
        <w:tc>
          <w:tcPr>
            <w:tcW w:type="dxa" w:w="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146640,7</w:t>
            </w:r>
          </w:p>
        </w:tc>
      </w:tr>
      <w:tr>
        <w:tc>
          <w:tcPr>
            <w:tcW w:type="dxa" w:w="44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121,5</w:t>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112,8</w:t>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115,2</w:t>
            </w:r>
          </w:p>
        </w:tc>
        <w:tc>
          <w:tcPr>
            <w:tcW w:type="dxa" w:w="7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113,1</w:t>
            </w:r>
          </w:p>
        </w:tc>
        <w:tc>
          <w:tcPr>
            <w:tcW w:type="dxa" w:w="7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114,6</w:t>
            </w:r>
          </w:p>
        </w:tc>
        <w:tc>
          <w:tcPr>
            <w:tcW w:type="dxa" w:w="7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115,4</w:t>
            </w:r>
          </w:p>
        </w:tc>
        <w:tc>
          <w:tcPr>
            <w:tcW w:type="dxa" w:w="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121,1</w:t>
            </w:r>
          </w:p>
        </w:tc>
        <w:tc>
          <w:tcPr>
            <w:tcW w:type="dxa" w:w="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119,5</w:t>
            </w:r>
          </w:p>
        </w:tc>
      </w:tr>
      <w:tr>
        <w:tc>
          <w:tcPr>
            <w:tcW w:type="dxa" w:w="44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В том числе:</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Внутренние инвестиции</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42192,7</w:t>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51385,5</w:t>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60201,5</w:t>
            </w:r>
          </w:p>
        </w:tc>
        <w:tc>
          <w:tcPr>
            <w:tcW w:type="dxa" w:w="7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6182,8</w:t>
            </w:r>
          </w:p>
        </w:tc>
        <w:tc>
          <w:tcPr>
            <w:tcW w:type="dxa" w:w="7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19657,0</w:t>
            </w:r>
          </w:p>
        </w:tc>
        <w:tc>
          <w:tcPr>
            <w:tcW w:type="dxa" w:w="7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34517,2</w:t>
            </w:r>
          </w:p>
        </w:tc>
        <w:tc>
          <w:tcPr>
            <w:tcW w:type="dxa" w:w="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76456,5</w:t>
            </w:r>
          </w:p>
        </w:tc>
        <w:tc>
          <w:tcPr>
            <w:tcW w:type="dxa" w:w="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97425,4</w:t>
            </w:r>
          </w:p>
        </w:tc>
      </w:tr>
      <w:tr>
        <w:tc>
          <w:tcPr>
            <w:tcW w:type="dxa" w:w="44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111,0</w:t>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117,5</w:t>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c>
          <w:tcPr>
            <w:tcW w:type="dxa" w:w="7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109,6</w:t>
            </w:r>
          </w:p>
        </w:tc>
        <w:tc>
          <w:tcPr>
            <w:tcW w:type="dxa" w:w="7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111,8</w:t>
            </w:r>
          </w:p>
        </w:tc>
        <w:tc>
          <w:tcPr>
            <w:tcW w:type="dxa" w:w="7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113,3</w:t>
            </w:r>
          </w:p>
        </w:tc>
        <w:tc>
          <w:tcPr>
            <w:tcW w:type="dxa" w:w="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119,5</w:t>
            </w:r>
          </w:p>
        </w:tc>
        <w:tc>
          <w:tcPr>
            <w:tcW w:type="dxa" w:w="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119,8</w:t>
            </w:r>
          </w:p>
        </w:tc>
      </w:tr>
      <w:tr>
        <w:tc>
          <w:tcPr>
            <w:tcW w:type="dxa" w:w="44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 (включая средства на чрезвычайные ситуации)</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3605,7</w:t>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4395,4</w:t>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6552,9</w:t>
            </w:r>
          </w:p>
        </w:tc>
        <w:tc>
          <w:tcPr>
            <w:tcW w:type="dxa" w:w="7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111,5</w:t>
            </w:r>
          </w:p>
        </w:tc>
        <w:tc>
          <w:tcPr>
            <w:tcW w:type="dxa" w:w="7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791,9</w:t>
            </w:r>
          </w:p>
        </w:tc>
        <w:tc>
          <w:tcPr>
            <w:tcW w:type="dxa" w:w="7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2615,8</w:t>
            </w:r>
          </w:p>
        </w:tc>
        <w:tc>
          <w:tcPr>
            <w:tcW w:type="dxa" w:w="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9568,9</w:t>
            </w:r>
          </w:p>
        </w:tc>
        <w:tc>
          <w:tcPr>
            <w:tcW w:type="dxa" w:w="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12792,2</w:t>
            </w:r>
          </w:p>
        </w:tc>
      </w:tr>
      <w:tr>
        <w:tc>
          <w:tcPr>
            <w:tcW w:type="dxa" w:w="44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Местный бюджет</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606,9</w:t>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732,6</w:t>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985,2</w:t>
            </w:r>
          </w:p>
        </w:tc>
        <w:tc>
          <w:tcPr>
            <w:tcW w:type="dxa" w:w="7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w:t>
            </w:r>
          </w:p>
        </w:tc>
        <w:tc>
          <w:tcPr>
            <w:tcW w:type="dxa" w:w="7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201,7</w:t>
            </w:r>
          </w:p>
        </w:tc>
        <w:tc>
          <w:tcPr>
            <w:tcW w:type="dxa" w:w="7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761,6</w:t>
            </w:r>
          </w:p>
        </w:tc>
        <w:tc>
          <w:tcPr>
            <w:tcW w:type="dxa" w:w="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1126,1</w:t>
            </w:r>
          </w:p>
        </w:tc>
        <w:tc>
          <w:tcPr>
            <w:tcW w:type="dxa" w:w="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1422,4</w:t>
            </w:r>
          </w:p>
        </w:tc>
      </w:tr>
      <w:tr>
        <w:tc>
          <w:tcPr>
            <w:tcW w:type="dxa" w:w="44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Средства предприятий и организаций</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23174,4</w:t>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26299,2</w:t>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31168,1</w:t>
            </w:r>
          </w:p>
        </w:tc>
        <w:tc>
          <w:tcPr>
            <w:tcW w:type="dxa" w:w="7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2418,8</w:t>
            </w:r>
          </w:p>
        </w:tc>
        <w:tc>
          <w:tcPr>
            <w:tcW w:type="dxa" w:w="7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11303,8</w:t>
            </w:r>
          </w:p>
        </w:tc>
        <w:tc>
          <w:tcPr>
            <w:tcW w:type="dxa" w:w="7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20060,4</w:t>
            </w:r>
          </w:p>
        </w:tc>
        <w:tc>
          <w:tcPr>
            <w:tcW w:type="dxa" w:w="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39524,5</w:t>
            </w:r>
          </w:p>
        </w:tc>
        <w:tc>
          <w:tcPr>
            <w:tcW w:type="dxa" w:w="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50068,7</w:t>
            </w:r>
          </w:p>
        </w:tc>
      </w:tr>
      <w:tr>
        <w:tc>
          <w:tcPr>
            <w:tcW w:type="dxa" w:w="44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Кредиты банков</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309,2</w:t>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439,5</w:t>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447,8</w:t>
            </w:r>
          </w:p>
        </w:tc>
        <w:tc>
          <w:tcPr>
            <w:tcW w:type="dxa" w:w="7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141,1</w:t>
            </w:r>
          </w:p>
        </w:tc>
        <w:tc>
          <w:tcPr>
            <w:tcW w:type="dxa" w:w="7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239,5</w:t>
            </w:r>
          </w:p>
        </w:tc>
        <w:tc>
          <w:tcPr>
            <w:tcW w:type="dxa" w:w="7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334,5</w:t>
            </w:r>
          </w:p>
        </w:tc>
        <w:tc>
          <w:tcPr>
            <w:tcW w:type="dxa" w:w="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675,6</w:t>
            </w:r>
          </w:p>
        </w:tc>
        <w:tc>
          <w:tcPr>
            <w:tcW w:type="dxa" w:w="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711,2</w:t>
            </w:r>
          </w:p>
        </w:tc>
      </w:tr>
      <w:tr>
        <w:tc>
          <w:tcPr>
            <w:tcW w:type="dxa" w:w="44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Внешние инвестиции</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20432,3</w:t>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21871,2</w:t>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29362,1</w:t>
            </w:r>
          </w:p>
        </w:tc>
        <w:tc>
          <w:tcPr>
            <w:tcW w:type="dxa" w:w="7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2108,1</w:t>
            </w:r>
          </w:p>
        </w:tc>
        <w:tc>
          <w:tcPr>
            <w:tcW w:type="dxa" w:w="7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5901,8</w:t>
            </w:r>
          </w:p>
        </w:tc>
        <w:tc>
          <w:tcPr>
            <w:tcW w:type="dxa" w:w="7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17825,7</w:t>
            </w:r>
          </w:p>
        </w:tc>
        <w:tc>
          <w:tcPr>
            <w:tcW w:type="dxa" w:w="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38848,9</w:t>
            </w:r>
          </w:p>
        </w:tc>
        <w:tc>
          <w:tcPr>
            <w:tcW w:type="dxa" w:w="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49215,3</w:t>
            </w:r>
          </w:p>
        </w:tc>
      </w:tr>
      <w:tr>
        <w:tc>
          <w:tcPr>
            <w:tcW w:type="dxa" w:w="44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151,2</w:t>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103,2</w:t>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126,5</w:t>
            </w:r>
          </w:p>
        </w:tc>
        <w:tc>
          <w:tcPr>
            <w:tcW w:type="dxa" w:w="7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125,0</w:t>
            </w:r>
          </w:p>
        </w:tc>
        <w:tc>
          <w:tcPr>
            <w:tcW w:type="dxa" w:w="7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125,3</w:t>
            </w:r>
          </w:p>
        </w:tc>
        <w:tc>
          <w:tcPr>
            <w:tcW w:type="dxa" w:w="7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119,8</w:t>
            </w:r>
          </w:p>
        </w:tc>
        <w:tc>
          <w:tcPr>
            <w:tcW w:type="dxa" w:w="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124,5</w:t>
            </w:r>
          </w:p>
        </w:tc>
        <w:tc>
          <w:tcPr>
            <w:tcW w:type="dxa" w:w="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119,1</w:t>
            </w:r>
          </w:p>
        </w:tc>
      </w:tr>
      <w:tr>
        <w:tc>
          <w:tcPr>
            <w:tcW w:type="dxa" w:w="44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Иностранный кредит</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12378,3</w:t>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13287,4</w:t>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18524,9</w:t>
            </w:r>
          </w:p>
        </w:tc>
        <w:tc>
          <w:tcPr>
            <w:tcW w:type="dxa" w:w="7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1526,7</w:t>
            </w:r>
          </w:p>
        </w:tc>
        <w:tc>
          <w:tcPr>
            <w:tcW w:type="dxa" w:w="7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3754,2</w:t>
            </w:r>
          </w:p>
        </w:tc>
        <w:tc>
          <w:tcPr>
            <w:tcW w:type="dxa" w:w="7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10293,3</w:t>
            </w:r>
          </w:p>
        </w:tc>
        <w:tc>
          <w:tcPr>
            <w:tcW w:type="dxa" w:w="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24885,8</w:t>
            </w:r>
          </w:p>
        </w:tc>
        <w:tc>
          <w:tcPr>
            <w:tcW w:type="dxa" w:w="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31719,7</w:t>
            </w:r>
          </w:p>
        </w:tc>
      </w:tr>
      <w:tr>
        <w:tc>
          <w:tcPr>
            <w:tcW w:type="dxa" w:w="44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Прямые иностранные инвестиции</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5659,3</w:t>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6519,8</w:t>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7792,0</w:t>
            </w:r>
          </w:p>
        </w:tc>
        <w:tc>
          <w:tcPr>
            <w:tcW w:type="dxa" w:w="7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279,3</w:t>
            </w:r>
          </w:p>
        </w:tc>
        <w:tc>
          <w:tcPr>
            <w:tcW w:type="dxa" w:w="7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1242,1</w:t>
            </w:r>
          </w:p>
        </w:tc>
        <w:tc>
          <w:tcPr>
            <w:tcW w:type="dxa" w:w="7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4950,0</w:t>
            </w:r>
          </w:p>
        </w:tc>
        <w:tc>
          <w:tcPr>
            <w:tcW w:type="dxa" w:w="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9909,3</w:t>
            </w:r>
          </w:p>
        </w:tc>
        <w:tc>
          <w:tcPr>
            <w:tcW w:type="dxa" w:w="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12517,2</w:t>
            </w:r>
          </w:p>
        </w:tc>
      </w:tr>
      <w:tr>
        <w:tc>
          <w:tcPr>
            <w:tcW w:type="dxa" w:w="44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Иностранные гранты и гуманитарная помощь</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2394,7</w:t>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2064,0</w:t>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3045,2</w:t>
            </w:r>
          </w:p>
        </w:tc>
        <w:tc>
          <w:tcPr>
            <w:tcW w:type="dxa" w:w="7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302,1</w:t>
            </w:r>
          </w:p>
        </w:tc>
        <w:tc>
          <w:tcPr>
            <w:tcW w:type="dxa" w:w="7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905,5</w:t>
            </w:r>
          </w:p>
        </w:tc>
        <w:tc>
          <w:tcPr>
            <w:tcW w:type="dxa" w:w="7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2582,4</w:t>
            </w:r>
          </w:p>
        </w:tc>
        <w:tc>
          <w:tcPr>
            <w:tcW w:type="dxa" w:w="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4053,8</w:t>
            </w:r>
          </w:p>
        </w:tc>
        <w:tc>
          <w:tcPr>
            <w:tcW w:type="dxa" w:w="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4978,4</w:t>
            </w:r>
          </w:p>
        </w:tc>
      </w:tr>
    </w:tbl>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12
 к Прогнозу социально-экономического развития Кыргызской Республики на 2014 год и 2015-2016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экспорта и импорта товаров на 2014 год и 2015-2016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23"/>
        <w:gridCol w:w="1738"/>
        <w:gridCol w:w="1003"/>
        <w:gridCol w:w="1003"/>
        <w:gridCol w:w="1003"/>
        <w:gridCol w:w="1003"/>
        <w:gridCol w:w="1003"/>
      </w:tblGrid>
      <w:tr>
        <w:tc>
          <w:tcPr>
            <w:tcW w:type="dxa" w:w="3423"/>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w:t>
            </w:r>
          </w:p>
        </w:tc>
        <w:tc>
          <w:tcPr>
            <w:tcW w:type="dxa" w:w="173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 изм.</w:t>
            </w:r>
          </w:p>
        </w:tc>
        <w:tc>
          <w:tcPr>
            <w:tcW w:type="dxa" w:w="100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100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w:t>
            </w:r>
          </w:p>
        </w:tc>
        <w:tc>
          <w:tcPr>
            <w:tcW w:type="dxa" w:w="100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w:t>
            </w:r>
          </w:p>
        </w:tc>
        <w:tc>
          <w:tcPr>
            <w:tcW w:type="dxa" w:w="100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 г.</w:t>
            </w:r>
          </w:p>
        </w:tc>
        <w:tc>
          <w:tcPr>
            <w:tcW w:type="dxa" w:w="100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 г.</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предв. факт</w:t>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w:t>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r>
      <w:tr>
        <w:tc>
          <w:tcPr>
            <w:tcW w:type="dxa" w:w="3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Внешнеторговый оборот</w:t>
            </w:r>
          </w:p>
        </w:tc>
        <w:tc>
          <w:tcPr>
            <w:tcW w:type="dxa" w:w="1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7267,7</w:t>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8300</w:t>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9580</w:t>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11100</w:t>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12750</w:t>
            </w:r>
          </w:p>
        </w:tc>
      </w:tr>
      <w:tr>
        <w:tc>
          <w:tcPr>
            <w:tcW w:type="dxa" w:w="3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111,8</w:t>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114,2</w:t>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115,4</w:t>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115,9</w:t>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114,9</w:t>
            </w:r>
          </w:p>
        </w:tc>
      </w:tr>
      <w:tr>
        <w:tc>
          <w:tcPr>
            <w:tcW w:type="dxa" w:w="3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Экспорт товаров</w:t>
            </w:r>
          </w:p>
        </w:tc>
        <w:tc>
          <w:tcPr>
            <w:tcW w:type="dxa" w:w="1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1893,8</w:t>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2100,0</w:t>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2325,0</w:t>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2600,0</w:t>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2800,0</w:t>
            </w:r>
          </w:p>
        </w:tc>
      </w:tr>
      <w:tr>
        <w:tc>
          <w:tcPr>
            <w:tcW w:type="dxa" w:w="3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84,5</w:t>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110,9</w:t>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110,7</w:t>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111,8</w:t>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107,7</w:t>
            </w:r>
          </w:p>
        </w:tc>
      </w:tr>
      <w:tr>
        <w:tc>
          <w:tcPr>
            <w:tcW w:type="dxa" w:w="3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Импорт товаров</w:t>
            </w:r>
          </w:p>
        </w:tc>
        <w:tc>
          <w:tcPr>
            <w:tcW w:type="dxa" w:w="1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5373,9</w:t>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6200</w:t>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7255</w:t>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8500</w:t>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9950</w:t>
            </w:r>
          </w:p>
        </w:tc>
      </w:tr>
      <w:tr>
        <w:tc>
          <w:tcPr>
            <w:tcW w:type="dxa" w:w="3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126,1</w:t>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115,4</w:t>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117,0</w:t>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117,2</w:t>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117,1</w:t>
            </w:r>
          </w:p>
        </w:tc>
      </w:tr>
      <w:tr>
        <w:tc>
          <w:tcPr>
            <w:tcW w:type="dxa" w:w="3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Сальдо экспорта-импорта товаров</w:t>
            </w:r>
          </w:p>
        </w:tc>
        <w:tc>
          <w:tcPr>
            <w:tcW w:type="dxa" w:w="1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-3480,1</w:t>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-4100</w:t>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-4930</w:t>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-5900</w:t>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-7150</w:t>
            </w:r>
          </w:p>
        </w:tc>
      </w:tr>
      <w:tr>
        <w:tc>
          <w:tcPr>
            <w:tcW w:type="dxa" w:w="3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172,4</w:t>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117,8</w:t>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120,2</w:t>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119,7</w:t>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121,2</w:t>
            </w:r>
          </w:p>
        </w:tc>
      </w:tr>
    </w:tbl>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13
 к Прогнозу социально-экономического развития Кыргызской Республики на 2014 год и 2015-2016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экспорта основных видов продукции на 2014 год и 2015-2016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49"/>
        <w:gridCol w:w="1541"/>
        <w:gridCol w:w="898"/>
        <w:gridCol w:w="898"/>
        <w:gridCol w:w="898"/>
        <w:gridCol w:w="898"/>
        <w:gridCol w:w="898"/>
      </w:tblGrid>
      <w:tr>
        <w:tc>
          <w:tcPr>
            <w:tcW w:type="dxa" w:w="4149"/>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w:t>
            </w:r>
          </w:p>
        </w:tc>
        <w:tc>
          <w:tcPr>
            <w:tcW w:type="dxa" w:w="154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 измер.</w:t>
            </w:r>
          </w:p>
        </w:tc>
        <w:tc>
          <w:tcPr>
            <w:tcW w:type="dxa" w:w="89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89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w:t>
            </w:r>
          </w:p>
        </w:tc>
        <w:tc>
          <w:tcPr>
            <w:tcW w:type="dxa" w:w="89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w:t>
            </w:r>
          </w:p>
        </w:tc>
        <w:tc>
          <w:tcPr>
            <w:tcW w:type="dxa" w:w="89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 г.</w:t>
            </w:r>
          </w:p>
        </w:tc>
        <w:tc>
          <w:tcPr>
            <w:tcW w:type="dxa" w:w="89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 г.</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предв. факт</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Экспорт товаров</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1893,8</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2100,0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2325,0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2600,0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2800,0</w:t>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84,5</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110,9</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110,7</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111,8</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107,7</w:t>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Золото</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562,3</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653,3</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716,3</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911,0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968</w:t>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55,9</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116,2</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109,6</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127,2</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Сурьма и изделия из нее</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w:t>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116,5</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96,2</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111,3</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Ртуть</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4,05</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w:t>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94,2</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135,8</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112,8</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111,6</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111,2</w:t>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Лампы накаливания</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22,3</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23,6</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24,7</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27,3</w:t>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103,6</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104,7</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105,3</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Цемент</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14,6</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w:t>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116,1</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111,8</w:t>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Предметы одежды и одежные принадлежности</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156,1</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232,0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269,0</w:t>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109,9</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115,3</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113,9</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113,2</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115,9</w:t>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Электроэнергия</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56,4</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70,1</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35,5</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Овощи и фрукты</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144,1</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153,0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188,0</w:t>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107,4%</w:t>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Хлопок-волокно</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33,9</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35,1</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36,3</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37,5</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38,7</w:t>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109,4</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103,5</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103,3</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103,3</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103,3</w:t>
            </w:r>
          </w:p>
        </w:tc>
      </w:tr>
    </w:tbl>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14
 к Прогнозу социально-экономического развития Кыргызской Республики на 2014 год и 2015-2016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импорта основных товаров в Кыргызскую Республику  на 2014 год и 2015-2016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49"/>
        <w:gridCol w:w="1541"/>
        <w:gridCol w:w="898"/>
        <w:gridCol w:w="898"/>
        <w:gridCol w:w="898"/>
        <w:gridCol w:w="898"/>
        <w:gridCol w:w="898"/>
      </w:tblGrid>
      <w:tr>
        <w:tc>
          <w:tcPr>
            <w:tcW w:type="dxa" w:w="4149"/>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w:t>
            </w:r>
          </w:p>
        </w:tc>
        <w:tc>
          <w:tcPr>
            <w:tcW w:type="dxa" w:w="154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 изм.</w:t>
            </w:r>
          </w:p>
        </w:tc>
        <w:tc>
          <w:tcPr>
            <w:tcW w:type="dxa" w:w="89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89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w:t>
            </w:r>
          </w:p>
        </w:tc>
        <w:tc>
          <w:tcPr>
            <w:tcW w:type="dxa" w:w="89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w:t>
            </w:r>
          </w:p>
        </w:tc>
        <w:tc>
          <w:tcPr>
            <w:tcW w:type="dxa" w:w="89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 г.</w:t>
            </w:r>
          </w:p>
        </w:tc>
        <w:tc>
          <w:tcPr>
            <w:tcW w:type="dxa" w:w="89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 г.</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предв. факт</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Импорт товаров</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5373,9</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6200,0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7255</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9950</w:t>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126,1</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115,4</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117,2</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117,1</w:t>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Нефтепродукты</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1043,0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1203,3</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1408</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1649,7</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1931,2</w:t>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120,7</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115,4</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117,2</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117,1</w:t>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Бензин</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508,4</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576,0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660,0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770,0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926,0</w:t>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129,2</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113,3</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114,6</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116,7</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120,3</w:t>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Авиакеросин</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104,4</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156,0</w:t>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93,7</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112,7</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112,9</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111,4</w:t>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Дизтопливо</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350,2</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411,8</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484,3</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572,0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670,0</w:t>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130,4</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117,6</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117,6</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118,1</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117,1</w:t>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Мазут</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16,6</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w:t>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48,1</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112,5</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Уголь</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38,6</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30,3</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31,4</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32,5</w:t>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103,5</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103,5</w:t>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Газ природный</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78,2</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115,0</w:t>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113,2</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104,9</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117,1</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111,5</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Машины, специально предназначенные для конкретных отраслей</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375,3</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433,0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507,0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594,0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695,0</w:t>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134,4</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115,4</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117,1</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117,2</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117,0</w:t>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Электрические машины, оборудование и аппаратура</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261,5</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306,0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358,0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410,0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480,0</w:t>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174,8</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114,5</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117,1</w:t>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Средства наземного транспорта</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674,8</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779,0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911,0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1067,0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1249,0</w:t>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153,4</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115,4</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116,9</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117,1</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117,1</w:t>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Черные металлы и изделия из них</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324,4</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341,0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399,0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468,0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547,0</w:t>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153,2</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117,3</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116,9</w:t>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Пластмассы и изделия из них</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138,4</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187,0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219,0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256,0</w:t>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128,9</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115,6</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116,9</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117,1</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116,9</w:t>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Каучук, резина и изделия из нее</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86,3</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156</w:t>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133,2</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112,4</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116,5</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118,6</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116,4</w:t>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Удобрения</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58,3</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108,0</w:t>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137,2</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114,9</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117,9</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116,5</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117,4</w:t>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Лесоматериалы</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153,4</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246,0</w:t>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132,1</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115,3</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117,3</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116,7</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117,1</w:t>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Бумага, картон и изделия из них</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78,8</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146,0</w:t>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124,1</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115,5</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116,5</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117,9</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116,8</w:t>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Фармацевтическая продукция</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186,5</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215,0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295,0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345,0</w:t>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114,2</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115,3</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117,2</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117,1</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116,9</w:t>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Предметы одежды и одежные принадлежности</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229,4</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310,0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363,0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425,0</w:t>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128,3</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115,5</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117,1</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117,1</w:t>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Продовольственные товары (включая сельхозсырье)</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785,9</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880,0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1150,0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1320</w:t>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112,3</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113,6</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114,8</w:t>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Пшеница</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88,1</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93,7</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101,4</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110,8</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w:t>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131,5</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108,2</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109,2</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108,3</w:t>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Алкогольная продукция</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34,4</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51,0</w:t>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100,3</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109,5</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110,9</w:t>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Водка</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111,4</w:t>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Вина</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w:t>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111,1</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Пиво</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w:t>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87,9</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111,8</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111,8</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109,5</w:t>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Табачные изделия</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55,4</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143,2</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117,3</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115,4</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114,9</w:t>
            </w:r>
          </w:p>
        </w:tc>
      </w:tr>
    </w:tbl>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15
 к Прогнозу социально-экономического развития Кыргызской Республики на 2014 год и 2015-2016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развития регионов на 2014 год и 2015-2016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65"/>
        <w:gridCol w:w="1028"/>
        <w:gridCol w:w="934"/>
        <w:gridCol w:w="843"/>
        <w:gridCol w:w="831"/>
        <w:gridCol w:w="831"/>
        <w:gridCol w:w="831"/>
        <w:gridCol w:w="831"/>
        <w:gridCol w:w="843"/>
        <w:gridCol w:w="843"/>
      </w:tblGrid>
      <w:tr>
        <w:tc>
          <w:tcPr>
            <w:tcW w:type="dxa" w:w="2365"/>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w:t>
            </w:r>
          </w:p>
        </w:tc>
        <w:tc>
          <w:tcPr>
            <w:tcW w:type="dxa" w:w="102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93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w:t>
            </w:r>
          </w:p>
        </w:tc>
        <w:tc>
          <w:tcPr>
            <w:tcW w:type="dxa" w:w="84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w:t>
            </w:r>
          </w:p>
        </w:tc>
        <w:tc>
          <w:tcPr>
            <w:tcW w:type="dxa" w:w="3324"/>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84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 г.</w:t>
            </w:r>
          </w:p>
        </w:tc>
        <w:tc>
          <w:tcPr>
            <w:tcW w:type="dxa" w:w="84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 г.</w:t>
            </w:r>
          </w:p>
        </w:tc>
      </w:tr>
      <w:tr>
        <w:tc>
          <w:tcPr>
            <w:vMerge w:val="continue"/>
            <w:tcBorders>
              <w:top w:val="single" w:color="CBBF9E" w:sz="4"/>
              <w:left w:val="single" w:color="CBBF9E" w:sz="4"/>
              <w:bottom w:val="single" w:color="CBBF9E" w:sz="4"/>
              <w:right w:val="single" w:color="CBBF9E" w:sz="4"/>
            </w:tcBorders>
          </w:tcP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 факт</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 - март</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 - июнь</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 - сент.</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r>
      <w:tr>
        <w:tc>
          <w:tcPr>
            <w:tcW w:type="dxa" w:w="10180"/>
            <w:gridSpan w:val="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региональный продукт, млн. сомов</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 всего</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304350,1</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351140,8</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401030,0</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463175,4</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524850,8</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99,1</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Дефлятор,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107,4</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108,3</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14990,7</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17118,6</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18517,8</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21029,8</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23674,8</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104,6</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103,3</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101,3</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104,8</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104,9</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35336,0</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39975,2</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43926,4</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50366,2</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57934,8</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103,2</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34847,7</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41700,4</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47929,0</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55583,3</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61007,8</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69,9</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124,5</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8716,3</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10076,3</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11456,4</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12910,4</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14524,3</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104,6</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104,5</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104,6</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30820,3</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35357,1</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39543,6</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44259,7</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49582,2</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104,8</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103,4</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103,6</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104,4</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7352,5</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8180,8</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9215,8</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10464,9</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11893,8</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103,8</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102,8</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103,5</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104,2</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104,1</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43313,7</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49810,8</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57939,1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67355,5</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73776,0</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95,9</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108,2</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105,3</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 Бишкек</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119254,4</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137748,4</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159581,1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186162,3</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215297,2</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 Ош</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9718,6</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11173,2</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12920,7</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15043,1</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17160,0</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104,9</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0"/>
            <w:gridSpan w:val="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Объем продукции промышленности (без учета давальческого сырья), млн. сомов</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 всего</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133822,9</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155224,9</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173333,8</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37658,6</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67870,5</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100758,3</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203456,5</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220793,5</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77,2</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118,0</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112,5</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108,3</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103,3</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99,8</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98,3</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99,3</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102,2</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108,8</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4799,5</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5390,0</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5750,0</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2569,4</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4357,6</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6250,0</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6930,0</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115,3</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108,5</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103,7</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103,9</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102,7</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103,2</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103,5</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15494,3</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16335,3</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18086,9</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4573,2</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7908,7</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13549,7</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20141,0</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23000,0</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104,9</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100,8</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104,8</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27592,7</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32873,9</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36202,1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7454,3</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11704,2</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14399,0</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44515,0</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44559,5</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55,1</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140,0</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126,0</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115,3</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113,3</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111,9</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112,5</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1164,7</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1310,1</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1480,0</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398,1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656,7</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989,2</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1670,0</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1870,0</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103,4</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104,6</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104,8</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3083,9</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3505,5</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4210,0</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703,2</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1600,8</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2642,3</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4840,0</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5510,0</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109,4</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108,4</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107,7</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755,5</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839,8</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970,4</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286,4</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465,6</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672,2</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1103,0</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1260,0</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114,5</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104,5</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104,7</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103,5</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48412,3</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59609,3</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68684,4</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13222,6</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24081,7</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34980,8</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83291,5</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90513,3</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121,7</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113,7</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111,3</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109,9</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104,6</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 Бишкек</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30124,1</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32669,2</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34800,0</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8948,9</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17347,7</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27105,7</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38060,0</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43090,7</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102,2</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105,3</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103,2</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103,4</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102,2</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102,7</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103,1</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 Ош</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2395,9</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2691,8</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3150,0</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968,7</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1535,7</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2061,9</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3586,0</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4060,0</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109,4</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108,0</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105,3</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104,6</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104,5</w:t>
            </w:r>
          </w:p>
        </w:tc>
      </w:tr>
      <w:tr>
        <w:tc>
          <w:tcPr>
            <w:tcW w:type="dxa" w:w="10180"/>
            <w:gridSpan w:val="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Объем продукции промышленности (с давальческим сырьем), млн. сомов</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 всего</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134 867,3</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157 277,6</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176 264,5</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37 050,4</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68 644,9</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103 085,1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207 438,7</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225 381,3</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77,2</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118,2</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112,8</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115,3</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112,5</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111,0</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108,0</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103,3</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99,8</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98,6</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99,4</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96,4</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99,0</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108,9</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4868,3</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5450,0</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5750,0</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6270,1</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6931,0</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105,3</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108,3</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103,4</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103,3</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15540,0</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16407,0</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18140,0</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20280,0</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23060,0</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100,2</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101,1</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104,5</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27787</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33448,7</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36703,4</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45191,3</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45449,5</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52,5</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140,0</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126,0</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112,5</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1230,6</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1381,3</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1570</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1772,3</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1972,0</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104,2</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105,3</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104,7</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3148,4</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3602,7</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4310</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4950,2</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5631</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100,5</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108,6</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782,7</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870,2</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1005,0</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1150,3</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1311,5</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103,8</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104,2</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104,1</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48704,1</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60365,6</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69723,2</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84938,5</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92412,0</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73,8</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121,9</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110,7</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104,5</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 Бишкек</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30380,7</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33032,1</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35862,2</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39230</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44470,8</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102,9</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103,3</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 Ош</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2425,5</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2720</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3200,7</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3656</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4143,6</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103,2</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107,9</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104,8</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104,6</w:t>
            </w:r>
          </w:p>
        </w:tc>
      </w:tr>
      <w:tr>
        <w:tc>
          <w:tcPr>
            <w:tcW w:type="dxa" w:w="10180"/>
            <w:gridSpan w:val="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сельского хозяйства в действующих ценах, млн. сомов</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 всего</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167560,1</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184200,8</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203103,5</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18661,3</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52995,1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160422,3</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223794,7</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245676,2</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101,6</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110,9</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108,2</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104,7</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108,0</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16408,3</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18033,3</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19477,6</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1418,0</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3886,3</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13873,5</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22027,4</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23928,9</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108,3</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100,4</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100,7</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100,2</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100,5</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102,7</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104,1</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118,7</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109,5</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108,5</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109,5</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103,6</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31202,7</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34298,2</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37411,7</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2735,4</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9094,7</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32327,4</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41887,4</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46268,9</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101,9</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102,9</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103,3</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102,4</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104,8</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107,9</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103,2</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109,2</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107,9</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21175,8</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23283,0</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25672,3</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2549,8</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5950,5</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21963,7</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28430,4</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31419,5</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93,6</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101,6</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101,6</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101,7</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102,7</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101,9</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127,8</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108,3</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108,5</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108,3</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108,3</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108,5</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11938,7</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13133,5</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14699,0</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2343,4</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5186,1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10346,9</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15737,9</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17339,6</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99,1</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99,7</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99,6</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100,6</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101,8</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111,8</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108,7</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110,9</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109,3</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105,3</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108,0</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33144,3</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36434,9</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39987,0</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3382,8</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11296,8</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32958,1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44393,9</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47766,8</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102,7</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101,9</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102,7</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102,6</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108,9</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103,8</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108,9</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104,8</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13958,7</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15343,9</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16511,9</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1134,8</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3684,8</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9878,5</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18184,6</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20115,7</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100,2</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99,4</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99,7</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101,7</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120,2</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108,6</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107,4</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106,7</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108,3</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109,5</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38556,9</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42384,6</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47912,1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4803,6</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13352,9</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37891,3</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51647,6</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57182,4</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95,9</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102,9</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100,7</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101,3</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103,2</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102,9</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105,7</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104,5</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 Бишкек</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466,5</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515,8</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578,8</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197,2</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317,1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484,7</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618,2</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677,1</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90,9</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100,2</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96,2</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97,7</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96,0</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101,7</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188,6</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116,6</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114,5</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104,7</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107,7</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 Ош</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708,2</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773,6</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853,0</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96,3</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225,8</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698,2</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867,4</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977,3</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100,6</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100,3</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100,4</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100,4</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99,9</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101,8</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103,5</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109,0</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109,9</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105,7</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109,2</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99,9</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109,9</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0"/>
            <w:gridSpan w:val="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Объем оказанных рыночных услуг, млн. сомов</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 всего</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386400,1</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451603,3</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522071,5</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84612,7</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195185,8</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338532,7</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606639,2</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700423,0</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109,8</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101,7</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108,9</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108,6</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108,8</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108,3</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10098,7</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11912,5</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13864,9</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2885,8</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6066,6</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9719,2</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15908,5</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18288,2</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114,0</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108,5</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108,9</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108,2</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108,5</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31809,8</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37724,6</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42845,2</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5358,5</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13325,5</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24569,1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47959,1</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53259,3</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115,1</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109,6</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105,7</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17193,9</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19322,6</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22285,7</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2395,5</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6274,0</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16482,3</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25205,2</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28865,7</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105,7</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109,2</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104,8</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109,4</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106,7</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6122,7</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6909,5</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8259,5</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1068,8</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2223,5</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4483,8</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9639,6</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11309,8</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103,5</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104,4</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103,2</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104,5</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25958,6</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30175</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33937,1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7153,0</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14753,3</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22605,6</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38240,8</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43090,2</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117,5</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109,8</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107,4</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9078,4</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10050,3</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11218,7</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1295,0</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3785,0</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7061,1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11432,1</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13542,8</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104,1</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104,7</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103,9</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104,5</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43244,6</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51074,1</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59035,2</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11292,5</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25384,7</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39096,5</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69705,7</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81055,8</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111,9</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104,3</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 Бишкек</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215193,8</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252422,9</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293691,9</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44950,5</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106704,7</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187898,8</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344976,6</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399216,4</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108,3</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105,7</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 Ош</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27699,6</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32011,8</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36933,2</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8213,1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16668,5</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26616,2</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43571,6</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51794,8</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112,5</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106,7</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106,7</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0"/>
            <w:gridSpan w:val="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Оборот торговли, ремонта автомобилей, бытовых изделий и предметов личного пользования, млн. сомов</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 всего</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286495,3</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336942,6</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391147,8</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61920,1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142960,6</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249334,7</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456605,6</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529088,1</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111,1</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107,7</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105,3</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102,4</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109,2</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108,9</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107,7</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108,3</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109,2</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108,7</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8270,6</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9425,0</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10720</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2285,2</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4827,8</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7450,4</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12350</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13869</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116,8</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108,2</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27290,4</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31851,8</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36295,5</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4706,8</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11573,8</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21107,8</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41071,3</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46921,3</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116,4</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109,4</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108,6</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108,3</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107,7</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11496,8</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12495,9</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14062,9</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1493,9</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4042,6</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10647,6</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16011,1</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18211,1</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105,7</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105,7</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4744,3</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5375</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6125,7</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708,1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1528,8</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3021,5</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7040,3</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7990,3</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103,4</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103,2</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104,3</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106,7</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23012,7</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26843,5</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31032,2</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6389,6</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13289,9</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21876,5</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36097</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41397</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119,7</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109,0</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108,0</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108,7</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107,7</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7877,0</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9008,2</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10244,8</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1019,0</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3108,2</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6084,3</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11870,9</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13684,0</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104,5</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37668,7</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43533,8</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50294,3</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10332,1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22333,1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34834,1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58288,6</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66358,6</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112,3</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104,9</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 Бишкек</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142841,6</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171008,5</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200144,8</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27770,9</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68046,7</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120874,7</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235821,4</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276601,8</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108,8</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 Ош</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23293,2</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27400,8</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32227,6</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7214,5</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14209,6</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23437,7</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38055,0</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44055,0</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114,6</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107,9</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106,7</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r>
      <w:tr>
        <w:tc>
          <w:tcPr>
            <w:tcW w:type="dxa" w:w="10180"/>
            <w:gridSpan w:val="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выпуск сферы услуг всего, млн. сомов</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 всего</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258397,8</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299892,9</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343847,6</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395832,2</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453148,7</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105,7</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104,8</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109,8</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108,7</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108,5</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108,0</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7432,5</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8409,4</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9683,0</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11138,3</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12708,3</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103,5</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104,1</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108,4</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107,7</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22492,4</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25404,2</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28666,3</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32700,5</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37900,5</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103,5</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104,5</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104,8</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108,1</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107,7</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108,1</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108,8</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16933,1</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19229,7</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22008,8</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25022,2</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28402,2</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103,2</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103,7</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109,5</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108,2</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107,7</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6487,3</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7439,1</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8417,6</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9540,5</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10840,4</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103,4</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108,4</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107,7</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108,2</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20266,8</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23375,0</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26834,9</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30591,8</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34851,1</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103,2</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109,0</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108,0</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107,4</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107,9</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5210,7</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5849,5</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6708,7</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7675,4</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8779</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104,1</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102,4</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107,4</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26096,0</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30430,2</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34930,1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40161,0</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45956,1</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106,7</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104,3</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108,3</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107,7</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108,1</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 Бишкек</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138943,6</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162955,8</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187135,9</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216400,5</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247903,5</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105,7</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105,3</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105,3</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111,0</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109,0</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107,9</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 Ош</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14535,4</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16800,0</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19462,3</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22602,0</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25807,6</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104,5</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109,9</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109,8</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108,6</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107,7</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0"/>
            <w:gridSpan w:val="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Торговля, ремонт автомобилей, бытовых  изделий и предметов  личного  пользования, млн. сомов</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 всего</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81827,3</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96944,6</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111740,1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128860,2</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147920,9</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102,6</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108,4</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108,2</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107,9</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2249,5</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2600,6</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2983,3</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3407,5</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3887,5</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105,7</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109,2</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108,8</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108,1</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107,7</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9557,4</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11278,4</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13040,9</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15100,5</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17310,5</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109,6</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108,7</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108,1</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4303,9</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5089,7</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6005</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7008,2</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8108,2</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109,5</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107,9</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109,7</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109,3</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108,9</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108,3</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1707,3</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1991,9</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2297,6</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2621,5</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2991,5</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108,5</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110,7</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108,0</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107,4</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107,7</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7288,8</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8529,8</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9901,5</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11498,8</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13151,8</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106,904</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106,7</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105,3</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109,5</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109,0</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108,8</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108,3</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1850,7</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2186,8</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2485,5</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2870,4</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3251,7</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109,2</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107,7</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109,8</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13096,0</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15497,2</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17760,1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20328,1</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23179,1</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108,5</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110,7</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107,4</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 Бишкек</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34076,7</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40709,821</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46680,8</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53700,6</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61458,8</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112,3</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106,523</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99,4</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111,1</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107,9</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107,7</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107,4</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 Ош</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7697,0</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9060,4</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10585,4</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12324,6</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14581,8</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109,8</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107,4</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101,7</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109,3</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0"/>
            <w:gridSpan w:val="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Объем инвестиций в основной капитал, млн. сомов</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 всего</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62625,0</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73256,7</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73256,7</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8290,9</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25558,8</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52342,9</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115305,4</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146640,7</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2484,0</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2851,4</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2851,4</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371,7</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737,2</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2126,4</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4196,8</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5477,6</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10321,9</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13087,8</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13087,8</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671,2</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2830,3</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9172,2</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20762,0</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25349,6</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17316,8</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19122,7</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19122,7</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1701,8</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8199,7</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14248,2</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28765,1</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35939,7</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2556,8</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3044,0</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3044,0</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209,4</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1183,1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2056,6</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4519,0</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6273,0</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3988,9</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4503,0</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4503,0</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341,6</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1644,4</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3774,8</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7556,5</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9635,5</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767,1</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1192,4</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1192,4</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411,2</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817,9</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1916,8</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2531,3</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9566,3</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11921,1</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11921,1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1483,9</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3767,9</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9640,3</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19250,1</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25548,7</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 Бишкек</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13383,3</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14947,8</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14947,8</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2888,9</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6184,7</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9321,3</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25057,6</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31705,3</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 Ош</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2240,5</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2586,5</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2586,5</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411,3</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600,4</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1185,2</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3281,5</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4180,0</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0"/>
            <w:gridSpan w:val="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строительства, млн. сомов</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 всего</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54625,0</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65939,2</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80820,2</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7849,6</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23511,2</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49427,3</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101719,7</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129659,3</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117,3</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112,5</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115,5</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114,8</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119,8</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115,4</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118,4</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119,8</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104,4</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2484,5</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2789,1</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3175,9</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346,3</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715,3</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2113,9</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3697,2</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4212,7</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91,3</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104,8</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102,9</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109,3</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103,9</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7009,5</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8671,3</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11030,9</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606,5</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2827,4</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5285,8</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14783,0</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19133,6</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143,3</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115,2</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119,7</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122,9</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122,4</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119,8</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126,1</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121,8</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104,5</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107,4</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10725,0</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13316,4</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17268,2</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1761,7</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4505,1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9949,0</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22734,1</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29978,5</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365,1</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115,8</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122,0</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114,8</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124,8</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126,6</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124,0</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124,1</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107,7</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2741,0</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3308,8</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4055,5</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225,1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536,2</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2178,4</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4704,2</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5696,3</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167,7</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112,3</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115,5</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109,9</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109,0</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113,7</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104,5</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4366,2</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4970,6</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5660,0</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341,4</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1746,7</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3947,8</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6423,6</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7298,0</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77,1</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107,4</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102,7</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113,3</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109,7</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106,7</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104,2</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739,6</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822,8</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934,3</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217,8</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390,1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725,3</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1075,9</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1271,4</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80,2</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103,7</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114,8</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114,0</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108,2</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111,4</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104,2</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8581,7</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10359,2</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12697,0</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1253,3</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2975,3</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7837,1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15980,3</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20369,6</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107,7</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112,6</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115,7</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114,8</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119,8</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111,3</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118,4</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119,8</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104,1</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 Бишкек</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15222,8</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18675,8</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22522,8</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2681,7</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8876,0</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15647,9</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28347,0</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37133,1</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114,2</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113,8</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119,2</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121,2</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113,9</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118,5</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123,0</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104,1</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107,4</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 Ош</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2754,6</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3025,2</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3475,6</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415,8</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939,1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1742,1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3974,4</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4566,1</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57,5</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102,4</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108,2</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108,3</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109,3</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107,9</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104,2</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0"/>
            <w:gridSpan w:val="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Численность официально зарегистрированных безработных, тыс. чел.6</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 всего</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58,3</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57,8</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57,2</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56,7</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 Бишкек</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 Ош</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0"/>
            <w:gridSpan w:val="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Среднемесячная оплата труда, сомов6</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 всего</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11090,0</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12344,5</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13896,7</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12689,9</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13153,8</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13250,0</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15625,2</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17242,2</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8480,0</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9458,5</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10726,1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9703,4</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10141,1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10168,7</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12147,9</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13454,3</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118,0</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103,9</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103,8</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103,6</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103,3</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105,7</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102,7</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9938,0</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11025,2</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12298,1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11371,7</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11765,4</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11858,7</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13702,1</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15017,1</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114,3</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103,3</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109,2</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102,6</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102,8</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101,7</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14506,6</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15971,6</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17817,9</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9513,0</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13105,3</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17745,1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19739,0</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21514,2</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102,2</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110,9</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101,4</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103,4</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101,1</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10139,0</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11225,9</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12605,0</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11601,7</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11905,8</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12063,8</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14105,3</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15413,6</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113,2</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103,1</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102,8</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101,8</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104,5</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101,4</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7588,0</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8388,4</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9388,4</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8682,7</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8900,1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9045,9</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10551,1</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11527,5</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112,6</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102,9</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101,6</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102,7</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104,9</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101,3</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8284,0</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9171,1</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10280,5</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9479,1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9725,6</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9878,5</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11529,7</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12600,6</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113,0</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103,1</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102,7</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101,7</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102,8</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104,7</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101,4</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8881,0</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10020,7</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11538,6</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10162,3</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10598,7</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10670,8</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13101,2</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14585,7</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120,1</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103,4</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103,5</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103,3</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 Бишкек</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13702,0</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15302,0</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17319,7</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15678,8</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16295,9</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16398,8</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19605,4</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21783,2</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119,2</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103,7</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102,4</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105,7</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103,1</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 Ош</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9423,0</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10645,9</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12257,8</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10762,4</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11263,4</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11449,4</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13925,4</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15720,4</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121,4</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108,4</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104,6</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104,7</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0"/>
            <w:gridSpan w:val="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Прожиточный минимум,  сомов в месяц</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 всего</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4341,2</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4662,4</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5091,3</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4955,7</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5164,0</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5167,9</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5153,2</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5452,8</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5878,1</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4209</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4520,2</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4882,5</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4801,4</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4836,0</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4830,0</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4871,5</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5247,8</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5694,1</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 к предыдущему году</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104,3</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107,4</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108,0</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111,3</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108,3</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108,0</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108,5</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4433,35</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4735,63</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5140,37</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4963,04</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5241,99</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5265,27</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5255,40</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5468,29</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5890,81</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 к предыдущему году</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98,3</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106,82</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108,55</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108,66</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109,05</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108,90</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104,33</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106,38</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107,73</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4050,00</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4316,35</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4680,98</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4593,38</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4768,53</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4787,36</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4807,43</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5001,54</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5342,30</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 к предыдущему году</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98,1</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106,58</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108,45</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108,36</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108,83</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108,63</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104,44</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106,85</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106,81</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4130,00</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4471,63</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4896,58</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4828,56</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4945,15</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4942,90</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4903,83</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5227,85</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5649,38</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 к предыдущему году</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99,6</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108,27</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109,50</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108,42</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110,53</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110,54</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105,28</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106,77</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108,06</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4228,03</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4551,93</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4980,03</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4895,80</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5047,31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5051,10</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5011,47</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5361,85</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5798,44</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 к предыдущему году</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99,4</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107,66</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109,40</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108,25</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105,64</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107,67</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108,14</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3999,00</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4251,31</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4578,61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4553,38</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4725,22</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4683,00</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4687,42</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4876,13</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5202,06</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 к предыдущему году</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97,8</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106,31</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107,70</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107,28</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108,82</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107,67</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103,85</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106,50</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106,68</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4213,83</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4503,87</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4902,31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4816,13</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5068,56</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4964,80</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4925,08</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5229,23</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5601,89</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 к предыдущему году</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98,3</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106,88</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108,85</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108,78</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108,99</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108,84</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103,75</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106,67</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107,13</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 Бишкек</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4406,00</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4720,35</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5137,39</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4999,33</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5248,88</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5135,43</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5135,32</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5516,69</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5919,53</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 к предыдущему году</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98,6</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107,13</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108,83</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108,48</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109,44</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109,17</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103,23</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107,38</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w:t>
      </w:r>
    </w:p>
    <w:p>
      <w:pPr>
        <w:spacing w:after="120"/>
        <w:jc w:val="both"/>
      </w:pPr>
      <w:r>
        <w:rPr>
          <w:rFonts w:ascii="Arial" w:cs="Arial" w:eastAsia="Arial" w:hAnsi="Arial"/>
          <w:sz w:val="24"/>
          <w:szCs w:val="24"/>
        </w:rPr>
        <w:t xml:space="preserve">1 По методике МВФ</w:t>
      </w:r>
    </w:p>
    <w:p>
      <w:pPr>
        <w:spacing w:after="120"/>
        <w:jc w:val="both"/>
      </w:pPr>
      <w:r>
        <w:rPr>
          <w:rFonts w:ascii="Arial" w:cs="Arial" w:eastAsia="Arial" w:hAnsi="Arial"/>
          <w:sz w:val="24"/>
          <w:szCs w:val="24"/>
        </w:rPr>
        <w:t xml:space="preserve">2 Без учета малых предприятий;</w:t>
      </w:r>
    </w:p>
    <w:p>
      <w:pPr>
        <w:spacing w:after="120"/>
        <w:jc w:val="both"/>
      </w:pPr>
      <w:r>
        <w:rPr>
          <w:rFonts w:ascii="Arial" w:cs="Arial" w:eastAsia="Arial" w:hAnsi="Arial"/>
          <w:sz w:val="24"/>
          <w:szCs w:val="24"/>
        </w:rPr>
        <w:t xml:space="preserve">* с нарастанием за 3, 6 и 9 мес.</w:t>
      </w:r>
    </w:p>
    <w:p>
      <w:pPr>
        <w:spacing w:after="120"/>
        <w:jc w:val="both"/>
      </w:pPr>
      <w:r>
        <w:rPr>
          <w:rFonts w:ascii="Arial" w:cs="Arial" w:eastAsia="Arial" w:hAnsi="Arial"/>
          <w:sz w:val="24"/>
          <w:szCs w:val="24"/>
        </w:rPr>
        <w:t xml:space="preserve">3 По данным Социального фонда Кыргызской Республики.</w:t>
      </w:r>
    </w:p>
    <w:p>
      <w:pPr>
        <w:spacing w:after="120"/>
        <w:jc w:val="both"/>
      </w:pPr>
      <w:r>
        <w:rPr>
          <w:rFonts w:ascii="Arial" w:cs="Arial" w:eastAsia="Arial" w:hAnsi="Arial"/>
          <w:sz w:val="24"/>
          <w:szCs w:val="24"/>
        </w:rPr>
        <w:t xml:space="preserve">4 - с учетом стоимости переработки давальческого сырья, без учета покупной электроэнергии;</w:t>
      </w:r>
    </w:p>
    <w:p>
      <w:pPr>
        <w:spacing w:after="120"/>
        <w:jc w:val="both"/>
      </w:pPr>
      <w:r>
        <w:rPr>
          <w:rFonts w:ascii="Arial" w:cs="Arial" w:eastAsia="Arial" w:hAnsi="Arial"/>
          <w:sz w:val="24"/>
          <w:szCs w:val="24"/>
        </w:rPr>
        <w:t xml:space="preserve">5 - без учета стоимости переработки давальческого сырья, но с учетом покупной электроэнергии</w:t>
      </w:r>
    </w:p>
    <w:p>
      <w:pPr>
        <w:spacing w:after="120"/>
        <w:jc w:val="both"/>
      </w:pPr>
      <w:r>
        <w:rPr>
          <w:rFonts w:ascii="Arial" w:cs="Arial" w:eastAsia="Arial" w:hAnsi="Arial"/>
          <w:sz w:val="24"/>
          <w:szCs w:val="24"/>
        </w:rPr>
        <w:t xml:space="preserve">6 с нарастанием за 3,6 и 9 мес.</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ej2tgu_rs8l9ohjy-lmw">
      <w:r>
        <w:rPr>
          <w:rFonts w:ascii="Arial" w:cs="Arial" w:eastAsia="Arial" w:hAnsi="Arial"/>
          <w:color w:val="132D3F"/>
          <w:sz w:val="16"/>
          <w:szCs w:val="16"/>
          <w:u w:val="single"/>
        </w:rPr>
        <w:t xml:space="preserve">dalil.kg/document/94587</w:t>
      </w:r>
    </w:hyperlink>
  </w:p>
  <w:p>
    <w:pPr>
      <w:spacing w:after="0" w:before="40"/>
      <w:jc w:val="center"/>
    </w:pPr>
    <w:hyperlink w:history="1" r:id="rIdvhsrd223vkcpaxylquj5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ggbjycl9zui2gedazxmq" Type="http://schemas.openxmlformats.org/officeDocument/2006/relationships/hyperlink" Target="https://dalil.kg/document/96883" TargetMode="External"/><Relationship Id="rIdwamtftj0cxirauy-9krng" Type="http://schemas.openxmlformats.org/officeDocument/2006/relationships/hyperlink" Target="https://dalil.kg/document/94587#&#1088;1" TargetMode="External"/><Relationship Id="rIdjyhg88gkbrplyqonbk_0r" Type="http://schemas.openxmlformats.org/officeDocument/2006/relationships/hyperlink" Target="https://dalil.kg/document/95307" TargetMode="External"/><Relationship Id="rIdw2bctajlckb1j6hr35eec" Type="http://schemas.openxmlformats.org/officeDocument/2006/relationships/hyperlink" Target="https://dalil.kg/document/93417" TargetMode="External"/><Relationship Id="rId3n6efihcmsiyeflt_gw_a" Type="http://schemas.openxmlformats.org/officeDocument/2006/relationships/hyperlink" Target="https://dalil.kg/document/93321" TargetMode="External"/><Relationship Id="rIdgcmomf0af3jnfpyw7buoi" Type="http://schemas.openxmlformats.org/officeDocument/2006/relationships/hyperlink" Target="https://dalil.kg/document/94587" TargetMode="External"/><Relationship Id="rIdj6ryclvtu56hangbyedat" Type="http://schemas.openxmlformats.org/officeDocument/2006/relationships/hyperlink" Target="https://dalil.kg/document/94217#&#1088;1" TargetMode="External"/><Relationship Id="rIdskgwxclfrziqibnpeipp0" Type="http://schemas.openxmlformats.org/officeDocument/2006/relationships/hyperlink" Target="https://dalil.kg/document/94217" TargetMode="External"/><Relationship Id="rIdt2w1orq5bey3jxltmpr5l" Type="http://schemas.openxmlformats.org/officeDocument/2006/relationships/hyperlink" Target="https://dalil.kg/document/995" TargetMode="External"/><Relationship Id="rIdjgkrxk7hhj3lpsj9anguz" Type="http://schemas.openxmlformats.org/officeDocument/2006/relationships/hyperlink" Target="https://dalil.kg/document/93058" TargetMode="External"/><Relationship Id="rIdkcnjhba58vcj2hsf1iwrb" Type="http://schemas.openxmlformats.org/officeDocument/2006/relationships/hyperlink" Target="https://dalil.kg/document/95110" TargetMode="External"/><Relationship Id="rIdegoccdbidrkrh8giuswmf" Type="http://schemas.openxmlformats.org/officeDocument/2006/relationships/hyperlink" Target="https://dalil.kg/document/94327" TargetMode="External"/><Relationship Id="rIdpirmuncqkpixf7p55nefu" Type="http://schemas.openxmlformats.org/officeDocument/2006/relationships/hyperlink" Target="https://dalil.kg/document/94270" TargetMode="External"/><Relationship Id="rId68rucg-aqdasfhw1wp9xa" Type="http://schemas.openxmlformats.org/officeDocument/2006/relationships/hyperlink" Target="https://dalil.kg/document/92600" TargetMode="External"/><Relationship Id="rIdyyr0a4wbhkqsdpvfyaw27" Type="http://schemas.openxmlformats.org/officeDocument/2006/relationships/hyperlink" Target="https://dalil.kg/document/8" TargetMode="External"/><Relationship Id="rIdfc66tw4gusm6yyja6jnix" Type="http://schemas.openxmlformats.org/officeDocument/2006/relationships/hyperlink" Target="https://dalil.kg/document/716" TargetMode="External"/><Relationship Id="rIdgglqkfumgmdqsaf-w69oj" Type="http://schemas.openxmlformats.org/officeDocument/2006/relationships/hyperlink" Target="https://dalil.kg/document/93078" TargetMode="External"/><Relationship Id="rIdfpqr-wlgpwqh3jbf1otqh" Type="http://schemas.openxmlformats.org/officeDocument/2006/relationships/hyperlink" Target="https://dalil.kg/document/93080" TargetMode="External"/><Relationship Id="rIdkzxdhpod83pywmaudfyhj" Type="http://schemas.openxmlformats.org/officeDocument/2006/relationships/hyperlink" Target="https://dalil.kg/document/92880" TargetMode="External"/><Relationship Id="rIds-gn9puf3rjmqn9tlrnjr" Type="http://schemas.openxmlformats.org/officeDocument/2006/relationships/hyperlink" Target="https://dalil.kg/document/92880" TargetMode="External"/><Relationship Id="rIdtfrjhkykjdx2ati3w_yd8" Type="http://schemas.openxmlformats.org/officeDocument/2006/relationships/hyperlink" Target="https://dalil.kg/document/92984" TargetMode="External"/><Relationship Id="rIdzpp8xupmkicv-fjhta2cs" Type="http://schemas.openxmlformats.org/officeDocument/2006/relationships/hyperlink" Target="https://dalil.kg/document/93628" TargetMode="External"/><Relationship Id="rId8" Type="http://schemas.openxmlformats.org/officeDocument/2006/relationships/image" Target="media/8de64316e95979c063c17bcd5380dc052a2594e9.png"/><Relationship Id="rId3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ej2tgu_rs8l9ohjy-lmw" Type="http://schemas.openxmlformats.org/officeDocument/2006/relationships/hyperlink" Target="https://dalil.kg/document/94587" TargetMode="External"/><Relationship Id="rIdvhsrd223vkcpaxylquj5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2026-09-23T22:15:13.069Z</dcterms:created>
  <dcterms:modified xsi:type="dcterms:W3CDTF">2026-09-23T22:15:13.069Z</dcterms:modified>
</cp:coreProperties>
</file>

<file path=docProps/custom.xml><?xml version="1.0" encoding="utf-8"?>
<Properties xmlns="http://schemas.openxmlformats.org/officeDocument/2006/custom-properties" xmlns:vt="http://schemas.openxmlformats.org/officeDocument/2006/docPropsVTypes"/>
</file>