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srfjpe8l8ni0ceivwvx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2011 года № 155</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1hzyh5gk0pmkkbt8cxn6v">
        <w:r>
          <w:rPr>
            <w:rFonts w:ascii="Arial" w:cs="Arial" w:eastAsia="Arial" w:hAnsi="Arial"/>
            <w:color w:val="1D4ED8"/>
            <w:sz w:val="24"/>
            <w:szCs w:val="24"/>
            <w:u w:val="single"/>
          </w:rPr>
          <w:t xml:space="preserve">24 марта 2021 года № 113</w:t>
        </w:r>
      </w:hyperlink>
      <w:r>
        <w:rPr>
          <w:rFonts w:ascii="Arial" w:cs="Arial" w:eastAsia="Arial" w:hAnsi="Arial"/>
          <w:sz w:val="24"/>
          <w:szCs w:val="24"/>
        </w:rPr>
        <w:t xml:space="preserve">, Кабинета Министров КР от </w:t>
      </w:r>
      <w:hyperlink w:history="1" r:id="rIdpmuetpvxabtwpkhgulyai">
        <w:r>
          <w:rPr>
            <w:rFonts w:ascii="Arial" w:cs="Arial" w:eastAsia="Arial" w:hAnsi="Arial"/>
            <w:color w:val="1D4ED8"/>
            <w:sz w:val="24"/>
            <w:szCs w:val="24"/>
            <w:u w:val="single"/>
          </w:rPr>
          <w:t xml:space="preserve">4 ноября 2022 года № 611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определяет порядок реализации международных договоров и иных соглашений, участницей которых является Кыргызская Республика, ратифицированных в установленном законодательством Кыргызской Республики порядке (далее - международные договоры и иные соглашения), заключенных в целях осуществления деятельности международных организаций и реализации проектов, в части регулирования налоговых и таможенных правоотношений по уплате налогов, пошлин и иных платежей, установленных налоговым и таможенным законодательством Кыргызской Республики и таможенным законодательством Евразийского экономического союза.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eoura_nc6jhyxfa1lq4v">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Освобождение от уплаты налогов, пошлин и иных платежей, регулируемое международными договорами и иными соглашениями, распространяется на международные организации, генеральных подрядчиков при их регистрации в налоговых органах республики, а также на отделы реализации проектов, которые осуществляют деятельность по договорам, заключенным в рамках реализации международных договоров и иных соглашений.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n799kh7mop89l9_njccp">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Настоящее Положение не распространяется на подоходный налог, налог на прибыль и налог на доходы нерезидентов, страховые отчисления, которые установлены Налоговым </w:t>
      </w:r>
      <w:hyperlink w:history="1" r:id="rIdt7g5hofe-drwnvx8xba7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социальных страховых взносов.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l_o5ozolz11nmyfbjedy">
        <w:r>
          <w:rPr>
            <w:rFonts w:ascii="Arial" w:cs="Arial" w:eastAsia="Arial" w:hAnsi="Arial"/>
            <w:i/>
            <w:iCs/>
            <w:color w:val="1D4ED8"/>
            <w:sz w:val="24"/>
            <w:szCs w:val="24"/>
            <w:u w:val="single"/>
          </w:rPr>
          <w:t xml:space="preserve">24 марта 2021 года № 113)</w:t>
        </w:r>
      </w:hyperlink>
    </w:p>
    <w:p>
      <w:pPr>
        <w:spacing w:after="120"/>
        <w:ind w:firstLine="567"/>
        <w:jc w:val="both"/>
      </w:pPr>
      <w:r>
        <w:rPr>
          <w:rFonts w:ascii="Arial" w:cs="Arial" w:eastAsia="Arial" w:hAnsi="Arial"/>
          <w:sz w:val="24"/>
          <w:szCs w:val="24"/>
        </w:rPr>
        <w:t xml:space="preserve">4. Настоящее Положение не применяется в отношении поставок услуг связи и коммунальных услуг (электроэнергия, газ, радио, телеантенна, горячая и холодная вода, отопление и др.).</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uzhcx0a5sqkklhlei-uz">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случаях, когда в международных договорах и иных соглашениях предусмотрено освобождение от уплаты налогов, пошлин и иных платежей или указано, что средства, предоставляемые в рамках международных договоров и иных соглашений не должны использоваться для уплаты налогов, пошлин и иных платежей, налогообложение производится в следующем порядке:</w:t>
      </w:r>
    </w:p>
    <w:p>
      <w:pPr>
        <w:spacing w:after="60"/>
        <w:ind w:firstLine="567"/>
        <w:jc w:val="both"/>
      </w:pPr>
      <w:r>
        <w:rPr>
          <w:rFonts w:ascii="Arial" w:cs="Arial" w:eastAsia="Arial" w:hAnsi="Arial"/>
          <w:sz w:val="24"/>
          <w:szCs w:val="24"/>
        </w:rPr>
        <w:t xml:space="preserve">1) поставка субподрядными организациями товаров, работ и услуг на территории Кыргызской Республики генеральным подрядчикам, а также отделам реализации проектов, международным консультантам при наличии соответствующих договоров и контрактов на поставку, освобождается от уплаты налога на добавленную стоимость (далее - НДС) и налога с продаж;</w:t>
      </w:r>
    </w:p>
    <w:p>
      <w:pPr>
        <w:spacing w:after="60"/>
        <w:ind w:firstLine="567"/>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организации, отдела реализации проекта, генерального подрядчика;</w:t>
      </w:r>
    </w:p>
    <w:p>
      <w:pPr>
        <w:spacing w:after="60"/>
        <w:ind w:firstLine="567"/>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организации, отдела реализации проекта,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ge1etnq-d63b6zu5muy9">
        <w:r>
          <w:rPr>
            <w:rFonts w:ascii="Arial" w:cs="Arial" w:eastAsia="Arial" w:hAnsi="Arial"/>
            <w:i/>
            <w:iCs/>
            <w:color w:val="1D4ED8"/>
            <w:sz w:val="24"/>
            <w:szCs w:val="24"/>
            <w:u w:val="single"/>
          </w:rPr>
          <w:t xml:space="preserve">24 марта 2021 года № 113)</w:t>
        </w:r>
      </w:hyperlink>
    </w:p>
    <w:p>
      <w:pPr>
        <w:spacing w:after="60"/>
        <w:ind w:firstLine="567"/>
        <w:jc w:val="both"/>
      </w:pPr>
      <w:r>
        <w:rPr>
          <w:rFonts w:ascii="Arial" w:cs="Arial" w:eastAsia="Arial" w:hAnsi="Arial"/>
          <w:sz w:val="24"/>
          <w:szCs w:val="24"/>
        </w:rPr>
        <w:t xml:space="preserve">5-1. Освобождение от уплаты ввозной таможенной пошлины предоставляется с учетом таможенного законодательства Кыргызской Республики, актов, составляющих право Евразийского экономического союза,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5rtq4cy7hv5xydvlof_v">
        <w:r>
          <w:rPr>
            <w:rFonts w:ascii="Arial" w:cs="Arial" w:eastAsia="Arial" w:hAnsi="Arial"/>
            <w:i/>
            <w:iCs/>
            <w:color w:val="1D4ED8"/>
            <w:sz w:val="24"/>
            <w:szCs w:val="24"/>
            <w:u w:val="single"/>
          </w:rPr>
          <w:t xml:space="preserve">24 марта 2021 года № 113)</w:t>
        </w:r>
      </w:hyperlink>
    </w:p>
    <w:p>
      <w:pPr>
        <w:spacing w:after="60"/>
        <w:ind w:firstLine="567"/>
        <w:jc w:val="both"/>
      </w:pPr>
      <w:r>
        <w:rPr>
          <w:rFonts w:ascii="Arial" w:cs="Arial" w:eastAsia="Arial" w:hAnsi="Arial"/>
          <w:sz w:val="24"/>
          <w:szCs w:val="24"/>
        </w:rPr>
        <w:t xml:space="preserve">6. В случае, когда в международных договорах и иных соглашениях предусмотрено, что налоги, пошлины и иные платежи, касающиеся финансирования проекта, будут ответственностью заемщика, или расходы по уплате налогов, пошлин и иных платежей несет Правительство Кыргызской Республики, налогообложение производится в следующем порядке:</w:t>
      </w:r>
    </w:p>
    <w:p>
      <w:pPr>
        <w:spacing w:after="60"/>
        <w:ind w:firstLine="567"/>
        <w:jc w:val="both"/>
      </w:pPr>
      <w:r>
        <w:rPr>
          <w:rFonts w:ascii="Arial" w:cs="Arial" w:eastAsia="Arial" w:hAnsi="Arial"/>
          <w:sz w:val="24"/>
          <w:szCs w:val="24"/>
        </w:rPr>
        <w:t xml:space="preserve">1) поставка субподрядными организациями товаров, работ и услуг на территории Кыргызской Республики международным организациям, генеральным подрядчикам, а также отделам реализации проектов, международным консультантам при наличии соответствующих договоров и контрактов на поставку освобождается от уплаты налога на добавленную стоимость (далее - НДС) и налога с продаж;</w:t>
      </w:r>
    </w:p>
    <w:p>
      <w:pPr>
        <w:spacing w:after="60"/>
        <w:ind w:firstLine="567"/>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международной организации, отдела реализации проекта, генерального подрядчика;</w:t>
      </w:r>
    </w:p>
    <w:p>
      <w:pPr>
        <w:spacing w:after="60"/>
        <w:ind w:firstLine="567"/>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международной организации, отдела реализации проекта,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постановлений Правительства КР </w:t>
      </w:r>
      <w:hyperlink w:history="1" r:id="rIdbhwqheiarxghnnyquzjzi">
        <w:r>
          <w:rPr>
            <w:rFonts w:ascii="Arial" w:cs="Arial" w:eastAsia="Arial" w:hAnsi="Arial"/>
            <w:i/>
            <w:iCs/>
            <w:color w:val="1D4ED8"/>
            <w:sz w:val="24"/>
            <w:szCs w:val="24"/>
            <w:u w:val="single"/>
          </w:rPr>
          <w:t xml:space="preserve">от 24 марта 2021 года № 113</w:t>
        </w:r>
      </w:hyperlink>
      <w:r>
        <w:rPr>
          <w:rFonts w:ascii="Arial" w:cs="Arial" w:eastAsia="Arial" w:hAnsi="Arial"/>
          <w:i/>
          <w:iCs/>
          <w:sz w:val="24"/>
          <w:szCs w:val="24"/>
        </w:rPr>
        <w:t xml:space="preserve">, Кабинета Министров КР от </w:t>
      </w:r>
      <w:hyperlink w:history="1" r:id="rIda_proq8hfsi_ewncyu_ia">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НДС, уплаченный или подлежащий уплате за приобретенные материальные ресурсы субподрядными организациями при осуществлении данной поставки генеральным подрядчикам, зачету не подлежит, в счетах-фактурах отдельной строкой не выделяется и включается в стоимость поставки, а налог с продаж, уплаченный за приобретенные материальные ресурсы, используемые для осуществления данной поставки международным организациям, включается в стоимость поставки.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avhamacrpopujr0ti4fp">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осуществлении освобожденных поставок в адрес международных организаций, оформление бланков строгой отчетности счетов-фактур НДС не является обязательным.</w:t>
      </w:r>
    </w:p>
    <w:p>
      <w:pPr>
        <w:spacing w:after="60"/>
        <w:ind w:firstLine="567"/>
        <w:jc w:val="both"/>
      </w:pPr>
      <w:r>
        <w:rPr>
          <w:rFonts w:ascii="Arial" w:cs="Arial" w:eastAsia="Arial" w:hAnsi="Arial"/>
          <w:sz w:val="24"/>
          <w:szCs w:val="24"/>
        </w:rPr>
        <w:t xml:space="preserve">9. Государственные органы, органы местного самоуправления и государственные предприятия, ответственные за реализацию проектов, должны представлять в уполномоченный государственный орган по проведению налоговой и таможенной политики:</w:t>
      </w:r>
    </w:p>
    <w:p>
      <w:pPr>
        <w:spacing w:after="60"/>
        <w:ind w:firstLine="567"/>
        <w:jc w:val="both"/>
      </w:pPr>
      <w:r>
        <w:rPr>
          <w:rFonts w:ascii="Arial" w:cs="Arial" w:eastAsia="Arial" w:hAnsi="Arial"/>
          <w:sz w:val="24"/>
          <w:szCs w:val="24"/>
        </w:rPr>
        <w:t xml:space="preserve">1) списки юридических лиц, участвующих в реализации проектов (генеральные подрядчики, выигравшие тендер), а также информацию о сроках действия проектов;</w:t>
      </w:r>
    </w:p>
    <w:p>
      <w:pPr>
        <w:spacing w:after="60"/>
        <w:ind w:firstLine="567"/>
        <w:jc w:val="both"/>
      </w:pPr>
      <w:r>
        <w:rPr>
          <w:rFonts w:ascii="Arial" w:cs="Arial" w:eastAsia="Arial" w:hAnsi="Arial"/>
          <w:sz w:val="24"/>
          <w:szCs w:val="24"/>
        </w:rPr>
        <w:t xml:space="preserve">2) копии международных договоров и иных соглашений;</w:t>
      </w:r>
    </w:p>
    <w:p>
      <w:pPr>
        <w:spacing w:after="60"/>
        <w:ind w:firstLine="567"/>
        <w:jc w:val="both"/>
      </w:pPr>
      <w:r>
        <w:rPr>
          <w:rFonts w:ascii="Arial" w:cs="Arial" w:eastAsia="Arial" w:hAnsi="Arial"/>
          <w:sz w:val="24"/>
          <w:szCs w:val="24"/>
        </w:rPr>
        <w:t xml:space="preserve">3) копии нормативных правовых актов Кыргызской Республики, подтверждающих действие международных договоров и иных соглашений;</w:t>
      </w:r>
    </w:p>
    <w:p>
      <w:pPr>
        <w:spacing w:after="60"/>
        <w:ind w:firstLine="567"/>
        <w:jc w:val="both"/>
      </w:pPr>
      <w:r>
        <w:rPr>
          <w:rFonts w:ascii="Arial" w:cs="Arial" w:eastAsia="Arial" w:hAnsi="Arial"/>
          <w:sz w:val="24"/>
          <w:szCs w:val="24"/>
        </w:rPr>
        <w:t xml:space="preserve">4) копии коммерческих документов (контракты, заключенные между государственным органом, ответственным за реализацию проектов и юридическими лицами, участвующими в реализации проектов или осуществляющими их реализацию, дополнения и приложения к таким контрактам).</w:t>
      </w:r>
    </w:p>
    <w:p>
      <w:pPr>
        <w:spacing w:after="60"/>
        <w:ind w:firstLine="567"/>
        <w:jc w:val="both"/>
      </w:pPr>
      <w:r>
        <w:rPr>
          <w:rFonts w:ascii="Arial" w:cs="Arial" w:eastAsia="Arial" w:hAnsi="Arial"/>
          <w:sz w:val="24"/>
          <w:szCs w:val="24"/>
        </w:rPr>
        <w:t xml:space="preserve">Государственные органы, органы местного самоуправления и государственные предприятия, ответственные за реализацию проектов, в течение десяти рабочих дней информируют уполномоченный государственный орган по проведению налоговой и таможенной политики о завершении проекта.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vq9iekh8xclfwqvxlmjd">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 Кабинета Министров КР от </w:t>
      </w:r>
      <w:hyperlink w:history="1" r:id="rIddqark--qruz4z-zzx2f7r">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Уполномоченный государственный орган по проведению налоговой и таможенной политики на основе предоставленной информации:</w:t>
      </w:r>
    </w:p>
    <w:p>
      <w:pPr>
        <w:spacing w:after="60"/>
        <w:ind w:firstLine="567"/>
        <w:jc w:val="both"/>
      </w:pPr>
      <w:r>
        <w:rPr>
          <w:rFonts w:ascii="Arial" w:cs="Arial" w:eastAsia="Arial" w:hAnsi="Arial"/>
          <w:sz w:val="24"/>
          <w:szCs w:val="24"/>
        </w:rPr>
        <w:t xml:space="preserve">1) формирует список проектов, финансируемых международными организациями;</w:t>
      </w:r>
    </w:p>
    <w:p>
      <w:pPr>
        <w:spacing w:after="60"/>
        <w:ind w:firstLine="567"/>
        <w:jc w:val="both"/>
      </w:pPr>
      <w:r>
        <w:rPr>
          <w:rFonts w:ascii="Arial" w:cs="Arial" w:eastAsia="Arial" w:hAnsi="Arial"/>
          <w:sz w:val="24"/>
          <w:szCs w:val="24"/>
        </w:rPr>
        <w:t xml:space="preserve">2) направляет в налоговые, таможенные органы письма относительно порядка налогообложения проекта.</w:t>
      </w:r>
    </w:p>
    <w:p>
      <w:pPr>
        <w:spacing w:after="60"/>
        <w:ind w:firstLine="567"/>
        <w:jc w:val="both"/>
      </w:pPr>
      <w:r>
        <w:rPr>
          <w:rFonts w:ascii="Arial" w:cs="Arial" w:eastAsia="Arial" w:hAnsi="Arial"/>
          <w:sz w:val="24"/>
          <w:szCs w:val="24"/>
        </w:rPr>
        <w:t xml:space="preserve">Уполномоченный налоговый орган, уполномоченный таможенный орган в дальнейшем при администрировании налогов, пошлин и иных платежей в рамках реализации проекта руководствуются письмом уполномоченного государственного органа по проведению налоговой и таможенной политики.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sui16yzw8znjwil6z7a2">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 Кабинета Министров КР от </w:t>
      </w:r>
      <w:hyperlink w:history="1" r:id="rIdl-nsmmxd9ilmlcpa39ap2">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4ewczupyxysnofvbp72">
      <w:r>
        <w:rPr>
          <w:rFonts w:ascii="Arial" w:cs="Arial" w:eastAsia="Arial" w:hAnsi="Arial"/>
          <w:color w:val="132D3F"/>
          <w:sz w:val="16"/>
          <w:szCs w:val="16"/>
          <w:u w:val="single"/>
        </w:rPr>
        <w:t xml:space="preserve">dalil.kg/document/95007</w:t>
      </w:r>
    </w:hyperlink>
  </w:p>
  <w:p>
    <w:pPr>
      <w:spacing w:after="0" w:before="40"/>
      <w:jc w:val="center"/>
    </w:pPr>
    <w:hyperlink w:history="1" r:id="rIdse53l6wl4ps0nj98im7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fjpe8l8ni0ceivwvxin" Type="http://schemas.openxmlformats.org/officeDocument/2006/relationships/hyperlink" Target="https://dalil.kg/document/94087" TargetMode="External"/><Relationship Id="rId1hzyh5gk0pmkkbt8cxn6v" Type="http://schemas.openxmlformats.org/officeDocument/2006/relationships/hyperlink" Target="https://dalil.kg/document/158133" TargetMode="External"/><Relationship Id="rIdpmuetpvxabtwpkhgulyai" Type="http://schemas.openxmlformats.org/officeDocument/2006/relationships/hyperlink" Target="https://dalil.kg/document/159521" TargetMode="External"/><Relationship Id="rIdreoura_nc6jhyxfa1lq4v" Type="http://schemas.openxmlformats.org/officeDocument/2006/relationships/hyperlink" Target="https://dalil.kg/document/158133" TargetMode="External"/><Relationship Id="rIdan799kh7mop89l9_njccp" Type="http://schemas.openxmlformats.org/officeDocument/2006/relationships/hyperlink" Target="https://dalil.kg/document/159521" TargetMode="External"/><Relationship Id="rIdt7g5hofe-drwnvx8xba7u" Type="http://schemas.openxmlformats.org/officeDocument/2006/relationships/hyperlink" Target="https://dalil.kg/document/202445" TargetMode="External"/><Relationship Id="rIdyl_o5ozolz11nmyfbjedy" Type="http://schemas.openxmlformats.org/officeDocument/2006/relationships/hyperlink" Target="https://dalil.kg/document/158133" TargetMode="External"/><Relationship Id="rIdzuzhcx0a5sqkklhlei-uz" Type="http://schemas.openxmlformats.org/officeDocument/2006/relationships/hyperlink" Target="https://dalil.kg/document/159521" TargetMode="External"/><Relationship Id="rIdbge1etnq-d63b6zu5muy9" Type="http://schemas.openxmlformats.org/officeDocument/2006/relationships/hyperlink" Target="https://dalil.kg/document/158133" TargetMode="External"/><Relationship Id="rIdg5rtq4cy7hv5xydvlof_v" Type="http://schemas.openxmlformats.org/officeDocument/2006/relationships/hyperlink" Target="https://dalil.kg/document/158133" TargetMode="External"/><Relationship Id="rIdbhwqheiarxghnnyquzjzi" Type="http://schemas.openxmlformats.org/officeDocument/2006/relationships/hyperlink" Target="https://dalil.kg/document/158133" TargetMode="External"/><Relationship Id="rIda_proq8hfsi_ewncyu_ia" Type="http://schemas.openxmlformats.org/officeDocument/2006/relationships/hyperlink" Target="https://dalil.kg/document/159521" TargetMode="External"/><Relationship Id="rIdkavhamacrpopujr0ti4fp" Type="http://schemas.openxmlformats.org/officeDocument/2006/relationships/hyperlink" Target="https://dalil.kg/document/159521" TargetMode="External"/><Relationship Id="rIdovq9iekh8xclfwqvxlmjd" Type="http://schemas.openxmlformats.org/officeDocument/2006/relationships/hyperlink" Target="https://dalil.kg/document/158133" TargetMode="External"/><Relationship Id="rIddqark--qruz4z-zzx2f7r" Type="http://schemas.openxmlformats.org/officeDocument/2006/relationships/hyperlink" Target="https://dalil.kg/document/159521" TargetMode="External"/><Relationship Id="rIdisui16yzw8znjwil6z7a2" Type="http://schemas.openxmlformats.org/officeDocument/2006/relationships/hyperlink" Target="https://dalil.kg/document/158133" TargetMode="External"/><Relationship Id="rIdl-nsmmxd9ilmlcpa39ap2" Type="http://schemas.openxmlformats.org/officeDocument/2006/relationships/hyperlink" Target="https://dalil.kg/document/15952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4ewczupyxysnofvbp72" Type="http://schemas.openxmlformats.org/officeDocument/2006/relationships/hyperlink" Target="https://dalil.kg/document/95007" TargetMode="External"/><Relationship Id="rIdse53l6wl4ps0nj98im7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2026-09-23T23:27:45.182Z</dcterms:created>
  <dcterms:modified xsi:type="dcterms:W3CDTF">2026-09-23T23:27:45.182Z</dcterms:modified>
</cp:coreProperties>
</file>

<file path=docProps/custom.xml><?xml version="1.0" encoding="utf-8"?>
<Properties xmlns="http://schemas.openxmlformats.org/officeDocument/2006/custom-properties" xmlns:vt="http://schemas.openxmlformats.org/officeDocument/2006/docPropsVTypes"/>
</file>