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cnjv8opy4794mqtidb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июля 2011 года №368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Жолдошевой Ж.А., Акназаровой Р.К., Осмоналиевым К.О., Джумалиевой Э.Б.</w:t>
      </w:r>
    </w:p>
    <w:p>
      <w:pPr>
        <w:spacing w:after="120"/>
        <w:jc w:val="both"/>
      </w:pPr>
      <w:r>
        <w:rPr>
          <w:rFonts w:ascii="Arial" w:cs="Arial" w:eastAsia="Arial" w:hAnsi="Arial"/>
          <w:sz w:val="24"/>
          <w:szCs w:val="24"/>
        </w:rPr>
        <w:t xml:space="preserve">В соответствии со статьей 80 </w:t>
      </w:r>
      <w:hyperlink w:history="1" r:id="rId2dcb12xgaxef0jzvicgv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pykqsk3z4s5m3bg8k0p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Джолдошевой Ж.А., Акназаровой Р.К., Осмоналиевым К.О., Джумалиевой Э.Б.</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ennrniaka3qsiukpnhc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Джолдошевой Ж.А., Акназаровой Р.К., Осмоналиевым К.О., Джумалиевой Э.Б.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i_tpeijqrjkux19jr11e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cnnvm_monzjxt9s-wul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сообщает следующее.</w:t>
      </w:r>
    </w:p>
    <w:p>
      <w:pPr>
        <w:spacing w:after="120"/>
        <w:jc w:val="both"/>
      </w:pPr>
      <w:r>
        <w:rPr>
          <w:rFonts w:ascii="Arial" w:cs="Arial" w:eastAsia="Arial" w:hAnsi="Arial"/>
          <w:sz w:val="24"/>
          <w:szCs w:val="24"/>
        </w:rPr>
        <w:t xml:space="preserve">Проектом Закона Кыргызской Республики "О внесении изменения в Налоговый кодекс Кыргызской Республики" предлагается внести изменение в статью 378 Налогового кодекса Кыргызской Республики, в соответствие с которой образовательные организации, научные учреждения, организации культуры и здравоохранения будут освобождены от уплаты налога на специальные средства.</w:t>
      </w:r>
    </w:p>
    <w:p>
      <w:pPr>
        <w:spacing w:after="120"/>
        <w:jc w:val="both"/>
      </w:pPr>
      <w:r>
        <w:rPr>
          <w:rFonts w:ascii="Arial" w:cs="Arial" w:eastAsia="Arial" w:hAnsi="Arial"/>
          <w:sz w:val="24"/>
          <w:szCs w:val="24"/>
        </w:rPr>
        <w:t xml:space="preserve">При принятии предлагаемого законопроектом изменения ожидаются потери доходной части бюджета. Для снижения ставки или расширения перечня предоставляемых налоговых освобождений необходимо сначала определить соответствующие альтернативные источники по компенсации прямых потерь бюджета. В противном случае, уменьшение доходной части бюджета может привести к отрицательным последствиям.</w:t>
      </w:r>
    </w:p>
    <w:p>
      <w:pPr>
        <w:spacing w:after="120"/>
        <w:jc w:val="both"/>
      </w:pPr>
      <w:r>
        <w:rPr>
          <w:rFonts w:ascii="Arial" w:cs="Arial" w:eastAsia="Arial" w:hAnsi="Arial"/>
          <w:sz w:val="24"/>
          <w:szCs w:val="24"/>
        </w:rPr>
        <w:t xml:space="preserve">По информации Министерства финансов Кыргызской Республики, поступление доходов по специальным средствам бюджетных учреждений системы образования, науки, культуры и здравоохранения в 2011 году прогнозируется в размере порядка 3,1 млрд. сомов. При этом, освобождение образовательных организаций, научных учреждений, организаций культуры и здравоохранения от уплаты налога на специальные средства приведет к потерям доходов бюджета на сумму более 626 млн. сомов.</w:t>
      </w:r>
    </w:p>
    <w:p>
      <w:pPr>
        <w:spacing w:after="120"/>
        <w:jc w:val="both"/>
      </w:pPr>
      <w:r>
        <w:rPr>
          <w:rFonts w:ascii="Arial" w:cs="Arial" w:eastAsia="Arial" w:hAnsi="Arial"/>
          <w:sz w:val="24"/>
          <w:szCs w:val="24"/>
        </w:rPr>
        <w:t xml:space="preserve">Также необходимо отметить, что помимо пополнения доходной части бюджета, налог на специальные средства предназначен для осуществления контроля со стороны государства, за движением финансовых ресурсов (денежных средств) бюджетных учреждений, оказывающих платные услуги.</w:t>
      </w:r>
    </w:p>
    <w:p>
      <w:pPr>
        <w:spacing w:after="120"/>
        <w:jc w:val="both"/>
      </w:pPr>
      <w:r>
        <w:rPr>
          <w:rFonts w:ascii="Arial" w:cs="Arial" w:eastAsia="Arial" w:hAnsi="Arial"/>
          <w:sz w:val="24"/>
          <w:szCs w:val="24"/>
        </w:rPr>
        <w:t xml:space="preserve">В этой связи, было бы целесообразно осуществлять государственную поддержку образовательных организаций, научных учреждений, организаций культуры и здравоохранения, уплачивающих налог на специальные средства, через расходную часть бюджета целевым финансированием.</w:t>
      </w:r>
    </w:p>
    <w:p>
      <w:pPr>
        <w:spacing w:after="120"/>
        <w:jc w:val="both"/>
      </w:pPr>
      <w:r>
        <w:rPr>
          <w:rFonts w:ascii="Arial" w:cs="Arial" w:eastAsia="Arial" w:hAnsi="Arial"/>
          <w:sz w:val="24"/>
          <w:szCs w:val="24"/>
        </w:rPr>
        <w:t xml:space="preserve">Кроме того, необходимо отметить, что проводимые реформы бюджетной системы последних лет направлены на обеспечение прозрачности и полноты отражения потоков государственных доходов, объединение их всех в единой бюджетной системе, с унификацией процедур зачисления средств и финансирования мероприятий. Одним из этапов указанных преобразований является отказ от специальных средств и переход всех государственных органов административного управления и других бюджетных учреждений на полное бюджетное финансирование.</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проекта Закона Кыргызской Республики "О внесении изменения в Налоговый кодекс Кыргызской Республики", инициированного депутатами Жогорку Кенеша Кыргызской Республики Текебаевым О.Ч., Никитенко Н.В., Джолдошевой Ж.А., Акназаровой Р.К., Осмоналиевым К.О., Джумалиевой Э.Б.</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bg5nh2um4yhc6_bfkj">
      <w:r>
        <w:rPr>
          <w:rFonts w:ascii="Arial" w:cs="Arial" w:eastAsia="Arial" w:hAnsi="Arial"/>
          <w:color w:val="132D3F"/>
          <w:sz w:val="16"/>
          <w:szCs w:val="16"/>
          <w:u w:val="single"/>
        </w:rPr>
        <w:t xml:space="preserve">dalil.kg/document/95095</w:t>
      </w:r>
    </w:hyperlink>
  </w:p>
  <w:p>
    <w:pPr>
      <w:spacing w:after="0" w:before="40"/>
      <w:jc w:val="center"/>
    </w:pPr>
    <w:hyperlink w:history="1" r:id="rIdchgy3dumb2_gtv7mhxf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njv8opy4794mqtidbqw" Type="http://schemas.openxmlformats.org/officeDocument/2006/relationships/hyperlink" Target="https://dalil.kg/document/159126" TargetMode="External"/><Relationship Id="rId2dcb12xgaxef0jzvicgve" Type="http://schemas.openxmlformats.org/officeDocument/2006/relationships/hyperlink" Target="https://dalil.kg/document/202913" TargetMode="External"/><Relationship Id="rIdpykqsk3z4s5m3bg8k0puv" Type="http://schemas.openxmlformats.org/officeDocument/2006/relationships/hyperlink" Target="https://dalil.kg/document/1754" TargetMode="External"/><Relationship Id="rIdennrniaka3qsiukpnhcmt" Type="http://schemas.openxmlformats.org/officeDocument/2006/relationships/hyperlink" Target="https://dalil.kg/document/95095" TargetMode="External"/><Relationship Id="rIdi_tpeijqrjkux19jr11ea" Type="http://schemas.openxmlformats.org/officeDocument/2006/relationships/hyperlink" Target="https://dalil.kg/document/202913" TargetMode="External"/><Relationship Id="rIdcnnvm_monzjxt9s-wulgw" Type="http://schemas.openxmlformats.org/officeDocument/2006/relationships/hyperlink" Target="https://dalil.kg/document/17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bg5nh2um4yhc6_bfkj" Type="http://schemas.openxmlformats.org/officeDocument/2006/relationships/hyperlink" Target="https://dalil.kg/document/95095" TargetMode="External"/><Relationship Id="rIdchgy3dumb2_gtv7mhxf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2026-09-25T06:15:41.978Z</dcterms:created>
  <dcterms:modified xsi:type="dcterms:W3CDTF">2026-09-25T06:15:41.978Z</dcterms:modified>
</cp:coreProperties>
</file>

<file path=docProps/custom.xml><?xml version="1.0" encoding="utf-8"?>
<Properties xmlns="http://schemas.openxmlformats.org/officeDocument/2006/custom-properties" xmlns:vt="http://schemas.openxmlformats.org/officeDocument/2006/docPropsVTypes"/>
</file>