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УТРАТИЛО СИЛУ
 в соответствии с </w:t>
      </w:r>
      <w:hyperlink w:history="1" r:id="rIdvl_vpbwk-zkld760mha5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сентября 2018 года № 417</w:t>
      </w:r>
    </w:p>
    <w:p>
      <w:pPr>
        <w:spacing w:after="120"/>
        <w:jc w:val="both"/>
      </w:pPr>
      <w:r>
        <w:rPr>
          <w:rFonts w:ascii="Arial" w:cs="Arial" w:eastAsia="Arial" w:hAnsi="Arial"/>
          <w:sz w:val="24"/>
          <w:szCs w:val="24"/>
        </w:rPr>
        <w:t xml:space="preserve"/>
      </w:r>
    </w:p>
    <w:p>
      <w:pPr>
        <w:spacing w:after="120" w:before="200"/>
        <w:jc w:val="right"/>
      </w:pPr>
      <w:r>
        <w:rPr>
          <w:rFonts w:ascii="Arial" w:cs="Arial" w:eastAsia="Arial" w:hAnsi="Arial"/>
          <w:sz w:val="24"/>
          <w:szCs w:val="24"/>
        </w:rPr>
        <w:t xml:space="preserve">Утверждено
 </w:t>
      </w:r>
      <w:hyperlink w:history="1" r:id="rIdc1g11odsolzaw4i7n_at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июля 2011 года №381</w:t>
      </w:r>
    </w:p>
    <w:p>
      <w:pPr>
        <w:spacing w:after="240" w:before="200"/>
        <w:jc w:val="center"/>
      </w:pPr>
      <w:r>
        <w:rPr>
          <w:rFonts w:ascii="Arial" w:cs="Arial" w:eastAsia="Arial" w:hAnsi="Arial"/>
          <w:b/>
          <w:bCs/>
          <w:sz w:val="32"/>
          <w:szCs w:val="32"/>
        </w:rPr>
        <w:t xml:space="preserve">ПОЛОЖЕНИЕ
 о порядке представления отчетности профессиональными участниками рынка ценных бумаг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qjivnoe6hc2fczlhxatrm">
        <w:r>
          <w:rPr>
            <w:rFonts w:ascii="Arial" w:cs="Arial" w:eastAsia="Arial" w:hAnsi="Arial"/>
            <w:color w:val="1D4ED8"/>
            <w:sz w:val="24"/>
            <w:szCs w:val="24"/>
            <w:u w:val="single"/>
          </w:rPr>
          <w:t xml:space="preserve">26 августа 2014 года № 485</w:t>
        </w:r>
      </w:hyperlink>
      <w:r>
        <w:rPr>
          <w:rFonts w:ascii="Arial" w:cs="Arial" w:eastAsia="Arial" w:hAnsi="Arial"/>
          <w:sz w:val="24"/>
          <w:szCs w:val="24"/>
        </w:rPr>
        <w:t xml:space="preserve">, </w:t>
      </w:r>
      <w:hyperlink w:history="1" r:id="rIdfh8ciau29v7ryy2vwtaag">
        <w:r>
          <w:rPr>
            <w:rFonts w:ascii="Arial" w:cs="Arial" w:eastAsia="Arial" w:hAnsi="Arial"/>
            <w:color w:val="1D4ED8"/>
            <w:sz w:val="24"/>
            <w:szCs w:val="24"/>
            <w:u w:val="single"/>
          </w:rPr>
          <w:t xml:space="preserve">13 февраля 2017 года № 101</w:t>
        </w:r>
      </w:hyperlink>
      <w:r>
        <w:rPr>
          <w:rFonts w:ascii="Arial" w:cs="Arial" w:eastAsia="Arial" w:hAnsi="Arial"/>
          <w:sz w:val="24"/>
          <w:szCs w:val="24"/>
        </w:rPr>
        <w:t xml:space="preserve">, </w:t>
      </w:r>
      <w:hyperlink w:history="1" r:id="rIde1qoxsx32ne80vbzoe2vh">
        <w:r>
          <w:rPr>
            <w:rFonts w:ascii="Arial" w:cs="Arial" w:eastAsia="Arial" w:hAnsi="Arial"/>
            <w:color w:val="1D4ED8"/>
            <w:sz w:val="24"/>
            <w:szCs w:val="24"/>
            <w:u w:val="single"/>
          </w:rPr>
          <w:t xml:space="preserve">13 сентября 2017 года № 565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Порядок представления отчетности</w:t>
      </w:r>
    </w:p>
    <w:p>
      <w:pPr>
        <w:spacing w:after="120"/>
        <w:jc w:val="both"/>
      </w:pPr>
      <w:r>
        <w:rPr>
          <w:rFonts w:ascii="Arial" w:cs="Arial" w:eastAsia="Arial" w:hAnsi="Arial"/>
          <w:sz w:val="24"/>
          <w:szCs w:val="24"/>
        </w:rPr>
        <w:t xml:space="preserve">3. Состав и порядок заполнения отчетности</w:t>
      </w:r>
    </w:p>
    <w:p>
      <w:pPr>
        <w:spacing w:after="120"/>
        <w:jc w:val="both"/>
      </w:pPr>
      <w:r>
        <w:rPr>
          <w:rFonts w:ascii="Arial" w:cs="Arial" w:eastAsia="Arial" w:hAnsi="Arial"/>
          <w:sz w:val="24"/>
          <w:szCs w:val="24"/>
        </w:rPr>
        <w:t xml:space="preserve">профессионального участника</w:t>
      </w:r>
    </w:p>
    <w:p>
      <w:pPr>
        <w:spacing w:after="120"/>
        <w:jc w:val="both"/>
      </w:pPr>
      <w:r>
        <w:rPr>
          <w:rFonts w:ascii="Arial" w:cs="Arial" w:eastAsia="Arial" w:hAnsi="Arial"/>
          <w:sz w:val="24"/>
          <w:szCs w:val="24"/>
        </w:rPr>
        <w:t xml:space="preserve">4. Виды отчетности</w:t>
      </w:r>
    </w:p>
    <w:p>
      <w:pPr>
        <w:spacing w:after="120"/>
        <w:jc w:val="both"/>
      </w:pPr>
      <w:r>
        <w:rPr>
          <w:rFonts w:ascii="Arial" w:cs="Arial" w:eastAsia="Arial" w:hAnsi="Arial"/>
          <w:sz w:val="24"/>
          <w:szCs w:val="24"/>
        </w:rPr>
        <w:t xml:space="preserve">Приложение 1. Отчет об осуществлении профессиональной</w:t>
      </w:r>
    </w:p>
    <w:p>
      <w:pPr>
        <w:spacing w:after="120"/>
        <w:jc w:val="both"/>
      </w:pPr>
      <w:r>
        <w:rPr>
          <w:rFonts w:ascii="Arial" w:cs="Arial" w:eastAsia="Arial" w:hAnsi="Arial"/>
          <w:sz w:val="24"/>
          <w:szCs w:val="24"/>
        </w:rPr>
        <w:t xml:space="preserve">деятельности на рынке ценных бумаг</w:t>
      </w:r>
    </w:p>
    <w:p>
      <w:pPr>
        <w:spacing w:after="120"/>
        <w:jc w:val="both"/>
      </w:pPr>
      <w:r>
        <w:rPr>
          <w:rFonts w:ascii="Arial" w:cs="Arial" w:eastAsia="Arial" w:hAnsi="Arial"/>
          <w:sz w:val="24"/>
          <w:szCs w:val="24"/>
        </w:rPr>
        <w:t xml:space="preserve">Приложение 2. Сведения об организации</w:t>
      </w:r>
    </w:p>
    <w:p>
      <w:pPr>
        <w:spacing w:after="120"/>
        <w:jc w:val="both"/>
      </w:pPr>
      <w:r>
        <w:rPr>
          <w:rFonts w:ascii="Arial" w:cs="Arial" w:eastAsia="Arial" w:hAnsi="Arial"/>
          <w:sz w:val="24"/>
          <w:szCs w:val="24"/>
        </w:rPr>
        <w:t xml:space="preserve">Приложение 3. Сведения о капитале организации</w:t>
      </w:r>
    </w:p>
    <w:p>
      <w:pPr>
        <w:spacing w:after="120"/>
        <w:jc w:val="both"/>
      </w:pPr>
      <w:r>
        <w:rPr>
          <w:rFonts w:ascii="Arial" w:cs="Arial" w:eastAsia="Arial" w:hAnsi="Arial"/>
          <w:sz w:val="24"/>
          <w:szCs w:val="24"/>
        </w:rPr>
        <w:t xml:space="preserve">Приложение 4. Сведения о дебиторской и кредиторской задолженности</w:t>
      </w:r>
    </w:p>
    <w:p>
      <w:pPr>
        <w:spacing w:after="120"/>
        <w:jc w:val="both"/>
      </w:pPr>
      <w:r>
        <w:rPr>
          <w:rFonts w:ascii="Arial" w:cs="Arial" w:eastAsia="Arial" w:hAnsi="Arial"/>
          <w:sz w:val="24"/>
          <w:szCs w:val="24"/>
        </w:rPr>
        <w:t xml:space="preserve">Приложение 5. Структура финансовых вложений</w:t>
      </w:r>
    </w:p>
    <w:p>
      <w:pPr>
        <w:spacing w:after="120"/>
        <w:jc w:val="both"/>
      </w:pPr>
      <w:r>
        <w:rPr>
          <w:rFonts w:ascii="Arial" w:cs="Arial" w:eastAsia="Arial" w:hAnsi="Arial"/>
          <w:sz w:val="24"/>
          <w:szCs w:val="24"/>
        </w:rPr>
        <w:t xml:space="preserve">Приложение 6. Сведения о сделках с ценными бумагами</w:t>
      </w:r>
    </w:p>
    <w:p>
      <w:pPr>
        <w:spacing w:after="120"/>
        <w:jc w:val="both"/>
      </w:pPr>
      <w:r>
        <w:rPr>
          <w:rFonts w:ascii="Arial" w:cs="Arial" w:eastAsia="Arial" w:hAnsi="Arial"/>
          <w:sz w:val="24"/>
          <w:szCs w:val="24"/>
        </w:rPr>
        <w:t xml:space="preserve">Приложение 7. Сведения об осуществлении брокерской деятельности</w:t>
      </w:r>
    </w:p>
    <w:p>
      <w:pPr>
        <w:spacing w:after="120"/>
        <w:jc w:val="both"/>
      </w:pPr>
      <w:r>
        <w:rPr>
          <w:rFonts w:ascii="Arial" w:cs="Arial" w:eastAsia="Arial" w:hAnsi="Arial"/>
          <w:sz w:val="24"/>
          <w:szCs w:val="24"/>
        </w:rPr>
        <w:t xml:space="preserve">Приложение 8. Сведения о проведении операций в реестре владельцев</w:t>
      </w:r>
    </w:p>
    <w:p>
      <w:pPr>
        <w:spacing w:after="120"/>
        <w:jc w:val="both"/>
      </w:pPr>
      <w:r>
        <w:rPr>
          <w:rFonts w:ascii="Arial" w:cs="Arial" w:eastAsia="Arial" w:hAnsi="Arial"/>
          <w:sz w:val="24"/>
          <w:szCs w:val="24"/>
        </w:rPr>
        <w:t xml:space="preserve">именных ценных бумаг</w:t>
      </w:r>
    </w:p>
    <w:p>
      <w:pPr>
        <w:spacing w:after="120"/>
        <w:jc w:val="both"/>
      </w:pPr>
      <w:r>
        <w:rPr>
          <w:rFonts w:ascii="Arial" w:cs="Arial" w:eastAsia="Arial" w:hAnsi="Arial"/>
          <w:sz w:val="24"/>
          <w:szCs w:val="24"/>
        </w:rPr>
        <w:t xml:space="preserve">Приложение 9. Информация о деятельности, сопутствующей ведению</w:t>
      </w:r>
    </w:p>
    <w:p>
      <w:pPr>
        <w:spacing w:after="120"/>
        <w:jc w:val="both"/>
      </w:pPr>
      <w:r>
        <w:rPr>
          <w:rFonts w:ascii="Arial" w:cs="Arial" w:eastAsia="Arial" w:hAnsi="Arial"/>
          <w:sz w:val="24"/>
          <w:szCs w:val="24"/>
        </w:rPr>
        <w:t xml:space="preserve">и хранению реестра</w:t>
      </w:r>
    </w:p>
    <w:p>
      <w:pPr>
        <w:spacing w:after="120"/>
        <w:jc w:val="both"/>
      </w:pPr>
      <w:r>
        <w:rPr>
          <w:rFonts w:ascii="Arial" w:cs="Arial" w:eastAsia="Arial" w:hAnsi="Arial"/>
          <w:sz w:val="24"/>
          <w:szCs w:val="24"/>
        </w:rPr>
        <w:t xml:space="preserve">Приложение 10. Сведения об осуществлении деятельности по</w:t>
      </w:r>
    </w:p>
    <w:p>
      <w:pPr>
        <w:spacing w:after="120"/>
        <w:jc w:val="both"/>
      </w:pPr>
      <w:r>
        <w:rPr>
          <w:rFonts w:ascii="Arial" w:cs="Arial" w:eastAsia="Arial" w:hAnsi="Arial"/>
          <w:sz w:val="24"/>
          <w:szCs w:val="24"/>
        </w:rPr>
        <w:t xml:space="preserve">управлению инвестиционными активами</w:t>
      </w:r>
    </w:p>
    <w:p>
      <w:pPr>
        <w:spacing w:after="120"/>
        <w:jc w:val="both"/>
      </w:pPr>
      <w:r>
        <w:rPr>
          <w:rFonts w:ascii="Arial" w:cs="Arial" w:eastAsia="Arial" w:hAnsi="Arial"/>
          <w:sz w:val="24"/>
          <w:szCs w:val="24"/>
        </w:rPr>
        <w:t xml:space="preserve">Приложение 11. Показатели, характеризующие финансовое состояние</w:t>
      </w:r>
    </w:p>
    <w:p>
      <w:pPr>
        <w:spacing w:after="120"/>
        <w:jc w:val="both"/>
      </w:pPr>
      <w:r>
        <w:rPr>
          <w:rFonts w:ascii="Arial" w:cs="Arial" w:eastAsia="Arial" w:hAnsi="Arial"/>
          <w:sz w:val="24"/>
          <w:szCs w:val="24"/>
        </w:rPr>
        <w:t xml:space="preserve">организации</w:t>
      </w:r>
    </w:p>
    <w:p>
      <w:pPr>
        <w:spacing w:after="120"/>
        <w:jc w:val="both"/>
      </w:pPr>
      <w:r>
        <w:rPr>
          <w:rFonts w:ascii="Arial" w:cs="Arial" w:eastAsia="Arial" w:hAnsi="Arial"/>
          <w:sz w:val="24"/>
          <w:szCs w:val="24"/>
        </w:rPr>
        <w:t xml:space="preserve">Приложение 12. Информация о совершении операции с 5% и более</w:t>
      </w:r>
    </w:p>
    <w:p>
      <w:pPr>
        <w:spacing w:after="120"/>
        <w:jc w:val="both"/>
      </w:pPr>
      <w:r>
        <w:rPr>
          <w:rFonts w:ascii="Arial" w:cs="Arial" w:eastAsia="Arial" w:hAnsi="Arial"/>
          <w:sz w:val="24"/>
          <w:szCs w:val="24"/>
        </w:rPr>
        <w:t xml:space="preserve">с одним видом ценных бумаг одного эмитента</w:t>
      </w:r>
    </w:p>
    <w:p>
      <w:pPr>
        <w:spacing w:after="120"/>
        <w:jc w:val="both"/>
      </w:pPr>
      <w:r>
        <w:rPr>
          <w:rFonts w:ascii="Arial" w:cs="Arial" w:eastAsia="Arial" w:hAnsi="Arial"/>
          <w:sz w:val="24"/>
          <w:szCs w:val="24"/>
        </w:rPr>
        <w:t xml:space="preserve">Приложение 13. Инструкция о порядке заполнения форм отчета</w:t>
      </w:r>
    </w:p>
    <w:p>
      <w:pPr>
        <w:spacing w:after="120"/>
        <w:jc w:val="both"/>
      </w:pPr>
      <w:r>
        <w:rPr>
          <w:rFonts w:ascii="Arial" w:cs="Arial" w:eastAsia="Arial" w:hAnsi="Arial"/>
          <w:sz w:val="24"/>
          <w:szCs w:val="24"/>
        </w:rPr>
        <w:t xml:space="preserve">об осуществлении профессиональной деятельности</w:t>
      </w:r>
    </w:p>
    <w:p>
      <w:pPr>
        <w:spacing w:after="120"/>
        <w:jc w:val="both"/>
      </w:pPr>
      <w:r>
        <w:rPr>
          <w:rFonts w:ascii="Arial" w:cs="Arial" w:eastAsia="Arial" w:hAnsi="Arial"/>
          <w:sz w:val="24"/>
          <w:szCs w:val="24"/>
        </w:rPr>
        <w:t xml:space="preserve">на рынке ценных бумаг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устанавливает состав, порядок заполнения и представления отчетности профессиональными участниками рынка ценных бумаг (далее - профессиональный участник) в уполномоченный государственный орган по регулированию рынка ценных бумаг.</w:t>
      </w:r>
    </w:p>
    <w:p>
      <w:pPr>
        <w:spacing w:after="120"/>
        <w:jc w:val="both"/>
      </w:pPr>
      <w:r>
        <w:rPr>
          <w:rFonts w:ascii="Arial" w:cs="Arial" w:eastAsia="Arial" w:hAnsi="Arial"/>
          <w:sz w:val="24"/>
          <w:szCs w:val="24"/>
        </w:rPr>
        <w:t xml:space="preserve">2. Профессиональный участник несет ответственность в соответствии с законодательством Кыргызской Республики по ценным бумагам, нормативными правовыми актами Кыргызской Республики за несвоевременное, неполное либо недостоверное представление отчетности.</w:t>
      </w:r>
    </w:p>
    <w:p>
      <w:pPr>
        <w:spacing w:after="120"/>
        <w:jc w:val="both"/>
      </w:pPr>
      <w:r>
        <w:rPr>
          <w:rFonts w:ascii="Arial" w:cs="Arial" w:eastAsia="Arial" w:hAnsi="Arial"/>
          <w:sz w:val="24"/>
          <w:szCs w:val="24"/>
        </w:rPr>
        <w:t xml:space="preserve">3. Уполномоченный государственный орган по регулированию рынка ценных бумаг, его региональные отделения и представительства вправе запрашивать у профессионального участника дополнительную информацию и документы по представленной отчетности.</w:t>
      </w:r>
    </w:p>
    <w:p>
      <w:pPr>
        <w:spacing w:after="120"/>
        <w:jc w:val="both"/>
      </w:pPr>
      <w:r>
        <w:rPr>
          <w:rFonts w:ascii="Arial" w:cs="Arial" w:eastAsia="Arial" w:hAnsi="Arial"/>
          <w:sz w:val="24"/>
          <w:szCs w:val="24"/>
        </w:rPr>
        <w:t xml:space="preserve">4. Действие настоящего Положения распространяется на всех юридических лиц, осуществляющих профессиональную деятельность на рынке ценных бумаг на основании лицензии, выдаваемой уполномоченным государственным органом по регулированию рынка ценных бумаг, за исключением юридических лиц, осуществляющих деятельность фондовой биржи.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Порядок представления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Отчетность представляется профессиональными участниками в уполномоченный государственный орган по регулированию рынка ценных бумаг ежеквартально, в течение 30 дней после окончания каждого отчетного квартала, и раз в год, в течение 30 дней после окончания финансового года, а также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 Если последний день срока представления отчетности приходится на нерабочий день, днем окончания срока считается ближайший следующий за ним рабочий день.</w:t>
      </w:r>
    </w:p>
    <w:p>
      <w:pPr>
        <w:spacing w:after="120"/>
        <w:jc w:val="both"/>
      </w:pPr>
      <w:r>
        <w:rPr>
          <w:rFonts w:ascii="Arial" w:cs="Arial" w:eastAsia="Arial" w:hAnsi="Arial"/>
          <w:sz w:val="24"/>
          <w:szCs w:val="24"/>
        </w:rPr>
        <w:t xml:space="preserve">6. Отчетность представляется в бумажной форме и на электронном носителе. Содержание отчетности, представляемой в бумажной форме, должно соответствовать содержанию отчетности, представляемой на электронном носителе.</w:t>
      </w:r>
    </w:p>
    <w:p>
      <w:pPr>
        <w:spacing w:after="120"/>
        <w:jc w:val="both"/>
      </w:pPr>
      <w:r>
        <w:rPr>
          <w:rFonts w:ascii="Arial" w:cs="Arial" w:eastAsia="Arial" w:hAnsi="Arial"/>
          <w:sz w:val="24"/>
          <w:szCs w:val="24"/>
        </w:rPr>
        <w:t xml:space="preserve">7. Отчетность, представляемая в бумажной форме, подписывается лицом, имеющим право подписи на соответствующих документах, главным бухгалтером, заверяется печатью, постранично нумеруется и сшивается.</w:t>
      </w:r>
    </w:p>
    <w:p>
      <w:pPr>
        <w:spacing w:after="120"/>
        <w:jc w:val="both"/>
      </w:pPr>
      <w:r>
        <w:rPr>
          <w:rFonts w:ascii="Arial" w:cs="Arial" w:eastAsia="Arial" w:hAnsi="Arial"/>
          <w:sz w:val="24"/>
          <w:szCs w:val="24"/>
        </w:rPr>
        <w:t xml:space="preserve">8. Отчетность на электронном носителе представляется в формате, разработанном уполномоченным государственным органом по рынку ценных бумаг. Для заполнения указанной формы может использоваться программный продукт уполномоченного государственного органа по регулированию рынка ценных бумаг.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Состав и порядок заполнения отчетности профессионального участника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Отчетность профессионального участника, осуществляющего брокерскую, дилерскую деятельность и деятельность по доверительному управлению инвестиционными активами, состоит из отчета об осуществлении брокерской, дилерской деятельности на рынке ценных бумаг и деятельности по доверительному управлению инвестиционными активами (формы отчетов: N ПД-1, ПД-2, ПД-3, БД-1, БД-2, БД-3, Б-1, ДУ-1), показателей расчетов, характеризующих финансовое состояние организации (форма N ПД-4), бухгалтерской отчетности, информации о сделках (ПД-5).</w:t>
      </w:r>
    </w:p>
    <w:p>
      <w:pPr>
        <w:spacing w:after="120"/>
        <w:jc w:val="both"/>
      </w:pPr>
      <w:r>
        <w:rPr>
          <w:rFonts w:ascii="Arial" w:cs="Arial" w:eastAsia="Arial" w:hAnsi="Arial"/>
          <w:sz w:val="24"/>
          <w:szCs w:val="24"/>
        </w:rPr>
        <w:t xml:space="preserve">В случае доверительного управления средствами пенсионных накоплений дополнительно представляются (формы отчетов "N ДУ-2, ДУ-3, ДУ-4, ДУ-5).</w:t>
      </w:r>
    </w:p>
    <w:p>
      <w:pPr>
        <w:spacing w:after="120"/>
        <w:ind w:firstLine="397"/>
        <w:jc w:val="left"/>
      </w:pPr>
      <w:r>
        <w:rPr>
          <w:rFonts w:ascii="Arial" w:cs="Arial" w:eastAsia="Arial" w:hAnsi="Arial"/>
          <w:sz w:val="24"/>
          <w:szCs w:val="24"/>
        </w:rPr>
        <w:t xml:space="preserve">(В редакции постановлений Правительства КР от </w:t>
      </w:r>
      <w:hyperlink w:history="1" r:id="rIdphrihnmam9g06vzuco5jx">
        <w:r>
          <w:rPr>
            <w:rFonts w:ascii="Arial" w:cs="Arial" w:eastAsia="Arial" w:hAnsi="Arial"/>
            <w:color w:val="1D4ED8"/>
            <w:sz w:val="24"/>
            <w:szCs w:val="24"/>
            <w:u w:val="single"/>
          </w:rPr>
          <w:t xml:space="preserve">26 августа 2014 года № 485</w:t>
        </w:r>
      </w:hyperlink>
      <w:r>
        <w:rPr>
          <w:rFonts w:ascii="Arial" w:cs="Arial" w:eastAsia="Arial" w:hAnsi="Arial"/>
          <w:sz w:val="24"/>
          <w:szCs w:val="24"/>
        </w:rPr>
        <w:t xml:space="preserve">, </w:t>
      </w:r>
      <w:hyperlink w:history="1" r:id="rIde1f1k2y_7shyg9g274cxc">
        <w:r>
          <w:rPr>
            <w:rFonts w:ascii="Arial" w:cs="Arial" w:eastAsia="Arial" w:hAnsi="Arial"/>
            <w:color w:val="1D4ED8"/>
            <w:sz w:val="24"/>
            <w:szCs w:val="24"/>
            <w:u w:val="single"/>
          </w:rPr>
          <w:t xml:space="preserve">13 февраля 2017 года № 101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Профессиональные участники, осуществляющие брокерскую, дилерскую деятельность и деятельность по доверительному управлению инвестиционными активами, ежеквартально представляют следующие виды отчетности: формы N ПД-1, БД-3, ПД-4 (приложения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11</w:t>
      </w:r>
      <w:r>
        <w:rPr>
          <w:rFonts w:ascii="Arial" w:cs="Arial" w:eastAsia="Arial" w:hAnsi="Arial"/>
          <w:sz w:val="24"/>
          <w:szCs w:val="24"/>
        </w:rPr>
        <w:t xml:space="preserve">), бухгалтерскую отчетность. Также представляется информация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 Годовая отчетность составляется по всем видам отчетов.</w:t>
      </w:r>
    </w:p>
    <w:p>
      <w:pPr>
        <w:spacing w:after="120"/>
        <w:jc w:val="both"/>
      </w:pPr>
      <w:r>
        <w:rPr>
          <w:rFonts w:ascii="Arial" w:cs="Arial" w:eastAsia="Arial" w:hAnsi="Arial"/>
          <w:sz w:val="24"/>
          <w:szCs w:val="24"/>
        </w:rPr>
        <w:t xml:space="preserve">В случае доверительного управления средствами пенсионных накоплений ежеквартально представляют следующие виды отчетности: (формы N ДУ-1, ДУ-2, ДУ-3, ДУ-4, ДУ-5).</w:t>
      </w:r>
    </w:p>
    <w:p>
      <w:pPr>
        <w:spacing w:after="120"/>
        <w:ind w:firstLine="397"/>
        <w:jc w:val="left"/>
      </w:pPr>
      <w:r>
        <w:rPr>
          <w:rFonts w:ascii="Arial" w:cs="Arial" w:eastAsia="Arial" w:hAnsi="Arial"/>
          <w:sz w:val="24"/>
          <w:szCs w:val="24"/>
        </w:rPr>
        <w:t xml:space="preserve">(В редакции постановлений Правительства КР от </w:t>
      </w:r>
      <w:hyperlink w:history="1" r:id="rIdupi60hel7dbt2tn2zhjoi">
        <w:r>
          <w:rPr>
            <w:rFonts w:ascii="Arial" w:cs="Arial" w:eastAsia="Arial" w:hAnsi="Arial"/>
            <w:color w:val="1D4ED8"/>
            <w:sz w:val="24"/>
            <w:szCs w:val="24"/>
            <w:u w:val="single"/>
          </w:rPr>
          <w:t xml:space="preserve">26 августа 2014 года № 485</w:t>
        </w:r>
      </w:hyperlink>
      <w:r>
        <w:rPr>
          <w:rFonts w:ascii="Arial" w:cs="Arial" w:eastAsia="Arial" w:hAnsi="Arial"/>
          <w:sz w:val="24"/>
          <w:szCs w:val="24"/>
        </w:rPr>
        <w:t xml:space="preserve">, </w:t>
      </w:r>
      <w:hyperlink w:history="1" r:id="rIdrc-x4tynklmqrvzgixxie">
        <w:r>
          <w:rPr>
            <w:rFonts w:ascii="Arial" w:cs="Arial" w:eastAsia="Arial" w:hAnsi="Arial"/>
            <w:color w:val="1D4ED8"/>
            <w:sz w:val="24"/>
            <w:szCs w:val="24"/>
            <w:u w:val="single"/>
          </w:rPr>
          <w:t xml:space="preserve">13 февраля 2017 года № 101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Отчетность профессиональных участников рынка ценных бумаг, осуществляющих деятельность по ведению и хранению реестра держателей именных ценных бумаг, включая и депозитарии, (далее - регистраторы) состоит из отчета об осуществлении деятельности по ведению и хранению реестра владельцев именных ценных бумаг в Кыргызской Республике (формы № ПД-1, ПД-2, ПД-3, Р-1, Р-2), показателей расчетов, характеризующих финансовое состояние организаций (форма № ПД-4), бухгалтерской отчетности.</w:t>
      </w:r>
    </w:p>
    <w:p>
      <w:pPr>
        <w:spacing w:after="120"/>
        <w:jc w:val="both"/>
      </w:pPr>
      <w:r>
        <w:rPr>
          <w:rFonts w:ascii="Arial" w:cs="Arial" w:eastAsia="Arial" w:hAnsi="Arial"/>
          <w:sz w:val="24"/>
          <w:szCs w:val="24"/>
        </w:rPr>
        <w:t xml:space="preserve">12. Регистраторы ежеквартально представляют следующие виды отчетности: формы № ПД-1, Р-1, ПД-4 (</w:t>
      </w:r>
      <w:hyperlink w:history="1" r:id="rIdukipny_grgphseiedqczn">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w:t>
      </w:r>
      <w:hyperlink w:history="1" r:id="rIdoxtekbqrfwtgvvjxyw1vm">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ak1i_3xtj0aieuwxslxa5">
        <w:r>
          <w:rPr>
            <w:rFonts w:ascii="Arial" w:cs="Arial" w:eastAsia="Arial" w:hAnsi="Arial"/>
            <w:color w:val="1D4ED8"/>
            <w:sz w:val="24"/>
            <w:szCs w:val="24"/>
            <w:u w:val="single"/>
          </w:rPr>
          <w:t xml:space="preserve">11</w:t>
        </w:r>
      </w:hyperlink>
      <w:r>
        <w:rPr>
          <w:rFonts w:ascii="Arial" w:cs="Arial" w:eastAsia="Arial" w:hAnsi="Arial"/>
          <w:sz w:val="24"/>
          <w:szCs w:val="24"/>
        </w:rPr>
        <w:t xml:space="preserve">), бухгалтерскую отчетность. Также представляется отчетность по форме ПД-5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 Годовая отчетность составляется по всем видам отчетов.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Виды отчетности</w:t>
      </w:r>
    </w:p>
    <w:p>
      <w:pPr>
        <w:spacing w:after="120"/>
        <w:jc w:val="both"/>
      </w:pPr>
      <w:r>
        <w:rPr>
          <w:rFonts w:ascii="Arial" w:cs="Arial" w:eastAsia="Arial" w:hAnsi="Arial"/>
          <w:sz w:val="24"/>
          <w:szCs w:val="24"/>
        </w:rPr>
        <w:t xml:space="preserve">13. Отчет об осуществлении профессиональной деятельности на рынке ценных бумаг включает:</w:t>
      </w:r>
    </w:p>
    <w:p>
      <w:pPr>
        <w:spacing w:after="120"/>
        <w:jc w:val="both"/>
      </w:pPr>
      <w:r>
        <w:rPr>
          <w:rFonts w:ascii="Arial" w:cs="Arial" w:eastAsia="Arial" w:hAnsi="Arial"/>
          <w:sz w:val="24"/>
          <w:szCs w:val="24"/>
        </w:rPr>
        <w:t xml:space="preserve">а) титульный лист;</w:t>
      </w:r>
    </w:p>
    <w:p>
      <w:pPr>
        <w:spacing w:after="120"/>
        <w:jc w:val="both"/>
      </w:pPr>
      <w:r>
        <w:rPr>
          <w:rFonts w:ascii="Arial" w:cs="Arial" w:eastAsia="Arial" w:hAnsi="Arial"/>
          <w:sz w:val="24"/>
          <w:szCs w:val="24"/>
        </w:rPr>
        <w:t xml:space="preserve">б) общие сведения об организации - формы N ПД-1 и ПД-2;</w:t>
      </w:r>
    </w:p>
    <w:p>
      <w:pPr>
        <w:spacing w:after="120"/>
        <w:jc w:val="both"/>
      </w:pPr>
      <w:r>
        <w:rPr>
          <w:rFonts w:ascii="Arial" w:cs="Arial" w:eastAsia="Arial" w:hAnsi="Arial"/>
          <w:sz w:val="24"/>
          <w:szCs w:val="24"/>
        </w:rPr>
        <w:t xml:space="preserve">в) сведения о капитале организации - форма N ПД-3;</w:t>
      </w:r>
    </w:p>
    <w:p>
      <w:pPr>
        <w:spacing w:after="120"/>
        <w:jc w:val="both"/>
      </w:pPr>
      <w:r>
        <w:rPr>
          <w:rFonts w:ascii="Arial" w:cs="Arial" w:eastAsia="Arial" w:hAnsi="Arial"/>
          <w:sz w:val="24"/>
          <w:szCs w:val="24"/>
        </w:rPr>
        <w:t xml:space="preserve">г) сведения о дебиторской и кредиторской задолженности - форма N БД-1;</w:t>
      </w:r>
    </w:p>
    <w:p>
      <w:pPr>
        <w:spacing w:after="120"/>
        <w:jc w:val="both"/>
      </w:pPr>
      <w:r>
        <w:rPr>
          <w:rFonts w:ascii="Arial" w:cs="Arial" w:eastAsia="Arial" w:hAnsi="Arial"/>
          <w:sz w:val="24"/>
          <w:szCs w:val="24"/>
        </w:rPr>
        <w:t xml:space="preserve">д) структуру финансовых вложений - форма N БД-2;</w:t>
      </w:r>
    </w:p>
    <w:p>
      <w:pPr>
        <w:spacing w:after="120"/>
        <w:jc w:val="both"/>
      </w:pPr>
      <w:r>
        <w:rPr>
          <w:rFonts w:ascii="Arial" w:cs="Arial" w:eastAsia="Arial" w:hAnsi="Arial"/>
          <w:sz w:val="24"/>
          <w:szCs w:val="24"/>
        </w:rPr>
        <w:t xml:space="preserve">е) сведения о сделках с ценными бумагами - форма N БД-3;</w:t>
      </w:r>
    </w:p>
    <w:p>
      <w:pPr>
        <w:spacing w:after="120"/>
        <w:jc w:val="both"/>
      </w:pPr>
      <w:r>
        <w:rPr>
          <w:rFonts w:ascii="Arial" w:cs="Arial" w:eastAsia="Arial" w:hAnsi="Arial"/>
          <w:sz w:val="24"/>
          <w:szCs w:val="24"/>
        </w:rPr>
        <w:t xml:space="preserve">ж) сведения об осуществлении брокерской деятельности - форма N Б-1;</w:t>
      </w:r>
    </w:p>
    <w:p>
      <w:pPr>
        <w:spacing w:after="120"/>
        <w:jc w:val="both"/>
      </w:pPr>
      <w:r>
        <w:rPr>
          <w:rFonts w:ascii="Arial" w:cs="Arial" w:eastAsia="Arial" w:hAnsi="Arial"/>
          <w:sz w:val="24"/>
          <w:szCs w:val="24"/>
        </w:rPr>
        <w:t xml:space="preserve">з) сведения о проведении операций в реестре владельцев именных ценных бумаг - форма N Р-1;</w:t>
      </w:r>
    </w:p>
    <w:p>
      <w:pPr>
        <w:spacing w:after="120"/>
        <w:jc w:val="both"/>
      </w:pPr>
      <w:r>
        <w:rPr>
          <w:rFonts w:ascii="Arial" w:cs="Arial" w:eastAsia="Arial" w:hAnsi="Arial"/>
          <w:sz w:val="24"/>
          <w:szCs w:val="24"/>
        </w:rPr>
        <w:t xml:space="preserve">и) информацию о деятельности, сопутствующей ведению и хранению реестра, - форма N Р-2;</w:t>
      </w:r>
    </w:p>
    <w:p>
      <w:pPr>
        <w:spacing w:after="120"/>
        <w:jc w:val="both"/>
      </w:pPr>
      <w:r>
        <w:rPr>
          <w:rFonts w:ascii="Arial" w:cs="Arial" w:eastAsia="Arial" w:hAnsi="Arial"/>
          <w:sz w:val="24"/>
          <w:szCs w:val="24"/>
        </w:rPr>
        <w:t xml:space="preserve">к) сведения об осуществлении деятельности по доверительному управлению инвестиционными активами - форма N ДУ-1;</w:t>
      </w:r>
    </w:p>
    <w:p>
      <w:pPr>
        <w:spacing w:after="120"/>
        <w:jc w:val="both"/>
      </w:pPr>
      <w:r>
        <w:rPr>
          <w:rFonts w:ascii="Arial" w:cs="Arial" w:eastAsia="Arial" w:hAnsi="Arial"/>
          <w:sz w:val="24"/>
          <w:szCs w:val="24"/>
        </w:rPr>
        <w:t xml:space="preserve">л) показатели, характеризующие финансовое состояние организации, - форма N ПД-4;</w:t>
      </w:r>
    </w:p>
    <w:p>
      <w:pPr>
        <w:spacing w:after="120"/>
        <w:jc w:val="both"/>
      </w:pPr>
      <w:r>
        <w:rPr>
          <w:rFonts w:ascii="Arial" w:cs="Arial" w:eastAsia="Arial" w:hAnsi="Arial"/>
          <w:sz w:val="24"/>
          <w:szCs w:val="24"/>
        </w:rPr>
        <w:t xml:space="preserve">м) информацию о разовых сделках,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w:t>
      </w:r>
    </w:p>
    <w:p>
      <w:pPr>
        <w:spacing w:after="120"/>
        <w:jc w:val="both"/>
      </w:pPr>
      <w:r>
        <w:rPr>
          <w:rFonts w:ascii="Arial" w:cs="Arial" w:eastAsia="Arial" w:hAnsi="Arial"/>
          <w:sz w:val="24"/>
          <w:szCs w:val="24"/>
        </w:rPr>
        <w:t xml:space="preserve">н) сведения о количестве застрахованных лицах, заключивших договор доверительного управления пенсионными активами, сведения о средствах пенсионных накоплений, переданных в доверительное управление пенсионными активами, и стоимость чистых активов по форме N ДУ-2;</w:t>
      </w:r>
    </w:p>
    <w:p>
      <w:pPr>
        <w:spacing w:after="120"/>
        <w:jc w:val="both"/>
      </w:pPr>
      <w:r>
        <w:rPr>
          <w:rFonts w:ascii="Arial" w:cs="Arial" w:eastAsia="Arial" w:hAnsi="Arial"/>
          <w:sz w:val="24"/>
          <w:szCs w:val="24"/>
        </w:rPr>
        <w:t xml:space="preserve">о) сведения о результатах инвестирования средств пенсионных накоплений, переданных в доверительное управление пенсионными активами по форме N ДУ-3;</w:t>
      </w:r>
    </w:p>
    <w:p>
      <w:pPr>
        <w:spacing w:after="120"/>
        <w:jc w:val="both"/>
      </w:pPr>
      <w:r>
        <w:rPr>
          <w:rFonts w:ascii="Arial" w:cs="Arial" w:eastAsia="Arial" w:hAnsi="Arial"/>
          <w:sz w:val="24"/>
          <w:szCs w:val="24"/>
        </w:rPr>
        <w:t xml:space="preserve">п) сведения о структуре совокупного инвестиционного портфеля по доверительному управлению пенсионными активами за отчетный период по форме N ДУ-4;</w:t>
      </w:r>
    </w:p>
    <w:p>
      <w:pPr>
        <w:spacing w:after="120"/>
        <w:jc w:val="both"/>
      </w:pPr>
      <w:r>
        <w:rPr>
          <w:rFonts w:ascii="Arial" w:cs="Arial" w:eastAsia="Arial" w:hAnsi="Arial"/>
          <w:sz w:val="24"/>
          <w:szCs w:val="24"/>
        </w:rPr>
        <w:t xml:space="preserve">р) сведения о структуре инвестиционного портфеля по доверительному управлению пенсионными активами за отчетный период по форме N ДУ-5.</w:t>
      </w:r>
    </w:p>
    <w:p>
      <w:pPr>
        <w:spacing w:after="120"/>
        <w:ind w:firstLine="397"/>
        <w:jc w:val="left"/>
      </w:pPr>
      <w:r>
        <w:rPr>
          <w:rFonts w:ascii="Arial" w:cs="Arial" w:eastAsia="Arial" w:hAnsi="Arial"/>
          <w:sz w:val="24"/>
          <w:szCs w:val="24"/>
        </w:rPr>
        <w:t xml:space="preserve">(В редакции постановлений Правительства КР от </w:t>
      </w:r>
      <w:hyperlink w:history="1" r:id="rIdsujyivku8qtksxpwahnwj">
        <w:r>
          <w:rPr>
            <w:rFonts w:ascii="Arial" w:cs="Arial" w:eastAsia="Arial" w:hAnsi="Arial"/>
            <w:color w:val="1D4ED8"/>
            <w:sz w:val="24"/>
            <w:szCs w:val="24"/>
            <w:u w:val="single"/>
          </w:rPr>
          <w:t xml:space="preserve">26 августа 2014 года № 485</w:t>
        </w:r>
      </w:hyperlink>
      <w:r>
        <w:rPr>
          <w:rFonts w:ascii="Arial" w:cs="Arial" w:eastAsia="Arial" w:hAnsi="Arial"/>
          <w:sz w:val="24"/>
          <w:szCs w:val="24"/>
        </w:rPr>
        <w:t xml:space="preserve">, </w:t>
      </w:r>
      <w:hyperlink w:history="1" r:id="rIda68vhwvsbph3th4gd_ldd">
        <w:r>
          <w:rPr>
            <w:rFonts w:ascii="Arial" w:cs="Arial" w:eastAsia="Arial" w:hAnsi="Arial"/>
            <w:color w:val="1D4ED8"/>
            <w:sz w:val="24"/>
            <w:szCs w:val="24"/>
            <w:u w:val="single"/>
          </w:rPr>
          <w:t xml:space="preserve">13 февраля 2017 года № 101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При заполнении форм отчета об осуществлении профессиональной деятельности на рынке ценных бумаг следует руководствоваться Инструкцией о порядке заполнения отчета об осуществлении профессиональной деятельности на рынке ценных бумаг (</w:t>
      </w:r>
      <w:hyperlink w:history="1" r:id="rIdatxzsfhh0ygfouqrehfdy">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Бухгалтерская отчетность представляется по форме, утверждаемой Правительством Кыргызской Республики, включая:</w:t>
      </w:r>
    </w:p>
    <w:p>
      <w:pPr>
        <w:spacing w:after="120"/>
        <w:jc w:val="both"/>
      </w:pPr>
      <w:r>
        <w:rPr>
          <w:rFonts w:ascii="Arial" w:cs="Arial" w:eastAsia="Arial" w:hAnsi="Arial"/>
          <w:sz w:val="24"/>
          <w:szCs w:val="24"/>
        </w:rPr>
        <w:t xml:space="preserve">а) отчет об активах и пассивах;</w:t>
      </w:r>
    </w:p>
    <w:p>
      <w:pPr>
        <w:spacing w:after="120"/>
        <w:jc w:val="both"/>
      </w:pPr>
      <w:r>
        <w:rPr>
          <w:rFonts w:ascii="Arial" w:cs="Arial" w:eastAsia="Arial" w:hAnsi="Arial"/>
          <w:sz w:val="24"/>
          <w:szCs w:val="24"/>
        </w:rPr>
        <w:t xml:space="preserve">б) отчет о финансовых результатах.</w:t>
      </w:r>
    </w:p>
    <w:p>
      <w:pPr>
        <w:spacing w:after="120"/>
        <w:jc w:val="both"/>
      </w:pPr>
      <w:r>
        <w:rPr>
          <w:rFonts w:ascii="Arial" w:cs="Arial" w:eastAsia="Arial" w:hAnsi="Arial"/>
          <w:sz w:val="24"/>
          <w:szCs w:val="24"/>
        </w:rPr>
        <w:t xml:space="preserve">Заполнение указанных форм бухгалтерской отчетности осуществляется в соответствии с требованиями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ДЛЯ СЛУЖЕБНЫХ ОТМЕТОК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Дело № ___________________________________________________________</w:t>
      </w:r>
    </w:p>
    <w:p>
      <w:pPr>
        <w:spacing w:after="120"/>
        <w:jc w:val="both"/>
      </w:pPr>
      <w:r>
        <w:rPr>
          <w:rFonts w:ascii="Arial" w:cs="Arial" w:eastAsia="Arial" w:hAnsi="Arial"/>
          <w:sz w:val="24"/>
          <w:szCs w:val="24"/>
        </w:rPr>
        <w:t xml:space="preserve">Проверил (ФИО) 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w:t>
      </w:r>
    </w:p>
    <w:p>
      <w:pPr>
        <w:spacing w:after="120"/>
        <w:jc w:val="both"/>
      </w:pPr>
      <w:r>
        <w:rPr>
          <w:rFonts w:ascii="Arial" w:cs="Arial" w:eastAsia="Arial" w:hAnsi="Arial"/>
          <w:sz w:val="24"/>
          <w:szCs w:val="24"/>
        </w:rPr>
        <w:t xml:space="preserve">об осуществлении профессиональной деятельности</w:t>
      </w:r>
    </w:p>
    <w:p>
      <w:pPr>
        <w:spacing w:after="120"/>
        <w:jc w:val="both"/>
      </w:pPr>
      <w:r>
        <w:rPr>
          <w:rFonts w:ascii="Arial" w:cs="Arial" w:eastAsia="Arial" w:hAnsi="Arial"/>
          <w:sz w:val="24"/>
          <w:szCs w:val="24"/>
        </w:rPr>
        <w:t xml:space="preserve">на рынке ценных бумаг</w:t>
      </w:r>
    </w:p>
    <w:p>
      <w:pPr>
        <w:spacing w:after="120"/>
        <w:jc w:val="both"/>
      </w:pPr>
      <w:r>
        <w:rPr>
          <w:rFonts w:ascii="Arial" w:cs="Arial" w:eastAsia="Arial" w:hAnsi="Arial"/>
          <w:sz w:val="24"/>
          <w:szCs w:val="24"/>
        </w:rPr>
        <w:t xml:space="preserve">Форма № ПД-1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"___" _____________ 201__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сведения об организации</w:t>
      </w:r>
    </w:p>
    <w:p>
      <w:pPr>
        <w:spacing w:after="120"/>
        <w:jc w:val="both"/>
      </w:pPr>
      <w:r>
        <w:rPr>
          <w:rFonts w:ascii="Arial" w:cs="Arial" w:eastAsia="Arial" w:hAnsi="Arial"/>
          <w:sz w:val="24"/>
          <w:szCs w:val="24"/>
        </w:rPr>
        <w:t xml:space="preserve">(заполняется уполномоченным лицом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организации)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(сокращенное наименование организации)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(фактическое место нахождения организации)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(идентификационный номер налогоплательщика)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(юридический адрес организации)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(почтовый адрес организации)</w:t>
      </w:r>
    </w:p>
    <w:p>
      <w:pPr>
        <w:spacing w:after="120"/>
        <w:jc w:val="both"/>
      </w:pPr>
      <w:r>
        <w:rPr>
          <w:rFonts w:ascii="Arial" w:cs="Arial" w:eastAsia="Arial" w:hAnsi="Arial"/>
          <w:sz w:val="24"/>
          <w:szCs w:val="24"/>
        </w:rPr>
        <w:t xml:space="preserve">Контактный телефон организации 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руководителе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должности руководителя организации)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руководителя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главном бухгалтере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(ФИО главного бухгалтера)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(должность, телефон)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подтверждает, что информация, содержащаяся в настоящем отчете, является полной и достоверной, все формы, приложения и пояснения к настоящему отчету являются неотъемлемой его частью, и в случае внесения каких-либо изменений и дополнений все неизмененные показатели остаются полными и достоверными.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 № ПД-2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(Утратили силу
 в соответствии с</w:t>
      </w:r>
      <w:hyperlink w:history="1" r:id="rIdibu6z60-u7gxgah--jrf_">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КР от 13 сентября 2017 года № 565)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 № ПД-3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
 о капитале организации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показателя   │Единица измерения│Значение показателя│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│1│Уставный капитал             │                 │                   │</w:t>
      </w:r>
    </w:p>
    <w:p>
      <w:pPr>
        <w:spacing w:after="120"/>
        <w:jc w:val="center"/>
      </w:pPr>
      <w:r>
        <w:rPr>
          <w:rFonts w:ascii="Arial" w:cs="Arial" w:eastAsia="Arial" w:hAnsi="Arial"/>
          <w:sz w:val="24"/>
          <w:szCs w:val="24"/>
        </w:rPr>
        <w:t xml:space="preserve">│2│Доля нерезидентов в уставном │                 │                   │</w:t>
      </w:r>
    </w:p>
    <w:p>
      <w:pPr>
        <w:spacing w:after="120"/>
        <w:jc w:val="center"/>
      </w:pPr>
      <w:r>
        <w:rPr>
          <w:rFonts w:ascii="Arial" w:cs="Arial" w:eastAsia="Arial" w:hAnsi="Arial"/>
          <w:sz w:val="24"/>
          <w:szCs w:val="24"/>
        </w:rPr>
        <w:t xml:space="preserve">│ │капитале                     │                 │                   │</w:t>
      </w:r>
    </w:p>
    <w:p>
      <w:pPr>
        <w:spacing w:after="120"/>
        <w:jc w:val="center"/>
      </w:pPr>
      <w:r>
        <w:rPr>
          <w:rFonts w:ascii="Arial" w:cs="Arial" w:eastAsia="Arial" w:hAnsi="Arial"/>
          <w:sz w:val="24"/>
          <w:szCs w:val="24"/>
        </w:rPr>
        <w:t xml:space="preserve">│3│Собственный капитал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 № БД-1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
 о дебиторской и кредиторской задолженности</w:t>
      </w:r>
    </w:p>
    <w:p>
      <w:pPr>
        <w:spacing w:after="12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Наименование показателя │ │ До 1│ 1-3 │ 3-6 │6-12 │ Свыше│Итого│</w:t>
      </w:r>
    </w:p>
    <w:p>
      <w:pPr>
        <w:spacing w:after="120"/>
        <w:jc w:val="center"/>
      </w:pPr>
      <w:r>
        <w:rPr>
          <w:rFonts w:ascii="Arial" w:cs="Arial" w:eastAsia="Arial" w:hAnsi="Arial"/>
          <w:sz w:val="24"/>
          <w:szCs w:val="24"/>
        </w:rPr>
        <w:t xml:space="preserve">│стр.│                         │ │меся-│меся-│меся-│меся-│12 ме-│     │</w:t>
      </w:r>
    </w:p>
    <w:p>
      <w:pPr>
        <w:spacing w:after="120"/>
        <w:jc w:val="center"/>
      </w:pPr>
      <w:r>
        <w:rPr>
          <w:rFonts w:ascii="Arial" w:cs="Arial" w:eastAsia="Arial" w:hAnsi="Arial"/>
          <w:sz w:val="24"/>
          <w:szCs w:val="24"/>
        </w:rPr>
        <w:t xml:space="preserve">│    │                         │ │ ца  │ ца  │ цев │ цев │ сяцев│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│Дебиторская задолженность│А│     │     │     │     │      │     │</w:t>
      </w:r>
    </w:p>
    <w:p>
      <w:pPr>
        <w:spacing w:after="120"/>
        <w:jc w:val="center"/>
      </w:pPr>
      <w:r>
        <w:rPr>
          <w:rFonts w:ascii="Arial" w:cs="Arial" w:eastAsia="Arial" w:hAnsi="Arial"/>
          <w:sz w:val="24"/>
          <w:szCs w:val="24"/>
        </w:rPr>
        <w:t xml:space="preserve">│    │- всего:                 │ │     │     │     │     │      │     │</w:t>
      </w:r>
    </w:p>
    <w:p>
      <w:pPr>
        <w:spacing w:after="120"/>
        <w:jc w:val="center"/>
      </w:pPr>
      <w:r>
        <w:rPr>
          <w:rFonts w:ascii="Arial" w:cs="Arial" w:eastAsia="Arial" w:hAnsi="Arial"/>
          <w:sz w:val="24"/>
          <w:szCs w:val="24"/>
        </w:rPr>
        <w:t xml:space="preserve">│2   │в том числе              │Б│     │     │     │     │      │     │</w:t>
      </w:r>
    </w:p>
    <w:p>
      <w:pPr>
        <w:spacing w:after="120"/>
        <w:jc w:val="center"/>
      </w:pPr>
      <w:r>
        <w:rPr>
          <w:rFonts w:ascii="Arial" w:cs="Arial" w:eastAsia="Arial" w:hAnsi="Arial"/>
          <w:sz w:val="24"/>
          <w:szCs w:val="24"/>
        </w:rPr>
        <w:t xml:space="preserve">│    │пролонгированная         │ │     │     │     │     │      │     │</w:t>
      </w:r>
    </w:p>
    <w:p>
      <w:pPr>
        <w:spacing w:after="120"/>
        <w:jc w:val="center"/>
      </w:pPr>
      <w:r>
        <w:rPr>
          <w:rFonts w:ascii="Arial" w:cs="Arial" w:eastAsia="Arial" w:hAnsi="Arial"/>
          <w:sz w:val="24"/>
          <w:szCs w:val="24"/>
        </w:rPr>
        <w:t xml:space="preserve">│3   │в том числе просроченная │Б│     │     │     │     │      │     │</w:t>
      </w:r>
    </w:p>
    <w:p>
      <w:pPr>
        <w:spacing w:after="120"/>
        <w:jc w:val="center"/>
      </w:pPr>
      <w:r>
        <w:rPr>
          <w:rFonts w:ascii="Arial" w:cs="Arial" w:eastAsia="Arial" w:hAnsi="Arial"/>
          <w:sz w:val="24"/>
          <w:szCs w:val="24"/>
        </w:rPr>
        <w:t xml:space="preserve">│4   │Дебиторская задолженность│А│     │     │     │     │      │     │</w:t>
      </w:r>
    </w:p>
    <w:p>
      <w:pPr>
        <w:spacing w:after="120"/>
        <w:jc w:val="center"/>
      </w:pPr>
      <w:r>
        <w:rPr>
          <w:rFonts w:ascii="Arial" w:cs="Arial" w:eastAsia="Arial" w:hAnsi="Arial"/>
          <w:sz w:val="24"/>
          <w:szCs w:val="24"/>
        </w:rPr>
        <w:t xml:space="preserve">│    │контрагентов по договорам│ │     │     │     │     │      │     │</w:t>
      </w:r>
    </w:p>
    <w:p>
      <w:pPr>
        <w:spacing w:after="120"/>
        <w:jc w:val="center"/>
      </w:pPr>
      <w:r>
        <w:rPr>
          <w:rFonts w:ascii="Arial" w:cs="Arial" w:eastAsia="Arial" w:hAnsi="Arial"/>
          <w:sz w:val="24"/>
          <w:szCs w:val="24"/>
        </w:rPr>
        <w:t xml:space="preserve">│    │купли-продажи ценных     │ │     │     │     │     │      │     │</w:t>
      </w:r>
    </w:p>
    <w:p>
      <w:pPr>
        <w:spacing w:after="120"/>
        <w:jc w:val="center"/>
      </w:pPr>
      <w:r>
        <w:rPr>
          <w:rFonts w:ascii="Arial" w:cs="Arial" w:eastAsia="Arial" w:hAnsi="Arial"/>
          <w:sz w:val="24"/>
          <w:szCs w:val="24"/>
        </w:rPr>
        <w:t xml:space="preserve">│    │бумаг, заключенным       │ │     │     │     │     │      │     │</w:t>
      </w:r>
    </w:p>
    <w:p>
      <w:pPr>
        <w:spacing w:after="120"/>
        <w:jc w:val="center"/>
      </w:pPr>
      <w:r>
        <w:rPr>
          <w:rFonts w:ascii="Arial" w:cs="Arial" w:eastAsia="Arial" w:hAnsi="Arial"/>
          <w:sz w:val="24"/>
          <w:szCs w:val="24"/>
        </w:rPr>
        <w:t xml:space="preserve">│    │организацией от своего   │ │     │     │     │     │      │     │</w:t>
      </w:r>
    </w:p>
    <w:p>
      <w:pPr>
        <w:spacing w:after="120"/>
        <w:jc w:val="center"/>
      </w:pPr>
      <w:r>
        <w:rPr>
          <w:rFonts w:ascii="Arial" w:cs="Arial" w:eastAsia="Arial" w:hAnsi="Arial"/>
          <w:sz w:val="24"/>
          <w:szCs w:val="24"/>
        </w:rPr>
        <w:t xml:space="preserve">│    │имени и за свой счет     │ │     │     │     │     │      │     │</w:t>
      </w:r>
    </w:p>
    <w:p>
      <w:pPr>
        <w:spacing w:after="120"/>
        <w:jc w:val="center"/>
      </w:pPr>
      <w:r>
        <w:rPr>
          <w:rFonts w:ascii="Arial" w:cs="Arial" w:eastAsia="Arial" w:hAnsi="Arial"/>
          <w:sz w:val="24"/>
          <w:szCs w:val="24"/>
        </w:rPr>
        <w:t xml:space="preserve">│5   │Дебиторская задолженность│А│     │     │     │     │      │     │</w:t>
      </w:r>
    </w:p>
    <w:p>
      <w:pPr>
        <w:spacing w:after="120"/>
        <w:jc w:val="center"/>
      </w:pPr>
      <w:r>
        <w:rPr>
          <w:rFonts w:ascii="Arial" w:cs="Arial" w:eastAsia="Arial" w:hAnsi="Arial"/>
          <w:sz w:val="24"/>
          <w:szCs w:val="24"/>
        </w:rPr>
        <w:t xml:space="preserve">│    │клиентов - всего:        │ │     │     │     │     │      │     │</w:t>
      </w:r>
    </w:p>
    <w:p>
      <w:pPr>
        <w:spacing w:after="120"/>
        <w:jc w:val="center"/>
      </w:pPr>
      <w:r>
        <w:rPr>
          <w:rFonts w:ascii="Arial" w:cs="Arial" w:eastAsia="Arial" w:hAnsi="Arial"/>
          <w:sz w:val="24"/>
          <w:szCs w:val="24"/>
        </w:rPr>
        <w:t xml:space="preserve">│6   │в том числе по договорам │А│     │     │     │     │      │     │</w:t>
      </w:r>
    </w:p>
    <w:p>
      <w:pPr>
        <w:spacing w:after="120"/>
        <w:jc w:val="center"/>
      </w:pPr>
      <w:r>
        <w:rPr>
          <w:rFonts w:ascii="Arial" w:cs="Arial" w:eastAsia="Arial" w:hAnsi="Arial"/>
          <w:sz w:val="24"/>
          <w:szCs w:val="24"/>
        </w:rPr>
        <w:t xml:space="preserve">│    │с физическими лицами     │ │     │     │     │     │      │     │</w:t>
      </w:r>
    </w:p>
    <w:p>
      <w:pPr>
        <w:spacing w:after="120"/>
        <w:jc w:val="center"/>
      </w:pPr>
      <w:r>
        <w:rPr>
          <w:rFonts w:ascii="Arial" w:cs="Arial" w:eastAsia="Arial" w:hAnsi="Arial"/>
          <w:sz w:val="24"/>
          <w:szCs w:val="24"/>
        </w:rPr>
        <w:t xml:space="preserve">│7   │Кредиторская             │А│     │     │     │     │      │     │</w:t>
      </w:r>
    </w:p>
    <w:p>
      <w:pPr>
        <w:spacing w:after="120"/>
        <w:jc w:val="center"/>
      </w:pPr>
      <w:r>
        <w:rPr>
          <w:rFonts w:ascii="Arial" w:cs="Arial" w:eastAsia="Arial" w:hAnsi="Arial"/>
          <w:sz w:val="24"/>
          <w:szCs w:val="24"/>
        </w:rPr>
        <w:t xml:space="preserve">│    │задолженность - всего:   │ │     │     │     │     │      │     │</w:t>
      </w:r>
    </w:p>
    <w:p>
      <w:pPr>
        <w:spacing w:after="120"/>
        <w:jc w:val="center"/>
      </w:pPr>
      <w:r>
        <w:rPr>
          <w:rFonts w:ascii="Arial" w:cs="Arial" w:eastAsia="Arial" w:hAnsi="Arial"/>
          <w:sz w:val="24"/>
          <w:szCs w:val="24"/>
        </w:rPr>
        <w:t xml:space="preserve">│8   │в том числе              │Б│     │     │     │     │      │     │</w:t>
      </w:r>
    </w:p>
    <w:p>
      <w:pPr>
        <w:spacing w:after="120"/>
        <w:jc w:val="center"/>
      </w:pPr>
      <w:r>
        <w:rPr>
          <w:rFonts w:ascii="Arial" w:cs="Arial" w:eastAsia="Arial" w:hAnsi="Arial"/>
          <w:sz w:val="24"/>
          <w:szCs w:val="24"/>
        </w:rPr>
        <w:t xml:space="preserve">│    │пролонгированная         │ │     │     │     │     │      │     │</w:t>
      </w:r>
    </w:p>
    <w:p>
      <w:pPr>
        <w:spacing w:after="120"/>
        <w:jc w:val="center"/>
      </w:pPr>
      <w:r>
        <w:rPr>
          <w:rFonts w:ascii="Arial" w:cs="Arial" w:eastAsia="Arial" w:hAnsi="Arial"/>
          <w:sz w:val="24"/>
          <w:szCs w:val="24"/>
        </w:rPr>
        <w:t xml:space="preserve">│9   │в том числе просроченная │Б│     │     │     │     │      │     │</w:t>
      </w:r>
    </w:p>
    <w:p>
      <w:pPr>
        <w:spacing w:after="120"/>
        <w:jc w:val="center"/>
      </w:pPr>
      <w:r>
        <w:rPr>
          <w:rFonts w:ascii="Arial" w:cs="Arial" w:eastAsia="Arial" w:hAnsi="Arial"/>
          <w:sz w:val="24"/>
          <w:szCs w:val="24"/>
        </w:rPr>
        <w:t xml:space="preserve">│10  │Кредиторская             │А│     │     │     │     │      │     │</w:t>
      </w:r>
    </w:p>
    <w:p>
      <w:pPr>
        <w:spacing w:after="120"/>
        <w:jc w:val="center"/>
      </w:pPr>
      <w:r>
        <w:rPr>
          <w:rFonts w:ascii="Arial" w:cs="Arial" w:eastAsia="Arial" w:hAnsi="Arial"/>
          <w:sz w:val="24"/>
          <w:szCs w:val="24"/>
        </w:rPr>
        <w:t xml:space="preserve">│    │задолженность перед      │ │     │     │     │     │      │     │</w:t>
      </w:r>
    </w:p>
    <w:p>
      <w:pPr>
        <w:spacing w:after="120"/>
        <w:jc w:val="center"/>
      </w:pPr>
      <w:r>
        <w:rPr>
          <w:rFonts w:ascii="Arial" w:cs="Arial" w:eastAsia="Arial" w:hAnsi="Arial"/>
          <w:sz w:val="24"/>
          <w:szCs w:val="24"/>
        </w:rPr>
        <w:t xml:space="preserve">│    │контрагентами по         │ │     │     │     │     │      │     │</w:t>
      </w:r>
    </w:p>
    <w:p>
      <w:pPr>
        <w:spacing w:after="120"/>
        <w:jc w:val="center"/>
      </w:pPr>
      <w:r>
        <w:rPr>
          <w:rFonts w:ascii="Arial" w:cs="Arial" w:eastAsia="Arial" w:hAnsi="Arial"/>
          <w:sz w:val="24"/>
          <w:szCs w:val="24"/>
        </w:rPr>
        <w:t xml:space="preserve">│    │договорам купли-продажи  │ │     │     │     │     │      │     │</w:t>
      </w:r>
    </w:p>
    <w:p>
      <w:pPr>
        <w:spacing w:after="120"/>
        <w:jc w:val="center"/>
      </w:pPr>
      <w:r>
        <w:rPr>
          <w:rFonts w:ascii="Arial" w:cs="Arial" w:eastAsia="Arial" w:hAnsi="Arial"/>
          <w:sz w:val="24"/>
          <w:szCs w:val="24"/>
        </w:rPr>
        <w:t xml:space="preserve">│    │ценных бумаг, заключенным│ │     │     │     │     │      │     │</w:t>
      </w:r>
    </w:p>
    <w:p>
      <w:pPr>
        <w:spacing w:after="120"/>
        <w:jc w:val="center"/>
      </w:pPr>
      <w:r>
        <w:rPr>
          <w:rFonts w:ascii="Arial" w:cs="Arial" w:eastAsia="Arial" w:hAnsi="Arial"/>
          <w:sz w:val="24"/>
          <w:szCs w:val="24"/>
        </w:rPr>
        <w:t xml:space="preserve">│    │организацией от своего   │ │     │     │     │     │      │     │</w:t>
      </w:r>
    </w:p>
    <w:p>
      <w:pPr>
        <w:spacing w:after="120"/>
        <w:jc w:val="center"/>
      </w:pPr>
      <w:r>
        <w:rPr>
          <w:rFonts w:ascii="Arial" w:cs="Arial" w:eastAsia="Arial" w:hAnsi="Arial"/>
          <w:sz w:val="24"/>
          <w:szCs w:val="24"/>
        </w:rPr>
        <w:t xml:space="preserve">│    │имени и за свой счет     │ │     │     │     │     │      │     │</w:t>
      </w:r>
    </w:p>
    <w:p>
      <w:pPr>
        <w:spacing w:after="120"/>
        <w:jc w:val="center"/>
      </w:pPr>
      <w:r>
        <w:rPr>
          <w:rFonts w:ascii="Arial" w:cs="Arial" w:eastAsia="Arial" w:hAnsi="Arial"/>
          <w:sz w:val="24"/>
          <w:szCs w:val="24"/>
        </w:rPr>
        <w:t xml:space="preserve">│11  │Кредиторская             │А│     │     │     │     │      │     │</w:t>
      </w:r>
    </w:p>
    <w:p>
      <w:pPr>
        <w:spacing w:after="120"/>
        <w:jc w:val="center"/>
      </w:pPr>
      <w:r>
        <w:rPr>
          <w:rFonts w:ascii="Arial" w:cs="Arial" w:eastAsia="Arial" w:hAnsi="Arial"/>
          <w:sz w:val="24"/>
          <w:szCs w:val="24"/>
        </w:rPr>
        <w:t xml:space="preserve">│    │задолженность перед      │ │     │     │     │     │      │     │</w:t>
      </w:r>
    </w:p>
    <w:p>
      <w:pPr>
        <w:spacing w:after="120"/>
        <w:jc w:val="center"/>
      </w:pPr>
      <w:r>
        <w:rPr>
          <w:rFonts w:ascii="Arial" w:cs="Arial" w:eastAsia="Arial" w:hAnsi="Arial"/>
          <w:sz w:val="24"/>
          <w:szCs w:val="24"/>
        </w:rPr>
        <w:t xml:space="preserve">│    │клиентами                │ │     │     │     │     │      │     │</w:t>
      </w:r>
    </w:p>
    <w:p>
      <w:pPr>
        <w:spacing w:after="120"/>
        <w:jc w:val="center"/>
      </w:pPr>
      <w:r>
        <w:rPr>
          <w:rFonts w:ascii="Arial" w:cs="Arial" w:eastAsia="Arial" w:hAnsi="Arial"/>
          <w:sz w:val="24"/>
          <w:szCs w:val="24"/>
        </w:rPr>
        <w:t xml:space="preserve">│12  │в том числе по договорам │А│     │     │     │     │      │     │</w:t>
      </w:r>
    </w:p>
    <w:p>
      <w:pPr>
        <w:spacing w:after="120"/>
        <w:jc w:val="center"/>
      </w:pPr>
      <w:r>
        <w:rPr>
          <w:rFonts w:ascii="Arial" w:cs="Arial" w:eastAsia="Arial" w:hAnsi="Arial"/>
          <w:sz w:val="24"/>
          <w:szCs w:val="24"/>
        </w:rPr>
        <w:t xml:space="preserve">│    │с физическими лицами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5</w:t>
      </w:r>
    </w:p>
    <w:p>
      <w:pPr>
        <w:spacing w:after="240"/>
        <w:jc w:val="right"/>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 № БД-2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СТРУКТУРА
 финансовых вложений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Наименование актива    │Финансовые вложения │Оценка финансовых│</w:t>
      </w:r>
    </w:p>
    <w:p>
      <w:pPr>
        <w:spacing w:after="120"/>
        <w:jc w:val="center"/>
      </w:pPr>
      <w:r>
        <w:rPr>
          <w:rFonts w:ascii="Arial" w:cs="Arial" w:eastAsia="Arial" w:hAnsi="Arial"/>
          <w:sz w:val="24"/>
          <w:szCs w:val="24"/>
        </w:rPr>
        <w:t xml:space="preserve">│п/п│                          │на балансе на конец │   вложений по   │</w:t>
      </w:r>
    </w:p>
    <w:p>
      <w:pPr>
        <w:spacing w:after="120"/>
        <w:jc w:val="center"/>
      </w:pPr>
      <w:r>
        <w:rPr>
          <w:rFonts w:ascii="Arial" w:cs="Arial" w:eastAsia="Arial" w:hAnsi="Arial"/>
          <w:sz w:val="24"/>
          <w:szCs w:val="24"/>
        </w:rPr>
        <w:t xml:space="preserve">│   │                          │ отчетного периода  │  рыночной цене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Коли-│Балан-│Балан-│Рыночная│Рыночная│</w:t>
      </w:r>
    </w:p>
    <w:p>
      <w:pPr>
        <w:spacing w:after="120"/>
        <w:jc w:val="center"/>
      </w:pPr>
      <w:r>
        <w:rPr>
          <w:rFonts w:ascii="Arial" w:cs="Arial" w:eastAsia="Arial" w:hAnsi="Arial"/>
          <w:sz w:val="24"/>
          <w:szCs w:val="24"/>
        </w:rPr>
        <w:t xml:space="preserve">│   │                          │чество│ совая│ совая│  цена  │  цена  │</w:t>
      </w:r>
    </w:p>
    <w:p>
      <w:pPr>
        <w:spacing w:after="120"/>
        <w:jc w:val="center"/>
      </w:pPr>
      <w:r>
        <w:rPr>
          <w:rFonts w:ascii="Arial" w:cs="Arial" w:eastAsia="Arial" w:hAnsi="Arial"/>
          <w:sz w:val="24"/>
          <w:szCs w:val="24"/>
        </w:rPr>
        <w:t xml:space="preserve">│   │                          │ценных│ стои-│ стои-│  одной │ пакета │</w:t>
      </w:r>
    </w:p>
    <w:p>
      <w:pPr>
        <w:spacing w:after="120"/>
        <w:jc w:val="center"/>
      </w:pPr>
      <w:r>
        <w:rPr>
          <w:rFonts w:ascii="Arial" w:cs="Arial" w:eastAsia="Arial" w:hAnsi="Arial"/>
          <w:sz w:val="24"/>
          <w:szCs w:val="24"/>
        </w:rPr>
        <w:t xml:space="preserve">│   │                          │ бумаг│ мость│ мость│ ценной │ (сом.) │</w:t>
      </w:r>
    </w:p>
    <w:p>
      <w:pPr>
        <w:spacing w:after="120"/>
        <w:jc w:val="center"/>
      </w:pPr>
      <w:r>
        <w:rPr>
          <w:rFonts w:ascii="Arial" w:cs="Arial" w:eastAsia="Arial" w:hAnsi="Arial"/>
          <w:sz w:val="24"/>
          <w:szCs w:val="24"/>
        </w:rPr>
        <w:t xml:space="preserve">│   │                          │  (в  │пакета│пакета│ бумаги │        │</w:t>
      </w:r>
    </w:p>
    <w:p>
      <w:pPr>
        <w:spacing w:after="120"/>
        <w:jc w:val="center"/>
      </w:pPr>
      <w:r>
        <w:rPr>
          <w:rFonts w:ascii="Arial" w:cs="Arial" w:eastAsia="Arial" w:hAnsi="Arial"/>
          <w:sz w:val="24"/>
          <w:szCs w:val="24"/>
        </w:rPr>
        <w:t xml:space="preserve">│   │                          │ ед.) │      │в про-│ (сом.) │        │</w:t>
      </w:r>
    </w:p>
    <w:p>
      <w:pPr>
        <w:spacing w:after="120"/>
        <w:jc w:val="center"/>
      </w:pPr>
      <w:r>
        <w:rPr>
          <w:rFonts w:ascii="Arial" w:cs="Arial" w:eastAsia="Arial" w:hAnsi="Arial"/>
          <w:sz w:val="24"/>
          <w:szCs w:val="24"/>
        </w:rPr>
        <w:t xml:space="preserve">│   │                          │      │      │центах│        │        │</w:t>
      </w:r>
    </w:p>
    <w:p>
      <w:pPr>
        <w:spacing w:after="120"/>
        <w:jc w:val="center"/>
      </w:pPr>
      <w:r>
        <w:rPr>
          <w:rFonts w:ascii="Arial" w:cs="Arial" w:eastAsia="Arial" w:hAnsi="Arial"/>
          <w:sz w:val="24"/>
          <w:szCs w:val="24"/>
        </w:rPr>
        <w:t xml:space="preserve">│   │                          │      │      │   к  │        │        │</w:t>
      </w:r>
    </w:p>
    <w:p>
      <w:pPr>
        <w:spacing w:after="120"/>
        <w:jc w:val="center"/>
      </w:pPr>
      <w:r>
        <w:rPr>
          <w:rFonts w:ascii="Arial" w:cs="Arial" w:eastAsia="Arial" w:hAnsi="Arial"/>
          <w:sz w:val="24"/>
          <w:szCs w:val="24"/>
        </w:rPr>
        <w:t xml:space="preserve">│   │                          │      │      │ итогу│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│Акции акционерных обществ,│      │      │      │        │        │</w:t>
      </w:r>
    </w:p>
    <w:p>
      <w:pPr>
        <w:spacing w:after="120"/>
        <w:jc w:val="center"/>
      </w:pPr>
      <w:r>
        <w:rPr>
          <w:rFonts w:ascii="Arial" w:cs="Arial" w:eastAsia="Arial" w:hAnsi="Arial"/>
          <w:sz w:val="24"/>
          <w:szCs w:val="24"/>
        </w:rPr>
        <w:t xml:space="preserve">│   │допущенные к торгам через │      │      │      │        │        │</w:t>
      </w:r>
    </w:p>
    <w:p>
      <w:pPr>
        <w:spacing w:after="120"/>
        <w:jc w:val="center"/>
      </w:pPr>
      <w:r>
        <w:rPr>
          <w:rFonts w:ascii="Arial" w:cs="Arial" w:eastAsia="Arial" w:hAnsi="Arial"/>
          <w:sz w:val="24"/>
          <w:szCs w:val="24"/>
        </w:rPr>
        <w:t xml:space="preserve">│   │организаторов торговли на │      │      │      │        │        │</w:t>
      </w:r>
    </w:p>
    <w:p>
      <w:pPr>
        <w:spacing w:after="120"/>
        <w:jc w:val="center"/>
      </w:pPr>
      <w:r>
        <w:rPr>
          <w:rFonts w:ascii="Arial" w:cs="Arial" w:eastAsia="Arial" w:hAnsi="Arial"/>
          <w:sz w:val="24"/>
          <w:szCs w:val="24"/>
        </w:rPr>
        <w:t xml:space="preserve">│   │рынке ценных бумаг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│1.1│Итого по разделу 1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│Государственные ценные    │      │      │      │        │        │</w:t>
      </w:r>
    </w:p>
    <w:p>
      <w:pPr>
        <w:spacing w:after="120"/>
        <w:jc w:val="center"/>
      </w:pPr>
      <w:r>
        <w:rPr>
          <w:rFonts w:ascii="Arial" w:cs="Arial" w:eastAsia="Arial" w:hAnsi="Arial"/>
          <w:sz w:val="24"/>
          <w:szCs w:val="24"/>
        </w:rPr>
        <w:t xml:space="preserve">│   │бумаги, ценные бумаги     │      │      │      │        │        │</w:t>
      </w:r>
    </w:p>
    <w:p>
      <w:pPr>
        <w:spacing w:after="120"/>
        <w:jc w:val="center"/>
      </w:pPr>
      <w:r>
        <w:rPr>
          <w:rFonts w:ascii="Arial" w:cs="Arial" w:eastAsia="Arial" w:hAnsi="Arial"/>
          <w:sz w:val="24"/>
          <w:szCs w:val="24"/>
        </w:rPr>
        <w:t xml:space="preserve">│   │субъектов Кыргызской      │      │      │      │        │        │</w:t>
      </w:r>
    </w:p>
    <w:p>
      <w:pPr>
        <w:spacing w:after="120"/>
        <w:jc w:val="center"/>
      </w:pPr>
      <w:r>
        <w:rPr>
          <w:rFonts w:ascii="Arial" w:cs="Arial" w:eastAsia="Arial" w:hAnsi="Arial"/>
          <w:sz w:val="24"/>
          <w:szCs w:val="24"/>
        </w:rPr>
        <w:t xml:space="preserve">│   │Республики и муниципальных│      │      │      │        │        │</w:t>
      </w:r>
    </w:p>
    <w:p>
      <w:pPr>
        <w:spacing w:after="120"/>
        <w:jc w:val="center"/>
      </w:pPr>
      <w:r>
        <w:rPr>
          <w:rFonts w:ascii="Arial" w:cs="Arial" w:eastAsia="Arial" w:hAnsi="Arial"/>
          <w:sz w:val="24"/>
          <w:szCs w:val="24"/>
        </w:rPr>
        <w:t xml:space="preserve">│   │образований, а также      │      │      │      │        │        │</w:t>
      </w:r>
    </w:p>
    <w:p>
      <w:pPr>
        <w:spacing w:after="120"/>
        <w:jc w:val="center"/>
      </w:pPr>
      <w:r>
        <w:rPr>
          <w:rFonts w:ascii="Arial" w:cs="Arial" w:eastAsia="Arial" w:hAnsi="Arial"/>
          <w:sz w:val="24"/>
          <w:szCs w:val="24"/>
        </w:rPr>
        <w:t xml:space="preserve">│   │приравненные к ним ценные │      │      │      │        │        │</w:t>
      </w:r>
    </w:p>
    <w:p>
      <w:pPr>
        <w:spacing w:after="120"/>
        <w:jc w:val="center"/>
      </w:pPr>
      <w:r>
        <w:rPr>
          <w:rFonts w:ascii="Arial" w:cs="Arial" w:eastAsia="Arial" w:hAnsi="Arial"/>
          <w:sz w:val="24"/>
          <w:szCs w:val="24"/>
        </w:rPr>
        <w:t xml:space="preserve">│   │бумаги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│2.1│Итого по разделу 2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│Эмиссионные ценные бумаги,│      │      │      │        │        │</w:t>
      </w:r>
    </w:p>
    <w:p>
      <w:pPr>
        <w:spacing w:after="120"/>
        <w:jc w:val="center"/>
      </w:pPr>
      <w:r>
        <w:rPr>
          <w:rFonts w:ascii="Arial" w:cs="Arial" w:eastAsia="Arial" w:hAnsi="Arial"/>
          <w:sz w:val="24"/>
          <w:szCs w:val="24"/>
        </w:rPr>
        <w:t xml:space="preserve">│   │недопущенные к торгам     │      │      │      │        │        │</w:t>
      </w:r>
    </w:p>
    <w:p>
      <w:pPr>
        <w:spacing w:after="120"/>
        <w:jc w:val="center"/>
      </w:pPr>
      <w:r>
        <w:rPr>
          <w:rFonts w:ascii="Arial" w:cs="Arial" w:eastAsia="Arial" w:hAnsi="Arial"/>
          <w:sz w:val="24"/>
          <w:szCs w:val="24"/>
        </w:rPr>
        <w:t xml:space="preserve">│   │через организаторов       │      │      │      │        │        │</w:t>
      </w:r>
    </w:p>
    <w:p>
      <w:pPr>
        <w:spacing w:after="120"/>
        <w:jc w:val="center"/>
      </w:pPr>
      <w:r>
        <w:rPr>
          <w:rFonts w:ascii="Arial" w:cs="Arial" w:eastAsia="Arial" w:hAnsi="Arial"/>
          <w:sz w:val="24"/>
          <w:szCs w:val="24"/>
        </w:rPr>
        <w:t xml:space="preserve">│   │торговли на рынке ценных  │      │      │      │        │        │</w:t>
      </w:r>
    </w:p>
    <w:p>
      <w:pPr>
        <w:spacing w:after="120"/>
        <w:jc w:val="center"/>
      </w:pPr>
      <w:r>
        <w:rPr>
          <w:rFonts w:ascii="Arial" w:cs="Arial" w:eastAsia="Arial" w:hAnsi="Arial"/>
          <w:sz w:val="24"/>
          <w:szCs w:val="24"/>
        </w:rPr>
        <w:t xml:space="preserve">│   │бумаг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│3.1│Итого по разделу 3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│Неэмиссионные ценные      │      │      │      │        │        │</w:t>
      </w:r>
    </w:p>
    <w:p>
      <w:pPr>
        <w:spacing w:after="120"/>
        <w:jc w:val="center"/>
      </w:pPr>
      <w:r>
        <w:rPr>
          <w:rFonts w:ascii="Arial" w:cs="Arial" w:eastAsia="Arial" w:hAnsi="Arial"/>
          <w:sz w:val="24"/>
          <w:szCs w:val="24"/>
        </w:rPr>
        <w:t xml:space="preserve">│   │бумаги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│4.1│Итого по разделу 4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│Прочие финансовые вложения│      │      │      │        │        │</w:t>
      </w:r>
    </w:p>
    <w:p>
      <w:pPr>
        <w:spacing w:after="120"/>
        <w:jc w:val="center"/>
      </w:pPr>
      <w:r>
        <w:rPr>
          <w:rFonts w:ascii="Arial" w:cs="Arial" w:eastAsia="Arial" w:hAnsi="Arial"/>
          <w:sz w:val="24"/>
          <w:szCs w:val="24"/>
        </w:rPr>
        <w:t xml:space="preserve">│   │(указывается вид          │      │      │      │        │        │</w:t>
      </w:r>
    </w:p>
    <w:p>
      <w:pPr>
        <w:spacing w:after="120"/>
        <w:jc w:val="center"/>
      </w:pPr>
      <w:r>
        <w:rPr>
          <w:rFonts w:ascii="Arial" w:cs="Arial" w:eastAsia="Arial" w:hAnsi="Arial"/>
          <w:sz w:val="24"/>
          <w:szCs w:val="24"/>
        </w:rPr>
        <w:t xml:space="preserve">│   │финансового вложения)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│5.1│Итого по разделу 5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по разделам 1, 2, 3,│      │      │      │        │        │</w:t>
      </w:r>
    </w:p>
    <w:p>
      <w:pPr>
        <w:spacing w:after="120"/>
        <w:jc w:val="center"/>
      </w:pPr>
      <w:r>
        <w:rPr>
          <w:rFonts w:ascii="Arial" w:cs="Arial" w:eastAsia="Arial" w:hAnsi="Arial"/>
          <w:sz w:val="24"/>
          <w:szCs w:val="24"/>
        </w:rPr>
        <w:t xml:space="preserve">│   │4, 5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6</w:t>
      </w:r>
    </w:p>
    <w:p>
      <w:pPr>
        <w:spacing w:after="240"/>
        <w:jc w:val="right"/>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 № БД-3</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
 о сделках с ценными бумагами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показателей │ Сделки по покупке  │  Сделки по продаже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│Коли- │Коли- │Объем │Коли- │Коли- │Объем │</w:t>
      </w:r>
    </w:p>
    <w:p>
      <w:pPr>
        <w:spacing w:after="120"/>
        <w:jc w:val="center"/>
      </w:pPr>
      <w:r>
        <w:rPr>
          <w:rFonts w:ascii="Arial" w:cs="Arial" w:eastAsia="Arial" w:hAnsi="Arial"/>
          <w:sz w:val="24"/>
          <w:szCs w:val="24"/>
        </w:rPr>
        <w:t xml:space="preserve">│ │                         │чество│чество│сделок│чество│чество│сделок│</w:t>
      </w:r>
    </w:p>
    <w:p>
      <w:pPr>
        <w:spacing w:after="120"/>
        <w:jc w:val="center"/>
      </w:pPr>
      <w:r>
        <w:rPr>
          <w:rFonts w:ascii="Arial" w:cs="Arial" w:eastAsia="Arial" w:hAnsi="Arial"/>
          <w:sz w:val="24"/>
          <w:szCs w:val="24"/>
        </w:rPr>
        <w:t xml:space="preserve">│ │                         │сделок│  ЦБ  │      │сделок│  ЦБ  │      │</w:t>
      </w:r>
    </w:p>
    <w:p>
      <w:pPr>
        <w:spacing w:after="120"/>
        <w:jc w:val="center"/>
      </w:pPr>
      <w:r>
        <w:rPr>
          <w:rFonts w:ascii="Arial" w:cs="Arial" w:eastAsia="Arial" w:hAnsi="Arial"/>
          <w:sz w:val="24"/>
          <w:szCs w:val="24"/>
        </w:rPr>
        <w:t xml:space="preserve">│ │                         │  (в  │ (шт.)│      │  (в  │(шт.) │      │</w:t>
      </w:r>
    </w:p>
    <w:p>
      <w:pPr>
        <w:spacing w:after="120"/>
        <w:jc w:val="center"/>
      </w:pPr>
      <w:r>
        <w:rPr>
          <w:rFonts w:ascii="Arial" w:cs="Arial" w:eastAsia="Arial" w:hAnsi="Arial"/>
          <w:sz w:val="24"/>
          <w:szCs w:val="24"/>
        </w:rPr>
        <w:t xml:space="preserve">│ │                         │ ед.) │      │      │ ед.)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│1│Совершенные сделки -     │      │      │      │      │      │      │</w:t>
      </w:r>
    </w:p>
    <w:p>
      <w:pPr>
        <w:spacing w:after="120"/>
        <w:jc w:val="center"/>
      </w:pPr>
      <w:r>
        <w:rPr>
          <w:rFonts w:ascii="Arial" w:cs="Arial" w:eastAsia="Arial" w:hAnsi="Arial"/>
          <w:sz w:val="24"/>
          <w:szCs w:val="24"/>
        </w:rPr>
        <w:t xml:space="preserve">│ │всего: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том числе по месту     │      │      │      │      │      │      │</w:t>
      </w:r>
    </w:p>
    <w:p>
      <w:pPr>
        <w:spacing w:after="120"/>
        <w:jc w:val="center"/>
      </w:pPr>
      <w:r>
        <w:rPr>
          <w:rFonts w:ascii="Arial" w:cs="Arial" w:eastAsia="Arial" w:hAnsi="Arial"/>
          <w:sz w:val="24"/>
          <w:szCs w:val="24"/>
        </w:rPr>
        <w:t xml:space="preserve">│ │совершения сделок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│2│Сделки с акциями         │      │      │      │      │      │      │</w:t>
      </w:r>
    </w:p>
    <w:p>
      <w:pPr>
        <w:spacing w:after="120"/>
        <w:jc w:val="center"/>
      </w:pPr>
      <w:r>
        <w:rPr>
          <w:rFonts w:ascii="Arial" w:cs="Arial" w:eastAsia="Arial" w:hAnsi="Arial"/>
          <w:sz w:val="24"/>
          <w:szCs w:val="24"/>
        </w:rPr>
        <w:t xml:space="preserve">│ │акционерных обществ,     │      │      │      │      │      │      │</w:t>
      </w:r>
    </w:p>
    <w:p>
      <w:pPr>
        <w:spacing w:after="120"/>
        <w:jc w:val="center"/>
      </w:pPr>
      <w:r>
        <w:rPr>
          <w:rFonts w:ascii="Arial" w:cs="Arial" w:eastAsia="Arial" w:hAnsi="Arial"/>
          <w:sz w:val="24"/>
          <w:szCs w:val="24"/>
        </w:rPr>
        <w:t xml:space="preserve">│ │допущенными к торгам     │      │      │      │      │      │      │</w:t>
      </w:r>
    </w:p>
    <w:p>
      <w:pPr>
        <w:spacing w:after="120"/>
        <w:jc w:val="center"/>
      </w:pPr>
      <w:r>
        <w:rPr>
          <w:rFonts w:ascii="Arial" w:cs="Arial" w:eastAsia="Arial" w:hAnsi="Arial"/>
          <w:sz w:val="24"/>
          <w:szCs w:val="24"/>
        </w:rPr>
        <w:t xml:space="preserve">│ │через организаторов      │      │      │      │      │      │      │</w:t>
      </w:r>
    </w:p>
    <w:p>
      <w:pPr>
        <w:spacing w:after="120"/>
        <w:jc w:val="center"/>
      </w:pPr>
      <w:r>
        <w:rPr>
          <w:rFonts w:ascii="Arial" w:cs="Arial" w:eastAsia="Arial" w:hAnsi="Arial"/>
          <w:sz w:val="24"/>
          <w:szCs w:val="24"/>
        </w:rPr>
        <w:t xml:space="preserve">│ │торговли на рынке ценных │      │      │      │      │      │      │</w:t>
      </w:r>
    </w:p>
    <w:p>
      <w:pPr>
        <w:spacing w:after="120"/>
        <w:jc w:val="center"/>
      </w:pPr>
      <w:r>
        <w:rPr>
          <w:rFonts w:ascii="Arial" w:cs="Arial" w:eastAsia="Arial" w:hAnsi="Arial"/>
          <w:sz w:val="24"/>
          <w:szCs w:val="24"/>
        </w:rPr>
        <w:t xml:space="preserve">│ │бумаг - всего: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том числе с            │      │      │      │      │      │      │</w:t>
      </w:r>
    </w:p>
    <w:p>
      <w:pPr>
        <w:spacing w:after="120"/>
        <w:jc w:val="center"/>
      </w:pPr>
      <w:r>
        <w:rPr>
          <w:rFonts w:ascii="Arial" w:cs="Arial" w:eastAsia="Arial" w:hAnsi="Arial"/>
          <w:sz w:val="24"/>
          <w:szCs w:val="24"/>
        </w:rPr>
        <w:t xml:space="preserve">│ │нерезидентами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│3│Прочие сделки в том числе│      │      │      │      │      │      │</w:t>
      </w:r>
    </w:p>
    <w:p>
      <w:pPr>
        <w:spacing w:after="120"/>
        <w:jc w:val="center"/>
      </w:pPr>
      <w:r>
        <w:rPr>
          <w:rFonts w:ascii="Arial" w:cs="Arial" w:eastAsia="Arial" w:hAnsi="Arial"/>
          <w:sz w:val="24"/>
          <w:szCs w:val="24"/>
        </w:rPr>
        <w:t xml:space="preserve">│ │по видам договоров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│4│Сделки, совершенные от   │      │      │      │      │      │      │</w:t>
      </w:r>
    </w:p>
    <w:p>
      <w:pPr>
        <w:spacing w:after="120"/>
        <w:jc w:val="center"/>
      </w:pPr>
      <w:r>
        <w:rPr>
          <w:rFonts w:ascii="Arial" w:cs="Arial" w:eastAsia="Arial" w:hAnsi="Arial"/>
          <w:sz w:val="24"/>
          <w:szCs w:val="24"/>
        </w:rPr>
        <w:t xml:space="preserve">│ │своего имени и за свой   │      │      │      │      │      │      │</w:t>
      </w:r>
    </w:p>
    <w:p>
      <w:pPr>
        <w:spacing w:after="120"/>
        <w:jc w:val="center"/>
      </w:pPr>
      <w:r>
        <w:rPr>
          <w:rFonts w:ascii="Arial" w:cs="Arial" w:eastAsia="Arial" w:hAnsi="Arial"/>
          <w:sz w:val="24"/>
          <w:szCs w:val="24"/>
        </w:rPr>
        <w:t xml:space="preserve">│ │счет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│5│Сделки, совершенные во   │      │      │      │      │      │      │</w:t>
      </w:r>
    </w:p>
    <w:p>
      <w:pPr>
        <w:spacing w:after="120"/>
        <w:jc w:val="center"/>
      </w:pPr>
      <w:r>
        <w:rPr>
          <w:rFonts w:ascii="Arial" w:cs="Arial" w:eastAsia="Arial" w:hAnsi="Arial"/>
          <w:sz w:val="24"/>
          <w:szCs w:val="24"/>
        </w:rPr>
        <w:t xml:space="preserve">│ │исполнение договора на   │      │      │      │      │      │      │</w:t>
      </w:r>
    </w:p>
    <w:p>
      <w:pPr>
        <w:spacing w:after="120"/>
        <w:jc w:val="center"/>
      </w:pPr>
      <w:r>
        <w:rPr>
          <w:rFonts w:ascii="Arial" w:cs="Arial" w:eastAsia="Arial" w:hAnsi="Arial"/>
          <w:sz w:val="24"/>
          <w:szCs w:val="24"/>
        </w:rPr>
        <w:t xml:space="preserve">│ │брокерское обслуживание  │      │      │      │      │      │      │</w:t>
      </w:r>
    </w:p>
    <w:p>
      <w:pPr>
        <w:spacing w:after="120"/>
        <w:jc w:val="center"/>
      </w:pPr>
      <w:r>
        <w:rPr>
          <w:rFonts w:ascii="Arial" w:cs="Arial" w:eastAsia="Arial" w:hAnsi="Arial"/>
          <w:sz w:val="24"/>
          <w:szCs w:val="24"/>
        </w:rPr>
        <w:t xml:space="preserve">│ │на рынке ценных бумаг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│6│Сделки, заключенные по   │      │      │      │      │      │      │</w:t>
      </w:r>
    </w:p>
    <w:p>
      <w:pPr>
        <w:spacing w:after="120"/>
        <w:jc w:val="center"/>
      </w:pPr>
      <w:r>
        <w:rPr>
          <w:rFonts w:ascii="Arial" w:cs="Arial" w:eastAsia="Arial" w:hAnsi="Arial"/>
          <w:sz w:val="24"/>
          <w:szCs w:val="24"/>
        </w:rPr>
        <w:t xml:space="preserve">│ │прочим договорам, в том  │      │      │      │      │      │      │</w:t>
      </w:r>
    </w:p>
    <w:p>
      <w:pPr>
        <w:spacing w:after="120"/>
        <w:jc w:val="center"/>
      </w:pPr>
      <w:r>
        <w:rPr>
          <w:rFonts w:ascii="Arial" w:cs="Arial" w:eastAsia="Arial" w:hAnsi="Arial"/>
          <w:sz w:val="24"/>
          <w:szCs w:val="24"/>
        </w:rPr>
        <w:t xml:space="preserve">│ │числе по видам ценных    │      │      │      │      │      │      │</w:t>
      </w:r>
    </w:p>
    <w:p>
      <w:pPr>
        <w:spacing w:after="120"/>
        <w:jc w:val="center"/>
      </w:pPr>
      <w:r>
        <w:rPr>
          <w:rFonts w:ascii="Arial" w:cs="Arial" w:eastAsia="Arial" w:hAnsi="Arial"/>
          <w:sz w:val="24"/>
          <w:szCs w:val="24"/>
        </w:rPr>
        <w:t xml:space="preserve">│ │бумаг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│7│Сделки с государственными│      │      │      │      │      │      │</w:t>
      </w:r>
    </w:p>
    <w:p>
      <w:pPr>
        <w:spacing w:after="120"/>
        <w:jc w:val="center"/>
      </w:pPr>
      <w:r>
        <w:rPr>
          <w:rFonts w:ascii="Arial" w:cs="Arial" w:eastAsia="Arial" w:hAnsi="Arial"/>
          <w:sz w:val="24"/>
          <w:szCs w:val="24"/>
        </w:rPr>
        <w:t xml:space="preserve">│ │ценными бумагами         │      │      │      │      │      │      │</w:t>
      </w:r>
    </w:p>
    <w:p>
      <w:pPr>
        <w:spacing w:after="120"/>
        <w:jc w:val="center"/>
      </w:pPr>
      <w:r>
        <w:rPr>
          <w:rFonts w:ascii="Arial" w:cs="Arial" w:eastAsia="Arial" w:hAnsi="Arial"/>
          <w:sz w:val="24"/>
          <w:szCs w:val="24"/>
        </w:rPr>
        <w:t xml:space="preserve">│ │Кыргызской Республики -  │      │      │      │      │      │      │</w:t>
      </w:r>
    </w:p>
    <w:p>
      <w:pPr>
        <w:spacing w:after="120"/>
        <w:jc w:val="center"/>
      </w:pPr>
      <w:r>
        <w:rPr>
          <w:rFonts w:ascii="Arial" w:cs="Arial" w:eastAsia="Arial" w:hAnsi="Arial"/>
          <w:sz w:val="24"/>
          <w:szCs w:val="24"/>
        </w:rPr>
        <w:t xml:space="preserve">│ │всего: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том числе с            │      │      │      │      │      │      │</w:t>
      </w:r>
    </w:p>
    <w:p>
      <w:pPr>
        <w:spacing w:after="120"/>
        <w:jc w:val="center"/>
      </w:pPr>
      <w:r>
        <w:rPr>
          <w:rFonts w:ascii="Arial" w:cs="Arial" w:eastAsia="Arial" w:hAnsi="Arial"/>
          <w:sz w:val="24"/>
          <w:szCs w:val="24"/>
        </w:rPr>
        <w:t xml:space="preserve">│ │нерезидентами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│8│Сделки с ценными бумагами│      │      │      │      │      │      │</w:t>
      </w:r>
    </w:p>
    <w:p>
      <w:pPr>
        <w:spacing w:after="120"/>
        <w:jc w:val="center"/>
      </w:pPr>
      <w:r>
        <w:rPr>
          <w:rFonts w:ascii="Arial" w:cs="Arial" w:eastAsia="Arial" w:hAnsi="Arial"/>
          <w:sz w:val="24"/>
          <w:szCs w:val="24"/>
        </w:rPr>
        <w:t xml:space="preserve">│ │субъектов Кыргызской     │      │      │      │      │      │      │</w:t>
      </w:r>
    </w:p>
    <w:p>
      <w:pPr>
        <w:spacing w:after="120"/>
        <w:jc w:val="center"/>
      </w:pPr>
      <w:r>
        <w:rPr>
          <w:rFonts w:ascii="Arial" w:cs="Arial" w:eastAsia="Arial" w:hAnsi="Arial"/>
          <w:sz w:val="24"/>
          <w:szCs w:val="24"/>
        </w:rPr>
        <w:t xml:space="preserve">│ │Республики и             │      │      │      │      │      │      │</w:t>
      </w:r>
    </w:p>
    <w:p>
      <w:pPr>
        <w:spacing w:after="120"/>
        <w:jc w:val="center"/>
      </w:pPr>
      <w:r>
        <w:rPr>
          <w:rFonts w:ascii="Arial" w:cs="Arial" w:eastAsia="Arial" w:hAnsi="Arial"/>
          <w:sz w:val="24"/>
          <w:szCs w:val="24"/>
        </w:rPr>
        <w:t xml:space="preserve">│ │муниципальных образований│      │      │      │      │      │      │</w:t>
      </w:r>
    </w:p>
    <w:p>
      <w:pPr>
        <w:spacing w:after="120"/>
        <w:jc w:val="center"/>
      </w:pPr>
      <w:r>
        <w:rPr>
          <w:rFonts w:ascii="Arial" w:cs="Arial" w:eastAsia="Arial" w:hAnsi="Arial"/>
          <w:sz w:val="24"/>
          <w:szCs w:val="24"/>
        </w:rPr>
        <w:t xml:space="preserve">│ │- всего: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том числе с            │      │      │      │      │      │      │</w:t>
      </w:r>
    </w:p>
    <w:p>
      <w:pPr>
        <w:spacing w:after="120"/>
        <w:jc w:val="center"/>
      </w:pPr>
      <w:r>
        <w:rPr>
          <w:rFonts w:ascii="Arial" w:cs="Arial" w:eastAsia="Arial" w:hAnsi="Arial"/>
          <w:sz w:val="24"/>
          <w:szCs w:val="24"/>
        </w:rPr>
        <w:t xml:space="preserve">│ │нерезидентами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│9│Сделки с прочими ценными │      │      │      │      │      │      │</w:t>
      </w:r>
    </w:p>
    <w:p>
      <w:pPr>
        <w:spacing w:after="120"/>
        <w:jc w:val="center"/>
      </w:pPr>
      <w:r>
        <w:rPr>
          <w:rFonts w:ascii="Arial" w:cs="Arial" w:eastAsia="Arial" w:hAnsi="Arial"/>
          <w:sz w:val="24"/>
          <w:szCs w:val="24"/>
        </w:rPr>
        <w:t xml:space="preserve">│ │бумагами - всего: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том числе с            │      │      │      │      │      │      │</w:t>
      </w:r>
    </w:p>
    <w:p>
      <w:pPr>
        <w:spacing w:after="120"/>
        <w:jc w:val="center"/>
      </w:pPr>
      <w:r>
        <w:rPr>
          <w:rFonts w:ascii="Arial" w:cs="Arial" w:eastAsia="Arial" w:hAnsi="Arial"/>
          <w:sz w:val="24"/>
          <w:szCs w:val="24"/>
        </w:rPr>
        <w:t xml:space="preserve">│ │нерезидентами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7</w:t>
      </w:r>
    </w:p>
    <w:p>
      <w:pPr>
        <w:spacing w:after="240"/>
        <w:jc w:val="right"/>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 № Б-1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
 об осуществлении брокерской деятельности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Наименование показателей         │Количество (в ед.)│</w:t>
      </w:r>
    </w:p>
    <w:p>
      <w:pPr>
        <w:spacing w:after="120"/>
        <w:jc w:val="center"/>
      </w:pPr>
      <w:r>
        <w:rPr>
          <w:rFonts w:ascii="Arial" w:cs="Arial" w:eastAsia="Arial" w:hAnsi="Arial"/>
          <w:sz w:val="24"/>
          <w:szCs w:val="24"/>
        </w:rPr>
        <w:t xml:space="preserve">│строки│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│Количество открытых аналитических счетов в │                  │</w:t>
      </w:r>
    </w:p>
    <w:p>
      <w:pPr>
        <w:spacing w:after="120"/>
        <w:jc w:val="center"/>
      </w:pPr>
      <w:r>
        <w:rPr>
          <w:rFonts w:ascii="Arial" w:cs="Arial" w:eastAsia="Arial" w:hAnsi="Arial"/>
          <w:sz w:val="24"/>
          <w:szCs w:val="24"/>
        </w:rPr>
        <w:t xml:space="preserve">│      │системе внутреннего учета - всего          │                  │</w:t>
      </w:r>
    </w:p>
    <w:p>
      <w:pPr>
        <w:spacing w:after="120"/>
        <w:jc w:val="center"/>
      </w:pPr>
      <w:r>
        <w:rPr>
          <w:rFonts w:ascii="Arial" w:cs="Arial" w:eastAsia="Arial" w:hAnsi="Arial"/>
          <w:sz w:val="24"/>
          <w:szCs w:val="24"/>
        </w:rPr>
        <w:t xml:space="preserve">│  2   │в том числе физическим лицам               │                  │</w:t>
      </w:r>
    </w:p>
    <w:p>
      <w:pPr>
        <w:spacing w:after="120"/>
        <w:jc w:val="center"/>
      </w:pPr>
      <w:r>
        <w:rPr>
          <w:rFonts w:ascii="Arial" w:cs="Arial" w:eastAsia="Arial" w:hAnsi="Arial"/>
          <w:sz w:val="24"/>
          <w:szCs w:val="24"/>
        </w:rPr>
        <w:t xml:space="preserve">│  3   │в том числе юридическим лицам              │                  │</w:t>
      </w:r>
    </w:p>
    <w:p>
      <w:pPr>
        <w:spacing w:after="120"/>
        <w:jc w:val="center"/>
      </w:pPr>
      <w:r>
        <w:rPr>
          <w:rFonts w:ascii="Arial" w:cs="Arial" w:eastAsia="Arial" w:hAnsi="Arial"/>
          <w:sz w:val="24"/>
          <w:szCs w:val="24"/>
        </w:rPr>
        <w:t xml:space="preserve">│  4   │в том числе резидентам                     │                  │</w:t>
      </w:r>
    </w:p>
    <w:p>
      <w:pPr>
        <w:spacing w:after="120"/>
        <w:jc w:val="center"/>
      </w:pPr>
      <w:r>
        <w:rPr>
          <w:rFonts w:ascii="Arial" w:cs="Arial" w:eastAsia="Arial" w:hAnsi="Arial"/>
          <w:sz w:val="24"/>
          <w:szCs w:val="24"/>
        </w:rPr>
        <w:t xml:space="preserve">│  5   │в том числе нерезидентам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8</w:t>
      </w:r>
    </w:p>
    <w:p>
      <w:pPr>
        <w:spacing w:after="240"/>
        <w:jc w:val="right"/>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 № Р-1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
 о проведении операций в реестре владельцев именных ценных бумаг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│Эмитент, вид │                 Сделки с ценными бумагами</w:t>
      </w:r>
    </w:p>
    <w:p>
      <w:pPr>
        <w:spacing w:after="120"/>
        <w:jc w:val="center"/>
      </w:pPr>
      <w:r>
        <w:rPr>
          <w:rFonts w:ascii="Arial" w:cs="Arial" w:eastAsia="Arial" w:hAnsi="Arial"/>
          <w:sz w:val="24"/>
          <w:szCs w:val="24"/>
        </w:rPr>
        <w:t xml:space="preserve">│и рег. номер ├─────────────┬──────────────────────────────────────────</w:t>
      </w:r>
    </w:p>
    <w:p>
      <w:pPr>
        <w:spacing w:after="120"/>
        <w:jc w:val="center"/>
      </w:pPr>
      <w:r>
        <w:rPr>
          <w:rFonts w:ascii="Arial" w:cs="Arial" w:eastAsia="Arial" w:hAnsi="Arial"/>
          <w:sz w:val="24"/>
          <w:szCs w:val="24"/>
        </w:rPr>
        <w:t xml:space="preserve">│ценной бумаги│  Биржевые   │                 Внебиржевые</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│Коли- │Коли- │   Продажа   │   Дарения   │  Наследство │</w:t>
      </w:r>
    </w:p>
    <w:p>
      <w:pPr>
        <w:spacing w:after="120"/>
        <w:jc w:val="center"/>
      </w:pPr>
      <w:r>
        <w:rPr>
          <w:rFonts w:ascii="Arial" w:cs="Arial" w:eastAsia="Arial" w:hAnsi="Arial"/>
          <w:sz w:val="24"/>
          <w:szCs w:val="24"/>
        </w:rPr>
        <w:t xml:space="preserve">│             │чество│чество│ (акции ЗАО) │             │             │</w:t>
      </w:r>
    </w:p>
    <w:p>
      <w:pPr>
        <w:spacing w:after="120"/>
        <w:jc w:val="center"/>
      </w:pPr>
      <w:r>
        <w:rPr>
          <w:rFonts w:ascii="Arial" w:cs="Arial" w:eastAsia="Arial" w:hAnsi="Arial"/>
          <w:sz w:val="24"/>
          <w:szCs w:val="24"/>
        </w:rPr>
        <w:t xml:space="preserve">│             │сделок│ценных├──────┬──────┼──────┬──────┼──────┬──────┼</w:t>
      </w:r>
    </w:p>
    <w:p>
      <w:pPr>
        <w:spacing w:after="120"/>
        <w:jc w:val="center"/>
      </w:pPr>
      <w:r>
        <w:rPr>
          <w:rFonts w:ascii="Arial" w:cs="Arial" w:eastAsia="Arial" w:hAnsi="Arial"/>
          <w:sz w:val="24"/>
          <w:szCs w:val="24"/>
        </w:rPr>
        <w:t xml:space="preserve">│             │      │бумаг │Коли- │Коли- │Коли- │Коли- │Коли- │Коли- │</w:t>
      </w:r>
    </w:p>
    <w:p>
      <w:pPr>
        <w:spacing w:after="120"/>
        <w:jc w:val="center"/>
      </w:pPr>
      <w:r>
        <w:rPr>
          <w:rFonts w:ascii="Arial" w:cs="Arial" w:eastAsia="Arial" w:hAnsi="Arial"/>
          <w:sz w:val="24"/>
          <w:szCs w:val="24"/>
        </w:rPr>
        <w:t xml:space="preserve">│             │      │      │чество│чество│чество│чество│чество│чество│</w:t>
      </w:r>
    </w:p>
    <w:p>
      <w:pPr>
        <w:spacing w:after="120"/>
        <w:jc w:val="center"/>
      </w:pPr>
      <w:r>
        <w:rPr>
          <w:rFonts w:ascii="Arial" w:cs="Arial" w:eastAsia="Arial" w:hAnsi="Arial"/>
          <w:sz w:val="24"/>
          <w:szCs w:val="24"/>
        </w:rPr>
        <w:t xml:space="preserve">│             │      │      │сделок│ценных│сделок│ценных│сделок│ценных│</w:t>
      </w:r>
    </w:p>
    <w:p>
      <w:pPr>
        <w:spacing w:after="120"/>
        <w:jc w:val="center"/>
      </w:pPr>
      <w:r>
        <w:rPr>
          <w:rFonts w:ascii="Arial" w:cs="Arial" w:eastAsia="Arial" w:hAnsi="Arial"/>
          <w:sz w:val="24"/>
          <w:szCs w:val="24"/>
        </w:rPr>
        <w:t xml:space="preserve">│             │      │      │      │бумаг │      │бумаг │      │бумаг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   6  │   7  │   8  │   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Мена      │  Доверительное  │  Акции в залоге  │    Прочее     │</w:t>
      </w:r>
    </w:p>
    <w:p>
      <w:pPr>
        <w:spacing w:after="120"/>
        <w:jc w:val="center"/>
      </w:pPr>
      <w:r>
        <w:rPr>
          <w:rFonts w:ascii="Arial" w:cs="Arial" w:eastAsia="Arial" w:hAnsi="Arial"/>
          <w:sz w:val="24"/>
          <w:szCs w:val="24"/>
        </w:rPr>
        <w:t xml:space="preserve">│                │    управление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Коли-  │Коли-  │ Коли-  │ Коли-  │  Коли-  │ Коли-  │Коли- │ Коли-  │</w:t>
      </w:r>
    </w:p>
    <w:p>
      <w:pPr>
        <w:spacing w:after="120"/>
        <w:jc w:val="center"/>
      </w:pPr>
      <w:r>
        <w:rPr>
          <w:rFonts w:ascii="Arial" w:cs="Arial" w:eastAsia="Arial" w:hAnsi="Arial"/>
          <w:sz w:val="24"/>
          <w:szCs w:val="24"/>
        </w:rPr>
        <w:t xml:space="preserve">│ чество │чество │ чество │ чество │ чество  │ чество │чество│ чество │</w:t>
      </w:r>
    </w:p>
    <w:p>
      <w:pPr>
        <w:spacing w:after="120"/>
        <w:jc w:val="center"/>
      </w:pPr>
      <w:r>
        <w:rPr>
          <w:rFonts w:ascii="Arial" w:cs="Arial" w:eastAsia="Arial" w:hAnsi="Arial"/>
          <w:sz w:val="24"/>
          <w:szCs w:val="24"/>
        </w:rPr>
        <w:t xml:space="preserve">│ сделок │ценных │ сделок │ ценных │ сделок  │ ценных │сделок│ ценных │</w:t>
      </w:r>
    </w:p>
    <w:p>
      <w:pPr>
        <w:spacing w:after="120"/>
        <w:jc w:val="center"/>
      </w:pPr>
      <w:r>
        <w:rPr>
          <w:rFonts w:ascii="Arial" w:cs="Arial" w:eastAsia="Arial" w:hAnsi="Arial"/>
          <w:sz w:val="24"/>
          <w:szCs w:val="24"/>
        </w:rPr>
        <w:t xml:space="preserve">│        │бумаг  │        │  бумаг │         │  бумаг │      │  бумаг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   │   11  │   12   │   13   │    14   │   15   │  16  │   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9</w:t>
      </w:r>
    </w:p>
    <w:p>
      <w:pPr>
        <w:spacing w:after="240"/>
        <w:jc w:val="right"/>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 № Р-2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ИНФОРМАЦИЯ
 о деятельности, сопутствующей ведению и хранению реестра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│Эмитент, вид и│    № и срок     │    № и срок     │    № и срок      │</w:t>
      </w:r>
    </w:p>
    <w:p>
      <w:pPr>
        <w:spacing w:after="120"/>
        <w:jc w:val="center"/>
      </w:pPr>
      <w:r>
        <w:rPr>
          <w:rFonts w:ascii="Arial" w:cs="Arial" w:eastAsia="Arial" w:hAnsi="Arial"/>
          <w:sz w:val="24"/>
          <w:szCs w:val="24"/>
        </w:rPr>
        <w:t xml:space="preserve">│  рег. номер  │действия договора│действия договора│действия договора │</w:t>
      </w:r>
    </w:p>
    <w:p>
      <w:pPr>
        <w:spacing w:after="120"/>
        <w:jc w:val="center"/>
      </w:pPr>
      <w:r>
        <w:rPr>
          <w:rFonts w:ascii="Arial" w:cs="Arial" w:eastAsia="Arial" w:hAnsi="Arial"/>
          <w:sz w:val="24"/>
          <w:szCs w:val="24"/>
        </w:rPr>
        <w:t xml:space="preserve">│ценной бумаги │ на обслуживание │   на оказание   │ на организацию   │</w:t>
      </w:r>
    </w:p>
    <w:p>
      <w:pPr>
        <w:spacing w:after="120"/>
        <w:jc w:val="center"/>
      </w:pPr>
      <w:r>
        <w:rPr>
          <w:rFonts w:ascii="Arial" w:cs="Arial" w:eastAsia="Arial" w:hAnsi="Arial"/>
          <w:sz w:val="24"/>
          <w:szCs w:val="24"/>
        </w:rPr>
        <w:t xml:space="preserve">│              │ общих собраний  │консультационных │выплат доходов по │</w:t>
      </w:r>
    </w:p>
    <w:p>
      <w:pPr>
        <w:spacing w:after="120"/>
        <w:jc w:val="center"/>
      </w:pPr>
      <w:r>
        <w:rPr>
          <w:rFonts w:ascii="Arial" w:cs="Arial" w:eastAsia="Arial" w:hAnsi="Arial"/>
          <w:sz w:val="24"/>
          <w:szCs w:val="24"/>
        </w:rPr>
        <w:t xml:space="preserve">│              │   акционеров    │      услуг      │ ценным бумагам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 № ДУ-1</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СВЕДЕНИЯ
 об осуществлении деятельности по доверительному управлению инвестиционными активами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tirg9tnkge4fi4tm7kuix">
        <w:r>
          <w:rPr>
            <w:rFonts w:ascii="Arial" w:cs="Arial" w:eastAsia="Arial" w:hAnsi="Arial"/>
            <w:i/>
            <w:iCs/>
            <w:color w:val="1D4ED8"/>
            <w:sz w:val="24"/>
            <w:szCs w:val="24"/>
            <w:u w:val="single"/>
          </w:rPr>
          <w:t xml:space="preserve">26 августа 2014 года № 485</w:t>
        </w:r>
      </w:hyperlink>
      <w:r>
        <w:rPr>
          <w:rFonts w:ascii="Arial" w:cs="Arial" w:eastAsia="Arial" w:hAnsi="Arial"/>
          <w:i/>
          <w:iCs/>
          <w:sz w:val="24"/>
          <w:szCs w:val="24"/>
        </w:rPr>
        <w:t xml:space="preserve">, </w:t>
      </w:r>
      <w:hyperlink w:history="1" r:id="rIdjvbhmfavwflxynww0j4ik">
        <w:r>
          <w:rPr>
            <w:rFonts w:ascii="Arial" w:cs="Arial" w:eastAsia="Arial" w:hAnsi="Arial"/>
            <w:i/>
            <w:iCs/>
            <w:color w:val="1D4ED8"/>
            <w:sz w:val="24"/>
            <w:szCs w:val="24"/>
            <w:u w:val="single"/>
          </w:rPr>
          <w:t xml:space="preserve">13 февраля 2017 года № 101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8"/>
        <w:gridCol w:w="6920"/>
        <w:gridCol w:w="2121"/>
      </w:tblGrid>
      <w:tr>
        <w:tc>
          <w:tcPr>
            <w:tcW w:type="dxa" w:w="11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строки</w:t>
            </w:r>
          </w:p>
        </w:tc>
        <w:tc>
          <w:tcPr>
            <w:tcW w:type="dxa" w:w="69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1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(в ед.)</w:t>
            </w:r>
          </w:p>
        </w:tc>
      </w:tr>
      <w:tr>
        <w:tc>
          <w:tcPr>
            <w:tcW w:type="dxa" w:w="113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6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Количество договоров на управление ценными бумагами - всего:</w:t>
            </w:r>
          </w:p>
        </w:tc>
        <w:tc>
          <w:tcPr>
            <w:tcW w:type="dxa" w:w="21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13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6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том числе с физическими лицами</w:t>
            </w:r>
          </w:p>
        </w:tc>
        <w:tc>
          <w:tcPr>
            <w:tcW w:type="dxa" w:w="21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13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6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том числе с юридическими лицами</w:t>
            </w:r>
          </w:p>
        </w:tc>
        <w:tc>
          <w:tcPr>
            <w:tcW w:type="dxa" w:w="21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13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w:t>
            </w:r>
          </w:p>
        </w:tc>
        <w:tc>
          <w:tcPr>
            <w:tcW w:type="dxa" w:w="6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том числе с резидентами</w:t>
            </w:r>
          </w:p>
        </w:tc>
        <w:tc>
          <w:tcPr>
            <w:tcW w:type="dxa" w:w="21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1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с нерезидентами</w:t>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N ДУ-2</w:t>
      </w:r>
    </w:p>
    <w:p>
      <w:pPr>
        <w:spacing w:after="400" w:before="400"/>
        <w:jc w:val="center"/>
      </w:pPr>
      <w:r>
        <w:rPr>
          <w:rFonts w:ascii="Arial" w:cs="Arial" w:eastAsia="Arial" w:hAnsi="Arial"/>
          <w:b/>
          <w:bCs/>
          <w:sz w:val="32"/>
          <w:szCs w:val="32"/>
        </w:rPr>
        <w:t xml:space="preserve">СВЕДЕНИЯ
 о количестве застрахованных лицах, заключивших договор доверительного управления пенсионными активами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8046"/>
        <w:gridCol w:w="1767"/>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0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Показатель (человек)</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застрахованных лиц, заключивших договор доверительного управления пенсионными активами - всего:</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w:t>
            </w:r>
          </w:p>
          <w:p>
            <w:pPr>
              <w:jc w:val="left"/>
            </w:pPr>
            <w:r>
              <w:rPr>
                <w:rFonts w:ascii="Arial" w:cs="Arial" w:eastAsia="Arial" w:hAnsi="Arial"/>
                <w:sz w:val="24"/>
                <w:szCs w:val="24"/>
              </w:rPr>
              <w:t xml:space="preserve">________________________________________________</w:t>
            </w:r>
          </w:p>
          <w:p>
            <w:pPr>
              <w:jc w:val="left"/>
            </w:pPr>
            <w:r>
              <w:rPr>
                <w:rFonts w:ascii="Arial" w:cs="Arial" w:eastAsia="Arial" w:hAnsi="Arial"/>
                <w:sz w:val="24"/>
                <w:szCs w:val="24"/>
              </w:rPr>
              <w:t xml:space="preserve">(наименование инвестиционного портфеля)</w:t>
            </w:r>
          </w:p>
          <w:p>
            <w:pPr>
              <w:jc w:val="left"/>
            </w:pPr>
            <w:r>
              <w:rPr>
                <w:rFonts w:ascii="Arial" w:cs="Arial" w:eastAsia="Arial" w:hAnsi="Arial"/>
                <w:sz w:val="24"/>
                <w:szCs w:val="24"/>
              </w:rPr>
              <w:t xml:space="preserve">________________________________________________</w:t>
            </w:r>
          </w:p>
          <w:p>
            <w:pPr>
              <w:jc w:val="left"/>
            </w:pPr>
            <w:r>
              <w:rPr>
                <w:rFonts w:ascii="Arial" w:cs="Arial" w:eastAsia="Arial" w:hAnsi="Arial"/>
                <w:sz w:val="24"/>
                <w:szCs w:val="24"/>
              </w:rPr>
              <w:t xml:space="preserve">(наименование инвестиционного портфеля)</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400" w:before="400"/>
        <w:jc w:val="center"/>
      </w:pPr>
      <w:r>
        <w:rPr>
          <w:rFonts w:ascii="Arial" w:cs="Arial" w:eastAsia="Arial" w:hAnsi="Arial"/>
          <w:b/>
          <w:bCs/>
          <w:sz w:val="32"/>
          <w:szCs w:val="32"/>
        </w:rPr>
        <w:t xml:space="preserve">СВЕДЕНИЯ
 о средствах пенсионных накоплений, переданных в доверительное управление пенсионными активами, и стоимость чистых активов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8128"/>
        <w:gridCol w:w="1685"/>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1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6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Показатель (млн. сомов)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чистых активов, находящихся в доверительном управлении пенсионными активами на конец года, предшествующего отчетному году</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переданные в доверительное управление пенсионными активами в отчетном году, всего:</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w:t>
            </w:r>
          </w:p>
          <w:p>
            <w:pPr>
              <w:jc w:val="left"/>
            </w:pPr>
            <w:r>
              <w:rPr>
                <w:rFonts w:ascii="Arial" w:cs="Arial" w:eastAsia="Arial" w:hAnsi="Arial"/>
                <w:sz w:val="24"/>
                <w:szCs w:val="24"/>
              </w:rPr>
              <w:t xml:space="preserve">Государственный накопительный пенсионный фонд</w:t>
            </w:r>
          </w:p>
          <w:p>
            <w:pPr>
              <w:jc w:val="left"/>
            </w:pPr>
            <w:r>
              <w:rPr>
                <w:rFonts w:ascii="Arial" w:cs="Arial" w:eastAsia="Arial" w:hAnsi="Arial"/>
                <w:sz w:val="24"/>
                <w:szCs w:val="24"/>
              </w:rPr>
              <w:t xml:space="preserve">_________________________________________________</w:t>
            </w:r>
          </w:p>
          <w:p>
            <w:pPr>
              <w:jc w:val="left"/>
            </w:pPr>
            <w:r>
              <w:rPr>
                <w:rFonts w:ascii="Arial" w:cs="Arial" w:eastAsia="Arial" w:hAnsi="Arial"/>
                <w:sz w:val="24"/>
                <w:szCs w:val="24"/>
              </w:rPr>
              <w:t xml:space="preserve">(наименование инвестиционного портфеля)</w:t>
            </w:r>
          </w:p>
          <w:p>
            <w:pPr>
              <w:jc w:val="left"/>
            </w:pPr>
            <w:r>
              <w:rPr>
                <w:rFonts w:ascii="Arial" w:cs="Arial" w:eastAsia="Arial" w:hAnsi="Arial"/>
                <w:sz w:val="24"/>
                <w:szCs w:val="24"/>
              </w:rPr>
              <w:t xml:space="preserve">_________________________________________________</w:t>
            </w:r>
          </w:p>
          <w:p>
            <w:pPr>
              <w:jc w:val="left"/>
            </w:pPr>
            <w:r>
              <w:rPr>
                <w:rFonts w:ascii="Arial" w:cs="Arial" w:eastAsia="Arial" w:hAnsi="Arial"/>
                <w:sz w:val="24"/>
                <w:szCs w:val="24"/>
              </w:rPr>
              <w:t xml:space="preserve">(наименование инвестиционного портфеля)</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Накопительный пенсионный фонд</w:t>
            </w:r>
          </w:p>
          <w:p>
            <w:pPr>
              <w:jc w:val="left"/>
            </w:pPr>
            <w:r>
              <w:rPr>
                <w:rFonts w:ascii="Arial" w:cs="Arial" w:eastAsia="Arial" w:hAnsi="Arial"/>
                <w:sz w:val="24"/>
                <w:szCs w:val="24"/>
              </w:rPr>
              <w:t xml:space="preserve">_________________________________________________</w:t>
            </w:r>
          </w:p>
          <w:p>
            <w:pPr>
              <w:jc w:val="left"/>
            </w:pPr>
            <w:r>
              <w:rPr>
                <w:rFonts w:ascii="Arial" w:cs="Arial" w:eastAsia="Arial" w:hAnsi="Arial"/>
                <w:sz w:val="24"/>
                <w:szCs w:val="24"/>
              </w:rPr>
              <w:t xml:space="preserve">(наименование инвестиционного портфеля)</w:t>
            </w:r>
          </w:p>
          <w:p>
            <w:pPr>
              <w:jc w:val="left"/>
            </w:pPr>
            <w:r>
              <w:rPr>
                <w:rFonts w:ascii="Arial" w:cs="Arial" w:eastAsia="Arial" w:hAnsi="Arial"/>
                <w:sz w:val="24"/>
                <w:szCs w:val="24"/>
              </w:rPr>
              <w:t xml:space="preserve">_________________________________________________</w:t>
            </w:r>
          </w:p>
          <w:p>
            <w:pPr>
              <w:jc w:val="left"/>
            </w:pPr>
            <w:r>
              <w:rPr>
                <w:rFonts w:ascii="Arial" w:cs="Arial" w:eastAsia="Arial" w:hAnsi="Arial"/>
                <w:sz w:val="24"/>
                <w:szCs w:val="24"/>
              </w:rPr>
              <w:t xml:space="preserve">(наименование инвестиционного портфеля)</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чистых активов, находящихся в доверительном управлении пенсионными активами на конец отчетного года, всего:</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w:t>
            </w:r>
          </w:p>
          <w:p>
            <w:pPr>
              <w:jc w:val="left"/>
            </w:pPr>
            <w:r>
              <w:rPr>
                <w:rFonts w:ascii="Arial" w:cs="Arial" w:eastAsia="Arial" w:hAnsi="Arial"/>
                <w:sz w:val="24"/>
                <w:szCs w:val="24"/>
              </w:rPr>
              <w:t xml:space="preserve">Государственный накопительный пенсионный фонд</w:t>
            </w:r>
          </w:p>
          <w:p>
            <w:pPr>
              <w:jc w:val="left"/>
            </w:pPr>
            <w:r>
              <w:rPr>
                <w:rFonts w:ascii="Arial" w:cs="Arial" w:eastAsia="Arial" w:hAnsi="Arial"/>
                <w:sz w:val="24"/>
                <w:szCs w:val="24"/>
              </w:rPr>
              <w:t xml:space="preserve">_________________________________________________</w:t>
            </w:r>
          </w:p>
          <w:p>
            <w:pPr>
              <w:jc w:val="left"/>
            </w:pPr>
            <w:r>
              <w:rPr>
                <w:rFonts w:ascii="Arial" w:cs="Arial" w:eastAsia="Arial" w:hAnsi="Arial"/>
                <w:sz w:val="24"/>
                <w:szCs w:val="24"/>
              </w:rPr>
              <w:t xml:space="preserve">(наименование инвестиционного портфеля)</w:t>
            </w:r>
          </w:p>
          <w:p>
            <w:pPr>
              <w:jc w:val="left"/>
            </w:pPr>
            <w:r>
              <w:rPr>
                <w:rFonts w:ascii="Arial" w:cs="Arial" w:eastAsia="Arial" w:hAnsi="Arial"/>
                <w:sz w:val="24"/>
                <w:szCs w:val="24"/>
              </w:rPr>
              <w:t xml:space="preserve">_________________________________________________</w:t>
            </w:r>
          </w:p>
          <w:p>
            <w:pPr>
              <w:jc w:val="left"/>
            </w:pPr>
            <w:r>
              <w:rPr>
                <w:rFonts w:ascii="Arial" w:cs="Arial" w:eastAsia="Arial" w:hAnsi="Arial"/>
                <w:sz w:val="24"/>
                <w:szCs w:val="24"/>
              </w:rPr>
              <w:t xml:space="preserve">(наименование инвестиционного портфеля)</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Накопительный пенсионный фонд</w:t>
            </w:r>
          </w:p>
          <w:p>
            <w:pPr>
              <w:jc w:val="left"/>
            </w:pPr>
            <w:r>
              <w:rPr>
                <w:rFonts w:ascii="Arial" w:cs="Arial" w:eastAsia="Arial" w:hAnsi="Arial"/>
                <w:sz w:val="24"/>
                <w:szCs w:val="24"/>
              </w:rPr>
              <w:t xml:space="preserve">_________________________________________________</w:t>
            </w:r>
          </w:p>
          <w:p>
            <w:pPr>
              <w:jc w:val="left"/>
            </w:pPr>
            <w:r>
              <w:rPr>
                <w:rFonts w:ascii="Arial" w:cs="Arial" w:eastAsia="Arial" w:hAnsi="Arial"/>
                <w:sz w:val="24"/>
                <w:szCs w:val="24"/>
              </w:rPr>
              <w:t xml:space="preserve">(наименование инвестиционного портфеля)</w:t>
            </w:r>
          </w:p>
          <w:p>
            <w:pPr>
              <w:jc w:val="left"/>
            </w:pPr>
            <w:r>
              <w:rPr>
                <w:rFonts w:ascii="Arial" w:cs="Arial" w:eastAsia="Arial" w:hAnsi="Arial"/>
                <w:sz w:val="24"/>
                <w:szCs w:val="24"/>
              </w:rPr>
              <w:t xml:space="preserve">_________________________________________________</w:t>
            </w:r>
          </w:p>
          <w:p>
            <w:pPr>
              <w:jc w:val="left"/>
            </w:pPr>
            <w:r>
              <w:rPr>
                <w:rFonts w:ascii="Arial" w:cs="Arial" w:eastAsia="Arial" w:hAnsi="Arial"/>
                <w:sz w:val="24"/>
                <w:szCs w:val="24"/>
              </w:rPr>
              <w:t xml:space="preserve">(наименование инвестиционного портфеля)</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N ДУ-3</w:t>
      </w:r>
    </w:p>
    <w:p>
      <w:pPr>
        <w:spacing w:after="400" w:before="400"/>
        <w:jc w:val="center"/>
      </w:pPr>
      <w:r>
        <w:rPr>
          <w:rFonts w:ascii="Arial" w:cs="Arial" w:eastAsia="Arial" w:hAnsi="Arial"/>
          <w:b/>
          <w:bCs/>
          <w:sz w:val="32"/>
          <w:szCs w:val="32"/>
        </w:rPr>
        <w:t xml:space="preserve">СВЕДЕНИЯ
 о результатах инвестирования средств пенсионных накоплений, переданных в доверительное управление пенсионными активами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8700"/>
        <w:gridCol w:w="1114"/>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1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 от инвестирования средств пенсионных накоплений, полученный за отчетный период, всего (млн. сомов):</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w:t>
            </w:r>
          </w:p>
          <w:p>
            <w:pPr>
              <w:jc w:val="left"/>
            </w:pPr>
            <w:r>
              <w:rPr>
                <w:rFonts w:ascii="Arial" w:cs="Arial" w:eastAsia="Arial" w:hAnsi="Arial"/>
                <w:sz w:val="24"/>
                <w:szCs w:val="24"/>
              </w:rPr>
              <w:t xml:space="preserve">_________________________________________________</w:t>
            </w:r>
          </w:p>
          <w:p>
            <w:pPr>
              <w:jc w:val="left"/>
            </w:pPr>
            <w:r>
              <w:rPr>
                <w:rFonts w:ascii="Arial" w:cs="Arial" w:eastAsia="Arial" w:hAnsi="Arial"/>
                <w:sz w:val="24"/>
                <w:szCs w:val="24"/>
              </w:rPr>
              <w:t xml:space="preserve">(наименование инвестиционного портфеля)</w:t>
            </w:r>
          </w:p>
          <w:p>
            <w:pPr>
              <w:jc w:val="left"/>
            </w:pPr>
            <w:r>
              <w:rPr>
                <w:rFonts w:ascii="Arial" w:cs="Arial" w:eastAsia="Arial" w:hAnsi="Arial"/>
                <w:sz w:val="24"/>
                <w:szCs w:val="24"/>
              </w:rPr>
              <w:t xml:space="preserve">_________________________________________________</w:t>
            </w:r>
          </w:p>
          <w:p>
            <w:pPr>
              <w:jc w:val="left"/>
            </w:pPr>
            <w:r>
              <w:rPr>
                <w:rFonts w:ascii="Arial" w:cs="Arial" w:eastAsia="Arial" w:hAnsi="Arial"/>
                <w:sz w:val="24"/>
                <w:szCs w:val="24"/>
              </w:rPr>
              <w:t xml:space="preserve">(наименование инвестиционного портфеля)</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 от инвестирования средств пенсионных накоплений, полученный за отчетный период, по отношению к стоимости чистых активов (процентов):</w:t>
            </w:r>
          </w:p>
          <w:p>
            <w:pPr>
              <w:jc w:val="left"/>
            </w:pPr>
            <w:r>
              <w:rPr>
                <w:rFonts w:ascii="Arial" w:cs="Arial" w:eastAsia="Arial" w:hAnsi="Arial"/>
                <w:sz w:val="24"/>
                <w:szCs w:val="24"/>
              </w:rPr>
              <w:t xml:space="preserve">_________________________________________________</w:t>
            </w:r>
          </w:p>
          <w:p>
            <w:pPr>
              <w:jc w:val="left"/>
            </w:pPr>
            <w:r>
              <w:rPr>
                <w:rFonts w:ascii="Arial" w:cs="Arial" w:eastAsia="Arial" w:hAnsi="Arial"/>
                <w:sz w:val="24"/>
                <w:szCs w:val="24"/>
              </w:rPr>
              <w:t xml:space="preserve">(наименование инвестиционного портфеля)</w:t>
            </w:r>
          </w:p>
          <w:p>
            <w:pPr>
              <w:jc w:val="left"/>
            </w:pPr>
            <w:r>
              <w:rPr>
                <w:rFonts w:ascii="Arial" w:cs="Arial" w:eastAsia="Arial" w:hAnsi="Arial"/>
                <w:sz w:val="24"/>
                <w:szCs w:val="24"/>
              </w:rPr>
              <w:t xml:space="preserve">_________________________________________________</w:t>
            </w:r>
          </w:p>
          <w:p>
            <w:pPr>
              <w:jc w:val="left"/>
            </w:pPr>
            <w:r>
              <w:rPr>
                <w:rFonts w:ascii="Arial" w:cs="Arial" w:eastAsia="Arial" w:hAnsi="Arial"/>
                <w:sz w:val="24"/>
                <w:szCs w:val="24"/>
              </w:rPr>
              <w:t xml:space="preserve">(наименование инвестиционного портфеля)</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Полученное вознаграждение по доверительному управлению пенсионными активами за отчетный период (млн. сомов)</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N ДУ-4</w:t>
      </w:r>
    </w:p>
    <w:p>
      <w:pPr>
        <w:spacing w:after="400" w:before="400"/>
        <w:jc w:val="center"/>
      </w:pPr>
      <w:r>
        <w:rPr>
          <w:rFonts w:ascii="Arial" w:cs="Arial" w:eastAsia="Arial" w:hAnsi="Arial"/>
          <w:b/>
          <w:bCs/>
          <w:sz w:val="32"/>
          <w:szCs w:val="32"/>
        </w:rPr>
        <w:t xml:space="preserve">СВЕДЕНИЯ
 о структуре совокупного инвестиционного портфеля по доверительному управлению пенсионными активами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6630"/>
        <w:gridCol w:w="806"/>
        <w:gridCol w:w="806"/>
        <w:gridCol w:w="786"/>
        <w:gridCol w:w="786"/>
      </w:tblGrid>
      <w:tr>
        <w:tc>
          <w:tcPr>
            <w:tcW w:type="dxa" w:w="3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6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6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15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7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ценные бумаги Кыргызской Республики, всего</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обязательства по которым выражены в иностранной валюте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Облигации кыргызских эмитентов всего</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облигации, выпущенные от имени муниципальных образований</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облигации, обязательства по которым выражены в иностранной валюте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облигации кыргызских хозяйственных обществ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облигации, обязательства по которым выражены в иностранной валюте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облигации кыргызских эмитентов, обязательства по которым гарантированы Кыргызской Республикой</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кыргызских эмитентов, созданных в форме открытых акционерных обществ, всего</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номинальная стоимость которых указана в национальной валюте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Паи (акции, доли) индексных инвестиционных фондов, размещающих средства в государственные ценные бумаги иностранных государств, облигации и акции иных иностранных эмитентов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Ипотечные ценные бумаги</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облигации с ипотечным покрытием, обеспеченные поручительством</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 сомах на счетах в кредитных организациях</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 кредитных организациях, всего</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в иностранной валюте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Иностранная валюта на счетах в кредитных организациях</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международных финансовых организаций, допущенных к размещению и (или) публичному обращению</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N ДУ-5</w:t>
      </w:r>
    </w:p>
    <w:p>
      <w:pPr>
        <w:spacing w:after="240" w:before="400"/>
        <w:jc w:val="center"/>
      </w:pPr>
      <w:r>
        <w:rPr>
          <w:rFonts w:ascii="Arial" w:cs="Arial" w:eastAsia="Arial" w:hAnsi="Arial"/>
          <w:b/>
          <w:bCs/>
          <w:sz w:val="32"/>
          <w:szCs w:val="32"/>
        </w:rPr>
        <w:t xml:space="preserve">СВЕДЕНИЯ
 о структуре инвестиционного портфеля по доверительному управлению пенсионными активами за отчетный период</w:t>
      </w:r>
    </w:p>
    <w:p>
      <w:pPr>
        <w:spacing w:after="240"/>
        <w:jc w:val="center"/>
      </w:pPr>
      <w:r>
        <w:rPr>
          <w:rFonts w:ascii="Arial" w:cs="Arial" w:eastAsia="Arial" w:hAnsi="Arial"/>
          <w:sz w:val="24"/>
          <w:szCs w:val="24"/>
        </w:rPr>
        <w:t xml:space="preserve">______________________________________________________________________________
 (наименование инвестиционного портфеля)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6630"/>
        <w:gridCol w:w="806"/>
        <w:gridCol w:w="806"/>
        <w:gridCol w:w="786"/>
        <w:gridCol w:w="786"/>
      </w:tblGrid>
      <w:tr>
        <w:tc>
          <w:tcPr>
            <w:tcW w:type="dxa" w:w="3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6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6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15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7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ценные бумаги Кыргызской Республики, всего</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обязательства по которым выражены в иностранной валюте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Облигации кыргызских эмитентов, всего</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облигации, выпущенные от имени муниципальных образований</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облигации, обязательства по которым выражены в иностранной валюте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облигации кыргызских хозяйственных обществ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облигации, обязательства по которым выражены в иностранной валюте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облигации кыргызских эмитентов, обязательства по которым гарантированы Кыргызской Республикой</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кыргызских эмитентов, созданных в форме открытых акционерных обществ, всего</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номинальная стоимость которых указана в национальной валюте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Паи (акции, доли) индексных инвестиционных фондов, размещающих средства в государственные ценные бумаги иностранных государств, облигации и акции иных иностранных эмитентов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Ипотечные ценные бумаги</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облигации с ипотечным покрытием, обеспеченные поручительством</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 сомах на счетах в кредитных организациях</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 кредитных организациях, всего</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в иностранной валюте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Иностранная валюта на счетах в кредитных организациях</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международных финансовых организаций, допущенных к размещению и (или) публичному обращению</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11</w:t>
      </w:r>
    </w:p>
    <w:p>
      <w:pPr>
        <w:spacing w:after="240"/>
        <w:jc w:val="right"/>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 № ПД-4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ПОКАЗАТЕЛИ,
 характеризующие финансовое состояние организации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Наименование показателей         │Значение показателя│</w:t>
      </w:r>
    </w:p>
    <w:p>
      <w:pPr>
        <w:spacing w:after="120"/>
        <w:jc w:val="center"/>
      </w:pPr>
      <w:r>
        <w:rPr>
          <w:rFonts w:ascii="Arial" w:cs="Arial" w:eastAsia="Arial" w:hAnsi="Arial"/>
          <w:sz w:val="24"/>
          <w:szCs w:val="24"/>
        </w:rPr>
        <w:t xml:space="preserve">│строки│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│К1 (Собственный капитал)                  │                   │</w:t>
      </w:r>
    </w:p>
    <w:p>
      <w:pPr>
        <w:spacing w:after="120"/>
        <w:jc w:val="center"/>
      </w:pPr>
      <w:r>
        <w:rPr>
          <w:rFonts w:ascii="Arial" w:cs="Arial" w:eastAsia="Arial" w:hAnsi="Arial"/>
          <w:sz w:val="24"/>
          <w:szCs w:val="24"/>
        </w:rPr>
        <w:t xml:space="preserve">│  2   │К2 (отношение привлеченных средств к      │                   │</w:t>
      </w:r>
    </w:p>
    <w:p>
      <w:pPr>
        <w:spacing w:after="120"/>
        <w:jc w:val="center"/>
      </w:pPr>
      <w:r>
        <w:rPr>
          <w:rFonts w:ascii="Arial" w:cs="Arial" w:eastAsia="Arial" w:hAnsi="Arial"/>
          <w:sz w:val="24"/>
          <w:szCs w:val="24"/>
        </w:rPr>
        <w:t xml:space="preserve">│      │собственному капиталу)                    │                   │</w:t>
      </w:r>
    </w:p>
    <w:p>
      <w:pPr>
        <w:spacing w:after="120"/>
        <w:jc w:val="center"/>
      </w:pPr>
      <w:r>
        <w:rPr>
          <w:rFonts w:ascii="Arial" w:cs="Arial" w:eastAsia="Arial" w:hAnsi="Arial"/>
          <w:sz w:val="24"/>
          <w:szCs w:val="24"/>
        </w:rPr>
        <w:t xml:space="preserve">│  3   │К3 (Эффективность деятельности            │                   │</w:t>
      </w:r>
    </w:p>
    <w:p>
      <w:pPr>
        <w:spacing w:after="120"/>
        <w:jc w:val="center"/>
      </w:pPr>
      <w:r>
        <w:rPr>
          <w:rFonts w:ascii="Arial" w:cs="Arial" w:eastAsia="Arial" w:hAnsi="Arial"/>
          <w:sz w:val="24"/>
          <w:szCs w:val="24"/>
        </w:rPr>
        <w:t xml:space="preserve">│      │организации)                              │                   │</w:t>
      </w:r>
    </w:p>
    <w:p>
      <w:pPr>
        <w:spacing w:after="120"/>
        <w:jc w:val="center"/>
      </w:pPr>
      <w:r>
        <w:rPr>
          <w:rFonts w:ascii="Arial" w:cs="Arial" w:eastAsia="Arial" w:hAnsi="Arial"/>
          <w:sz w:val="24"/>
          <w:szCs w:val="24"/>
        </w:rPr>
        <w:t xml:space="preserve">│  4   │К4 (Коэффициент текущей ликвидности       │                   │</w:t>
      </w:r>
    </w:p>
    <w:p>
      <w:pPr>
        <w:spacing w:after="120"/>
        <w:jc w:val="center"/>
      </w:pPr>
      <w:r>
        <w:rPr>
          <w:rFonts w:ascii="Arial" w:cs="Arial" w:eastAsia="Arial" w:hAnsi="Arial"/>
          <w:sz w:val="24"/>
          <w:szCs w:val="24"/>
        </w:rPr>
        <w:t xml:space="preserve">│      │организации)                              │                   │</w:t>
      </w:r>
    </w:p>
    <w:p>
      <w:pPr>
        <w:spacing w:after="120"/>
        <w:jc w:val="center"/>
      </w:pPr>
      <w:r>
        <w:rPr>
          <w:rFonts w:ascii="Arial" w:cs="Arial" w:eastAsia="Arial" w:hAnsi="Arial"/>
          <w:sz w:val="24"/>
          <w:szCs w:val="24"/>
        </w:rPr>
        <w:t xml:space="preserve">│  5   │К5 (Совокупные обязательства)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12</w:t>
      </w:r>
    </w:p>
    <w:p>
      <w:pPr>
        <w:spacing w:after="240"/>
        <w:jc w:val="right"/>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 № ПД-5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ИНФОРМАЦИЯ
 о совершении операции с 5% и более с одним видом ценных бумаг одного эмитента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│Наименование эмитента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│Дата исполнения операции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│Тип операции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│Вид ценных бумаг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│Государственный регистрационный номер ценных бумаг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│Количество ценных бумаг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│Лицо, передающее ценные бумаги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│Лицо, принимающее ценные бумаги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│Стоимость 1 ценной бумаги/общая стоимость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│10│Доля операции в уставном капитале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о порядке заполнения форм отчета об осуществлении профессиональной деятельности на рынке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устанавливает порядок заполнения форм отчета об осуществлении деятельности (далее - отчет) профессиональными участниками рынка ценных бумаг, осуществляющими профессиональную деятельность на рынке (далее - организации).</w:t>
      </w:r>
    </w:p>
    <w:p>
      <w:pPr>
        <w:spacing w:after="120"/>
        <w:jc w:val="both"/>
      </w:pPr>
      <w:r>
        <w:rPr>
          <w:rFonts w:ascii="Arial" w:cs="Arial" w:eastAsia="Arial" w:hAnsi="Arial"/>
          <w:sz w:val="24"/>
          <w:szCs w:val="24"/>
        </w:rPr>
        <w:t xml:space="preserve">2. В формах отчета заполняются все поля, за исключением полей, помеченных знаком "х". В случае отсутствия информации при заполнении полей ставится прочерк ("-").</w:t>
      </w:r>
    </w:p>
    <w:p>
      <w:pPr>
        <w:spacing w:after="120"/>
        <w:jc w:val="both"/>
      </w:pPr>
      <w:r>
        <w:rPr>
          <w:rFonts w:ascii="Arial" w:cs="Arial" w:eastAsia="Arial" w:hAnsi="Arial"/>
          <w:sz w:val="24"/>
          <w:szCs w:val="24"/>
        </w:rPr>
        <w:t xml:space="preserve">В отчетах не допускаются неоговоренные исправления, зачеркивания, подчистки, помарки, дописки (допечатки) и т.п. Каждое исправление (дополнение) должно быть оговорено и заверено лицами, подписавшими этот документ.</w:t>
      </w:r>
    </w:p>
    <w:p>
      <w:pPr>
        <w:spacing w:after="120"/>
        <w:jc w:val="both"/>
      </w:pPr>
      <w:r>
        <w:rPr>
          <w:rFonts w:ascii="Arial" w:cs="Arial" w:eastAsia="Arial" w:hAnsi="Arial"/>
          <w:sz w:val="24"/>
          <w:szCs w:val="24"/>
        </w:rPr>
        <w:t xml:space="preserve">3. При заполнении формы № ПД-1 следует руководствоваться следующими указаниями:</w:t>
      </w:r>
    </w:p>
    <w:p>
      <w:pPr>
        <w:spacing w:after="120"/>
        <w:jc w:val="both"/>
      </w:pPr>
      <w:r>
        <w:rPr>
          <w:rFonts w:ascii="Arial" w:cs="Arial" w:eastAsia="Arial" w:hAnsi="Arial"/>
          <w:sz w:val="24"/>
          <w:szCs w:val="24"/>
        </w:rPr>
        <w:t xml:space="preserve">а) при заполнении строк "Полное наименование организации" и "Сокращенное наименование организации" указывается наименование организации в полном соответствии с наименованием, указанным в уставе организации;</w:t>
      </w:r>
    </w:p>
    <w:p>
      <w:pPr>
        <w:spacing w:after="120"/>
        <w:jc w:val="both"/>
      </w:pPr>
      <w:r>
        <w:rPr>
          <w:rFonts w:ascii="Arial" w:cs="Arial" w:eastAsia="Arial" w:hAnsi="Arial"/>
          <w:sz w:val="24"/>
          <w:szCs w:val="24"/>
        </w:rPr>
        <w:t xml:space="preserve">б) при заполнении строки "Юридический адрес организации" указывается адрес государственной регистрации организации в соответствии с адресом, указанным в свидетельстве о государственной регистрации. Если после выдачи свидетельства о регистрации в устав были внесены изменения, касающиеся изменения места нахождения организации, то данные указываются в соответствии с зарегистрированными изменениями в уставе;</w:t>
      </w:r>
    </w:p>
    <w:p>
      <w:pPr>
        <w:spacing w:after="120"/>
        <w:jc w:val="both"/>
      </w:pPr>
      <w:r>
        <w:rPr>
          <w:rFonts w:ascii="Arial" w:cs="Arial" w:eastAsia="Arial" w:hAnsi="Arial"/>
          <w:sz w:val="24"/>
          <w:szCs w:val="24"/>
        </w:rPr>
        <w:t xml:space="preserve">в) при заполнении строки "Фактическое место нахождения организации" указывается фактическое нахождение исполнительных органов организации;</w:t>
      </w:r>
    </w:p>
    <w:p>
      <w:pPr>
        <w:spacing w:after="120"/>
        <w:jc w:val="both"/>
      </w:pPr>
      <w:r>
        <w:rPr>
          <w:rFonts w:ascii="Arial" w:cs="Arial" w:eastAsia="Arial" w:hAnsi="Arial"/>
          <w:sz w:val="24"/>
          <w:szCs w:val="24"/>
        </w:rPr>
        <w:t xml:space="preserve">г) отчет подписывается лицом, имеющим право подписи на соответствующих документах, главным бухгалтером и заверяется печатью организации.</w:t>
      </w:r>
    </w:p>
    <w:p>
      <w:pPr>
        <w:spacing w:after="120"/>
        <w:jc w:val="both"/>
      </w:pPr>
      <w:r>
        <w:rPr>
          <w:rFonts w:ascii="Arial" w:cs="Arial" w:eastAsia="Arial" w:hAnsi="Arial"/>
          <w:sz w:val="24"/>
          <w:szCs w:val="24"/>
        </w:rPr>
        <w:t xml:space="preserve">4. При заполнении формы № ПД-2 "Сведения об организации" следует руководствоваться следующими указаниями:</w:t>
      </w:r>
    </w:p>
    <w:p>
      <w:pPr>
        <w:spacing w:after="120"/>
        <w:jc w:val="both"/>
      </w:pPr>
      <w:r>
        <w:rPr>
          <w:rFonts w:ascii="Arial" w:cs="Arial" w:eastAsia="Arial" w:hAnsi="Arial"/>
          <w:sz w:val="24"/>
          <w:szCs w:val="24"/>
        </w:rPr>
        <w:t xml:space="preserve">а) при заполнении раздела "Сведения о наличии лицензий на осуществление профессиональной деятельности на рынке ценных бумаг" указываются сведения только о действующих лицензиях, выданных уполномоченным государственным органом по рынку ценных бумаг, при этом указываются номер и дата выдачи лицензии, а также дата окончания действия лицензии;</w:t>
      </w:r>
    </w:p>
    <w:p>
      <w:pPr>
        <w:spacing w:after="120"/>
        <w:jc w:val="both"/>
      </w:pPr>
      <w:r>
        <w:rPr>
          <w:rFonts w:ascii="Arial" w:cs="Arial" w:eastAsia="Arial" w:hAnsi="Arial"/>
          <w:sz w:val="24"/>
          <w:szCs w:val="24"/>
        </w:rPr>
        <w:t xml:space="preserve">б) при заполнении раздела "Сведения о лицах, имеющих свидетельства уполномоченного государственного органа по рынку ценных бумаг" указываются сведения о сотрудниках организации, имеющих квалификационные свидетельства уполномоченного государственного органа по рынку ценных бумаг;</w:t>
      </w:r>
    </w:p>
    <w:p>
      <w:pPr>
        <w:spacing w:after="120"/>
        <w:jc w:val="both"/>
      </w:pPr>
      <w:r>
        <w:rPr>
          <w:rFonts w:ascii="Arial" w:cs="Arial" w:eastAsia="Arial" w:hAnsi="Arial"/>
          <w:sz w:val="24"/>
          <w:szCs w:val="24"/>
        </w:rPr>
        <w:t xml:space="preserve">в) при заполнении сведений о руководителе и главном бухгалтере организации в годовом отчете, также даются сведения о предыдущих должностных лицах организации за последние 3 года.</w:t>
      </w:r>
    </w:p>
    <w:p>
      <w:pPr>
        <w:spacing w:after="120"/>
        <w:jc w:val="both"/>
      </w:pPr>
      <w:r>
        <w:rPr>
          <w:rFonts w:ascii="Arial" w:cs="Arial" w:eastAsia="Arial" w:hAnsi="Arial"/>
          <w:sz w:val="24"/>
          <w:szCs w:val="24"/>
        </w:rPr>
        <w:t xml:space="preserve">5. При заполнении формы "Сведения о капитале организации" следует руководствоваться следующими указаниями:</w:t>
      </w:r>
    </w:p>
    <w:p>
      <w:pPr>
        <w:spacing w:after="120"/>
        <w:jc w:val="both"/>
      </w:pPr>
      <w:r>
        <w:rPr>
          <w:rFonts w:ascii="Arial" w:cs="Arial" w:eastAsia="Arial" w:hAnsi="Arial"/>
          <w:sz w:val="24"/>
          <w:szCs w:val="24"/>
        </w:rPr>
        <w:t xml:space="preserve">а) при заполнении строки "Уставный капитал" указывается информация о размере уставного капитала организации в соответствии с уставом;</w:t>
      </w:r>
    </w:p>
    <w:p>
      <w:pPr>
        <w:spacing w:after="120"/>
        <w:jc w:val="both"/>
      </w:pPr>
      <w:r>
        <w:rPr>
          <w:rFonts w:ascii="Arial" w:cs="Arial" w:eastAsia="Arial" w:hAnsi="Arial"/>
          <w:sz w:val="24"/>
          <w:szCs w:val="24"/>
        </w:rPr>
        <w:t xml:space="preserve">б) при заполнении строки "Доля нерезидентов в уставном капитале" доля нерезидентов определяется в процентах;</w:t>
      </w:r>
    </w:p>
    <w:p>
      <w:pPr>
        <w:spacing w:after="120"/>
        <w:jc w:val="both"/>
      </w:pPr>
      <w:r>
        <w:rPr>
          <w:rFonts w:ascii="Arial" w:cs="Arial" w:eastAsia="Arial" w:hAnsi="Arial"/>
          <w:sz w:val="24"/>
          <w:szCs w:val="24"/>
        </w:rPr>
        <w:t xml:space="preserve">в) при заполнении строки "Собственный капитал" указывается размер собственного капитала, рассчитываемый в порядке, установленном пунктом 11 настоящей Инструкции для соответствующего вида профессиональной деятельности на рынке ценных бумаг, в сомах, на отчетную дату.</w:t>
      </w:r>
    </w:p>
    <w:p>
      <w:pPr>
        <w:spacing w:after="120"/>
        <w:jc w:val="both"/>
      </w:pPr>
      <w:r>
        <w:rPr>
          <w:rFonts w:ascii="Arial" w:cs="Arial" w:eastAsia="Arial" w:hAnsi="Arial"/>
          <w:sz w:val="24"/>
          <w:szCs w:val="24"/>
        </w:rPr>
        <w:t xml:space="preserve">6. При заполнении формы № БД-1 "Сведения о дебиторской и кредиторской задолженности" следует руководствоваться следующими указаниями:</w:t>
      </w:r>
    </w:p>
    <w:p>
      <w:pPr>
        <w:spacing w:after="120"/>
        <w:jc w:val="both"/>
      </w:pPr>
      <w:r>
        <w:rPr>
          <w:rFonts w:ascii="Arial" w:cs="Arial" w:eastAsia="Arial" w:hAnsi="Arial"/>
          <w:sz w:val="24"/>
          <w:szCs w:val="24"/>
        </w:rPr>
        <w:t xml:space="preserve">а) в таблице отражается информация о дебиторской и кредиторской задолженности организации в соответствии с данными бухгалтерского учета. В строках, обозначенных "А" (столбец 3), указываются суммы с разбивкой по сроку, оставшемуся до погашения. В строках, обозначенных "Б" (столбец 3), указываются суммы по фактическим срокам просроченной или пролонгированной задолженности;</w:t>
      </w:r>
    </w:p>
    <w:p>
      <w:pPr>
        <w:spacing w:after="120"/>
        <w:jc w:val="both"/>
      </w:pPr>
      <w:r>
        <w:rPr>
          <w:rFonts w:ascii="Arial" w:cs="Arial" w:eastAsia="Arial" w:hAnsi="Arial"/>
          <w:sz w:val="24"/>
          <w:szCs w:val="24"/>
        </w:rPr>
        <w:t xml:space="preserve">б) заполнение строк 5 и 11 формы № БД-1: клиентом профессионального участника является юридическое или физическое лицо, состоящее с профессиональным участником рынка ценных бумаг в договорных обязательствах;</w:t>
      </w:r>
    </w:p>
    <w:p>
      <w:pPr>
        <w:spacing w:after="120"/>
        <w:jc w:val="both"/>
      </w:pPr>
      <w:r>
        <w:rPr>
          <w:rFonts w:ascii="Arial" w:cs="Arial" w:eastAsia="Arial" w:hAnsi="Arial"/>
          <w:sz w:val="24"/>
          <w:szCs w:val="24"/>
        </w:rPr>
        <w:t xml:space="preserve">в) сроки исполнения обязательств по дебиторской и кредиторской задолженности определяются в соответствии с заключенными профессиональным участником договорами и дополнительными соглашениями с клиентами и контрагентами.</w:t>
      </w:r>
    </w:p>
    <w:p>
      <w:pPr>
        <w:spacing w:after="120"/>
        <w:jc w:val="both"/>
      </w:pPr>
      <w:r>
        <w:rPr>
          <w:rFonts w:ascii="Arial" w:cs="Arial" w:eastAsia="Arial" w:hAnsi="Arial"/>
          <w:sz w:val="24"/>
          <w:szCs w:val="24"/>
        </w:rPr>
        <w:t xml:space="preserve">7. При заполнении формы № БД-2 "Структура финансовых вложений" следует руководствоваться следующими указаниями:</w:t>
      </w:r>
    </w:p>
    <w:p>
      <w:pPr>
        <w:spacing w:after="120"/>
        <w:jc w:val="both"/>
      </w:pPr>
      <w:r>
        <w:rPr>
          <w:rFonts w:ascii="Arial" w:cs="Arial" w:eastAsia="Arial" w:hAnsi="Arial"/>
          <w:sz w:val="24"/>
          <w:szCs w:val="24"/>
        </w:rPr>
        <w:t xml:space="preserve">а) при заполнении столбца 2 "Наименование актива" указываются наименование эмитента, вид, категория и тип ценной бумаги. Для государственных ценных бумаг, ценных бумаг субъектов Кыргызской Республики, муниципальных образований, а также приравненных к ним ценных бумаг и ценных бумаг иностранных эмитентов, указывается номер государственной регистрации выпуска;</w:t>
      </w:r>
    </w:p>
    <w:p>
      <w:pPr>
        <w:spacing w:after="120"/>
        <w:jc w:val="both"/>
      </w:pPr>
      <w:r>
        <w:rPr>
          <w:rFonts w:ascii="Arial" w:cs="Arial" w:eastAsia="Arial" w:hAnsi="Arial"/>
          <w:sz w:val="24"/>
          <w:szCs w:val="24"/>
        </w:rPr>
        <w:t xml:space="preserve">б) оценка собственных финансовых вложений в ценные бумаги по рыночной цене производится вне зависимости от учетной политики, принятой в организации. Данные такого рода оценки показываются справочно;</w:t>
      </w:r>
    </w:p>
    <w:p>
      <w:pPr>
        <w:spacing w:after="120"/>
        <w:jc w:val="both"/>
      </w:pPr>
      <w:r>
        <w:rPr>
          <w:rFonts w:ascii="Arial" w:cs="Arial" w:eastAsia="Arial" w:hAnsi="Arial"/>
          <w:sz w:val="24"/>
          <w:szCs w:val="24"/>
        </w:rPr>
        <w:t xml:space="preserve">в) рыночная цена рассчитывается в соответствии с последними ценами по сделкам с акциями эмитентов, произведенными на фондовой бирже. При отсутствии рыночной цены в графах 6 и 7 ставится прочерк. Рыночная цена пакета рассчитывается как произведение количества ценных бумаг на рыночную цену одной ценной бумаги;</w:t>
      </w:r>
    </w:p>
    <w:p>
      <w:pPr>
        <w:spacing w:after="120"/>
        <w:jc w:val="both"/>
      </w:pPr>
      <w:r>
        <w:rPr>
          <w:rFonts w:ascii="Arial" w:cs="Arial" w:eastAsia="Arial" w:hAnsi="Arial"/>
          <w:sz w:val="24"/>
          <w:szCs w:val="24"/>
        </w:rPr>
        <w:t xml:space="preserve">г) переоценка финансовых вложений по рыночной стоимости производится на отчетную дату.</w:t>
      </w:r>
    </w:p>
    <w:p>
      <w:pPr>
        <w:spacing w:after="120"/>
        <w:jc w:val="both"/>
      </w:pPr>
      <w:r>
        <w:rPr>
          <w:rFonts w:ascii="Arial" w:cs="Arial" w:eastAsia="Arial" w:hAnsi="Arial"/>
          <w:sz w:val="24"/>
          <w:szCs w:val="24"/>
        </w:rPr>
        <w:t xml:space="preserve">8. При заполнении формы № БД-3 "Сведения о сделках с ценными бумагами" следует руководствоваться следующими указаниями:</w:t>
      </w:r>
    </w:p>
    <w:p>
      <w:pPr>
        <w:spacing w:after="120"/>
        <w:jc w:val="both"/>
      </w:pPr>
      <w:r>
        <w:rPr>
          <w:rFonts w:ascii="Arial" w:cs="Arial" w:eastAsia="Arial" w:hAnsi="Arial"/>
          <w:sz w:val="24"/>
          <w:szCs w:val="24"/>
        </w:rPr>
        <w:t xml:space="preserve">Форма № БД-3 заполняется на основании данных системы внутреннего учета и отчетности.</w:t>
      </w:r>
    </w:p>
    <w:p>
      <w:pPr>
        <w:spacing w:after="120"/>
        <w:jc w:val="both"/>
      </w:pPr>
      <w:r>
        <w:rPr>
          <w:rFonts w:ascii="Arial" w:cs="Arial" w:eastAsia="Arial" w:hAnsi="Arial"/>
          <w:sz w:val="24"/>
          <w:szCs w:val="24"/>
        </w:rPr>
        <w:t xml:space="preserve">9. В целях заполнения формы № Б-1 "Сведения об осуществлении брокерской деятельности" под аналитическими счетами, открытыми в системе внутреннего учета, понимаются счета, открываемые профессиональными участниками в системе внутреннего учета для учета ценных бумаг и денежных средств, пронумерованные в соответствии с внутренним порядком нумерации счетов в системе учета, отдельно для каждого клиента, в соответствии с требованиями Стандартов внутреннего учета.</w:t>
      </w:r>
    </w:p>
    <w:p>
      <w:pPr>
        <w:spacing w:after="120"/>
        <w:jc w:val="both"/>
      </w:pPr>
      <w:r>
        <w:rPr>
          <w:rFonts w:ascii="Arial" w:cs="Arial" w:eastAsia="Arial" w:hAnsi="Arial"/>
          <w:sz w:val="24"/>
          <w:szCs w:val="24"/>
        </w:rPr>
        <w:t xml:space="preserve">10. При заполнении формы № ДУ-1 "Сведения об осуществлении деятельности по доверительному управлению инвестиционными активами" в строке "Количество договоров на управление ценными бумагами - всего" указывается общее число действующих договоров на управление ценными бумагами. Действующим договором считается договор, не расторгнутый в установленном законодательством Кыргызской Республики порядке и (или) срок действия которого не истек.</w:t>
      </w:r>
    </w:p>
    <w:p>
      <w:pPr>
        <w:spacing w:after="120"/>
        <w:ind w:firstLine="397"/>
        <w:jc w:val="left"/>
      </w:pPr>
      <w:r>
        <w:rPr>
          <w:rFonts w:ascii="Arial" w:cs="Arial" w:eastAsia="Arial" w:hAnsi="Arial"/>
          <w:sz w:val="24"/>
          <w:szCs w:val="24"/>
        </w:rPr>
        <w:t xml:space="preserve">(В редакции постановления Правительства КР от </w:t>
      </w:r>
      <w:hyperlink w:history="1" r:id="rIddooy307n3hkb4r2xwksc1">
        <w:r>
          <w:rPr>
            <w:rFonts w:ascii="Arial" w:cs="Arial" w:eastAsia="Arial" w:hAnsi="Arial"/>
            <w:color w:val="1D4ED8"/>
            <w:sz w:val="24"/>
            <w:szCs w:val="24"/>
            <w:u w:val="single"/>
          </w:rPr>
          <w:t xml:space="preserve">26 августа 2014 года № 485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При заполнении формы № ПД-4 "Показатели, характеризующие финансовое состояние организации" расчет показателей осуществляется с учетом следующих указаний:</w:t>
      </w:r>
    </w:p>
    <w:p>
      <w:pPr>
        <w:spacing w:after="120"/>
        <w:jc w:val="both"/>
      </w:pPr>
      <w:r>
        <w:rPr>
          <w:rFonts w:ascii="Arial" w:cs="Arial" w:eastAsia="Arial" w:hAnsi="Arial"/>
          <w:sz w:val="24"/>
          <w:szCs w:val="24"/>
        </w:rPr>
        <w:t xml:space="preserve">а) собственный капитал (К1) рассчитывается на отчетную дату в следующем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К1 = Стоимость активов -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Собственный капитал состоит из:</w:t>
      </w:r>
    </w:p>
    <w:p>
      <w:pPr>
        <w:spacing w:after="120"/>
        <w:jc w:val="both"/>
      </w:pPr>
      <w:r>
        <w:rPr>
          <w:rFonts w:ascii="Arial" w:cs="Arial" w:eastAsia="Arial" w:hAnsi="Arial"/>
          <w:sz w:val="24"/>
          <w:szCs w:val="24"/>
        </w:rPr>
        <w:t xml:space="preserve">- полностью оплаченного уставного капитала;</w:t>
      </w:r>
    </w:p>
    <w:p>
      <w:pPr>
        <w:spacing w:after="120"/>
        <w:jc w:val="both"/>
      </w:pPr>
      <w:r>
        <w:rPr>
          <w:rFonts w:ascii="Arial" w:cs="Arial" w:eastAsia="Arial" w:hAnsi="Arial"/>
          <w:sz w:val="24"/>
          <w:szCs w:val="24"/>
        </w:rPr>
        <w:t xml:space="preserve">- дополнительного оплаченного капитала;</w:t>
      </w:r>
    </w:p>
    <w:p>
      <w:pPr>
        <w:spacing w:after="120"/>
        <w:jc w:val="both"/>
      </w:pPr>
      <w:r>
        <w:rPr>
          <w:rFonts w:ascii="Arial" w:cs="Arial" w:eastAsia="Arial" w:hAnsi="Arial"/>
          <w:sz w:val="24"/>
          <w:szCs w:val="24"/>
        </w:rPr>
        <w:t xml:space="preserve">- нераспределенной прибыли;</w:t>
      </w:r>
    </w:p>
    <w:p>
      <w:pPr>
        <w:spacing w:after="120"/>
        <w:jc w:val="both"/>
      </w:pPr>
      <w:r>
        <w:rPr>
          <w:rFonts w:ascii="Arial" w:cs="Arial" w:eastAsia="Arial" w:hAnsi="Arial"/>
          <w:sz w:val="24"/>
          <w:szCs w:val="24"/>
        </w:rPr>
        <w:t xml:space="preserve">- резервного капитала;</w:t>
      </w:r>
    </w:p>
    <w:p>
      <w:pPr>
        <w:spacing w:after="120"/>
        <w:jc w:val="both"/>
      </w:pPr>
      <w:r>
        <w:rPr>
          <w:rFonts w:ascii="Arial" w:cs="Arial" w:eastAsia="Arial" w:hAnsi="Arial"/>
          <w:sz w:val="24"/>
          <w:szCs w:val="24"/>
        </w:rPr>
        <w:t xml:space="preserve">- добавочного капитала;</w:t>
      </w:r>
    </w:p>
    <w:p>
      <w:pPr>
        <w:spacing w:after="120"/>
        <w:jc w:val="both"/>
      </w:pPr>
      <w:r>
        <w:rPr>
          <w:rFonts w:ascii="Arial" w:cs="Arial" w:eastAsia="Arial" w:hAnsi="Arial"/>
          <w:sz w:val="24"/>
          <w:szCs w:val="24"/>
        </w:rPr>
        <w:t xml:space="preserve">б) показатель, характеризующий отношение привлеченных средств к собственному капиталу организации (К2), рассчитывается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Привлеченные средства</w:t>
      </w:r>
    </w:p>
    <w:p>
      <w:pPr>
        <w:spacing w:after="120"/>
        <w:jc w:val="both"/>
      </w:pPr>
      <w:r>
        <w:rPr>
          <w:rFonts w:ascii="Arial" w:cs="Arial" w:eastAsia="Arial" w:hAnsi="Arial"/>
          <w:sz w:val="24"/>
          <w:szCs w:val="24"/>
        </w:rPr>
        <w:t xml:space="preserve">К2 = ---------------------</w:t>
      </w:r>
    </w:p>
    <w:p>
      <w:pPr>
        <w:spacing w:after="120"/>
        <w:jc w:val="both"/>
      </w:pPr>
      <w:r>
        <w:rPr>
          <w:rFonts w:ascii="Arial" w:cs="Arial" w:eastAsia="Arial" w:hAnsi="Arial"/>
          <w:sz w:val="24"/>
          <w:szCs w:val="24"/>
        </w:rPr>
        <w:t xml:space="preserve">Собственный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расчет привлеченных средств производится путем суммирования V раздела баланса и следующих статей VI раздела баланса:</w:t>
      </w:r>
    </w:p>
    <w:p>
      <w:pPr>
        <w:spacing w:after="120"/>
        <w:jc w:val="both"/>
      </w:pPr>
      <w:r>
        <w:rPr>
          <w:rFonts w:ascii="Arial" w:cs="Arial" w:eastAsia="Arial" w:hAnsi="Arial"/>
          <w:sz w:val="24"/>
          <w:szCs w:val="24"/>
        </w:rPr>
        <w:t xml:space="preserve">заемные средства;</w:t>
      </w:r>
    </w:p>
    <w:p>
      <w:pPr>
        <w:spacing w:after="120"/>
        <w:jc w:val="both"/>
      </w:pPr>
      <w:r>
        <w:rPr>
          <w:rFonts w:ascii="Arial" w:cs="Arial" w:eastAsia="Arial" w:hAnsi="Arial"/>
          <w:sz w:val="24"/>
          <w:szCs w:val="24"/>
        </w:rPr>
        <w:t xml:space="preserve">кредиторская задолженность;</w:t>
      </w:r>
    </w:p>
    <w:p>
      <w:pPr>
        <w:spacing w:after="120"/>
        <w:jc w:val="both"/>
      </w:pPr>
      <w:r>
        <w:rPr>
          <w:rFonts w:ascii="Arial" w:cs="Arial" w:eastAsia="Arial" w:hAnsi="Arial"/>
          <w:sz w:val="24"/>
          <w:szCs w:val="24"/>
        </w:rPr>
        <w:t xml:space="preserve">расчеты по дивидендам;</w:t>
      </w:r>
    </w:p>
    <w:p>
      <w:pPr>
        <w:spacing w:after="120"/>
        <w:jc w:val="both"/>
      </w:pPr>
      <w:r>
        <w:rPr>
          <w:rFonts w:ascii="Arial" w:cs="Arial" w:eastAsia="Arial" w:hAnsi="Arial"/>
          <w:sz w:val="24"/>
          <w:szCs w:val="24"/>
        </w:rPr>
        <w:t xml:space="preserve">прочие краткосрочные пассивы;</w:t>
      </w:r>
    </w:p>
    <w:p>
      <w:pPr>
        <w:spacing w:after="120"/>
        <w:jc w:val="both"/>
      </w:pPr>
      <w:r>
        <w:rPr>
          <w:rFonts w:ascii="Arial" w:cs="Arial" w:eastAsia="Arial" w:hAnsi="Arial"/>
          <w:sz w:val="24"/>
          <w:szCs w:val="24"/>
        </w:rPr>
        <w:t xml:space="preserve">в) показатель, характеризующий эффективность деятельности организации (К3), рассчитывается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Прибыль (убыток) отчетного года</w:t>
      </w:r>
    </w:p>
    <w:p>
      <w:pPr>
        <w:spacing w:after="120"/>
        <w:jc w:val="both"/>
      </w:pPr>
      <w:r>
        <w:rPr>
          <w:rFonts w:ascii="Arial" w:cs="Arial" w:eastAsia="Arial" w:hAnsi="Arial"/>
          <w:sz w:val="24"/>
          <w:szCs w:val="24"/>
        </w:rPr>
        <w:t xml:space="preserve">К3 = -------------------------------</w:t>
      </w:r>
    </w:p>
    <w:p>
      <w:pPr>
        <w:spacing w:after="120"/>
        <w:jc w:val="both"/>
      </w:pPr>
      <w:r>
        <w:rPr>
          <w:rFonts w:ascii="Arial" w:cs="Arial" w:eastAsia="Arial" w:hAnsi="Arial"/>
          <w:sz w:val="24"/>
          <w:szCs w:val="24"/>
        </w:rPr>
        <w:t xml:space="preserve">Собственный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показатель, характеризующий коэффициент текущей ликвидности организации (К4), рассчитывается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Кассовая наличность + денежные средства на расчетных счетах +</w:t>
      </w:r>
    </w:p>
    <w:p>
      <w:pPr>
        <w:spacing w:after="120"/>
        <w:jc w:val="both"/>
      </w:pPr>
      <w:r>
        <w:rPr>
          <w:rFonts w:ascii="Arial" w:cs="Arial" w:eastAsia="Arial" w:hAnsi="Arial"/>
          <w:sz w:val="24"/>
          <w:szCs w:val="24"/>
        </w:rPr>
        <w:t xml:space="preserve">+ депозиты + государственные ценные бумаги</w:t>
      </w:r>
    </w:p>
    <w:p>
      <w:pPr>
        <w:spacing w:after="120"/>
        <w:jc w:val="both"/>
      </w:pPr>
      <w:r>
        <w:rPr>
          <w:rFonts w:ascii="Arial" w:cs="Arial" w:eastAsia="Arial" w:hAnsi="Arial"/>
          <w:sz w:val="24"/>
          <w:szCs w:val="24"/>
        </w:rPr>
        <w:t xml:space="preserve">К4 = -------------------------------------------------------------</w:t>
      </w:r>
    </w:p>
    <w:p>
      <w:pPr>
        <w:spacing w:after="120"/>
        <w:jc w:val="both"/>
      </w:pPr>
      <w:r>
        <w:rPr>
          <w:rFonts w:ascii="Arial" w:cs="Arial" w:eastAsia="Arial" w:hAnsi="Arial"/>
          <w:sz w:val="24"/>
          <w:szCs w:val="24"/>
        </w:rPr>
        <w:t xml:space="preserve">Кредиторская задолженность</w:t>
      </w:r>
    </w:p>
    <w:p>
      <w:pPr>
        <w:spacing w:after="120"/>
        <w:jc w:val="both"/>
      </w:pPr>
      <w:r>
        <w:rPr>
          <w:rFonts w:ascii="Arial" w:cs="Arial" w:eastAsia="Arial" w:hAnsi="Arial"/>
          <w:sz w:val="24"/>
          <w:szCs w:val="24"/>
        </w:rPr>
        <w:t xml:space="preserve">(Задолженность по расчетам с бюджетом + задолженность по</w:t>
      </w:r>
    </w:p>
    <w:p>
      <w:pPr>
        <w:spacing w:after="120"/>
        <w:jc w:val="both"/>
      </w:pPr>
      <w:r>
        <w:rPr>
          <w:rFonts w:ascii="Arial" w:cs="Arial" w:eastAsia="Arial" w:hAnsi="Arial"/>
          <w:sz w:val="24"/>
          <w:szCs w:val="24"/>
        </w:rPr>
        <w:t xml:space="preserve">оплате труда + задолженность по расчетам по социальному</w:t>
      </w:r>
    </w:p>
    <w:p>
      <w:pPr>
        <w:spacing w:after="120"/>
        <w:jc w:val="both"/>
      </w:pPr>
      <w:r>
        <w:rPr>
          <w:rFonts w:ascii="Arial" w:cs="Arial" w:eastAsia="Arial" w:hAnsi="Arial"/>
          <w:sz w:val="24"/>
          <w:szCs w:val="24"/>
        </w:rPr>
        <w:t xml:space="preserve">страхованию + задолженность по прочим кредиторам)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l_vpbwk-zkld760mha5v" Type="http://schemas.openxmlformats.org/officeDocument/2006/relationships/hyperlink" Target="http://kodeks.duckdns.org/document/12633" TargetMode="External"/><Relationship Id="rIdc1g11odsolzaw4i7n_atr" Type="http://schemas.openxmlformats.org/officeDocument/2006/relationships/hyperlink" Target="http://kodeks.duckdns.org/document/95109" TargetMode="External"/><Relationship Id="rIdqjivnoe6hc2fczlhxatrm" Type="http://schemas.openxmlformats.org/officeDocument/2006/relationships/hyperlink" Target="http://kodeks.duckdns.org/document/96941" TargetMode="External"/><Relationship Id="rIdfh8ciau29v7ryy2vwtaag" Type="http://schemas.openxmlformats.org/officeDocument/2006/relationships/hyperlink" Target="http://kodeks.duckdns.org/document/99796" TargetMode="External"/><Relationship Id="rIde1qoxsx32ne80vbzoe2vh" Type="http://schemas.openxmlformats.org/officeDocument/2006/relationships/hyperlink" Target="http://kodeks.duckdns.org/document/98965" TargetMode="External"/><Relationship Id="rIdphrihnmam9g06vzuco5jx" Type="http://schemas.openxmlformats.org/officeDocument/2006/relationships/hyperlink" Target="http://kodeks.duckdns.org/document/96941" TargetMode="External"/><Relationship Id="rIde1f1k2y_7shyg9g274cxc" Type="http://schemas.openxmlformats.org/officeDocument/2006/relationships/hyperlink" Target="http://kodeks.duckdns.org/document/99796" TargetMode="External"/><Relationship Id="rIdupi60hel7dbt2tn2zhjoi" Type="http://schemas.openxmlformats.org/officeDocument/2006/relationships/hyperlink" Target="http://kodeks.duckdns.org/document/96941" TargetMode="External"/><Relationship Id="rIdrc-x4tynklmqrvzgixxie" Type="http://schemas.openxmlformats.org/officeDocument/2006/relationships/hyperlink" Target="http://kodeks.duckdns.org/document/99796" TargetMode="External"/><Relationship Id="rIdukipny_grgphseiedqczn" Type="http://schemas.openxmlformats.org/officeDocument/2006/relationships/hyperlink" Target="http://kodeks.duckdns.org/document/95189#&#1088;1" TargetMode="External"/><Relationship Id="rIdoxtekbqrfwtgvvjxyw1vm" Type="http://schemas.openxmlformats.org/officeDocument/2006/relationships/hyperlink" Target="http://kodeks.duckdns.org/document/95189#&#1088;2" TargetMode="External"/><Relationship Id="rIdak1i_3xtj0aieuwxslxa5" Type="http://schemas.openxmlformats.org/officeDocument/2006/relationships/hyperlink" Target="http://kodeks.duckdns.org/document/95189#&#1088;11" TargetMode="External"/><Relationship Id="rIdsujyivku8qtksxpwahnwj" Type="http://schemas.openxmlformats.org/officeDocument/2006/relationships/hyperlink" Target="http://kodeks.duckdns.org/document/96941" TargetMode="External"/><Relationship Id="rIda68vhwvsbph3th4gd_ldd" Type="http://schemas.openxmlformats.org/officeDocument/2006/relationships/hyperlink" Target="http://kodeks.duckdns.org/document/99796" TargetMode="External"/><Relationship Id="rIdatxzsfhh0ygfouqrehfdy" Type="http://schemas.openxmlformats.org/officeDocument/2006/relationships/hyperlink" Target="http://kodeks.duckdns.org/document/95189#&#1088;13" TargetMode="External"/><Relationship Id="rIdibu6z60-u7gxgah--jrf_" Type="http://schemas.openxmlformats.org/officeDocument/2006/relationships/hyperlink" Target="http://kodeks.duckdns.org/document/98965" TargetMode="External"/><Relationship Id="rIdtirg9tnkge4fi4tm7kuix" Type="http://schemas.openxmlformats.org/officeDocument/2006/relationships/hyperlink" Target="http://kodeks.duckdns.org/document/96941" TargetMode="External"/><Relationship Id="rIdjvbhmfavwflxynww0j4ik" Type="http://schemas.openxmlformats.org/officeDocument/2006/relationships/hyperlink" Target="http://kodeks.duckdns.org/document/99796" TargetMode="External"/><Relationship Id="rIddooy307n3hkb4r2xwksc1" Type="http://schemas.openxmlformats.org/officeDocument/2006/relationships/hyperlink" Target="http://kodeks.duckdns.org/document/96941" TargetMode="External"/><Relationship Id="rId7" Type="http://schemas.openxmlformats.org/officeDocument/2006/relationships/image" Target="media/93bec1c1538034512fe33c1434ae0ea86b639d33.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2026-09-23T13:49:48.488Z</dcterms:created>
  <dcterms:modified xsi:type="dcterms:W3CDTF">2026-09-23T13:49:48.488Z</dcterms:modified>
</cp:coreProperties>
</file>

<file path=docProps/custom.xml><?xml version="1.0" encoding="utf-8"?>
<Properties xmlns="http://schemas.openxmlformats.org/officeDocument/2006/custom-properties" xmlns:vt="http://schemas.openxmlformats.org/officeDocument/2006/docPropsVTypes"/>
</file>