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некоторых мерах по решению вопросов, связанных с обустройством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В целях реализации мероприятий по строительству и техническому обустройству инфраструктуры пунктов пропуска через государственную границу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Местным государственным администрациям и органам местного самоуправления предоставить в установленном порядке Государственному комитету национальной безопасности Кыргызской Республики, Государственной таможенной службе при Правительстве Кыргызской Республики земельные участки для развития инфраструктуры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2. Освободить Государственный комитет национальной безопасности Кыргызской Республики, Государственную таможенную службу при Правительстве Кыргызской Республики и подрядные организации, задействованные в реализации мероприятий по строительству (реконструкции)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от возмещения потерь сельскохозяйственного производства и убытков, связанных с отводом земель для реализации проектов по обустройству пунктов пропуска;</w:t>
      </w:r>
    </w:p>
    <w:p>
      <w:pPr>
        <w:spacing w:after="120"/>
        <w:jc w:val="both"/>
      </w:pPr>
      <w:r>
        <w:rPr>
          <w:rFonts w:ascii="Arial" w:cs="Arial" w:eastAsia="Arial" w:hAnsi="Arial"/>
          <w:sz w:val="24"/>
          <w:szCs w:val="24"/>
        </w:rPr>
        <w:t xml:space="preserve">- от возмещения ущерба за вырубку деревьев и кустарников, расположенных на полосе отвода проектных участков под пункты пропуска, при условии озеленения отводимой территории;</w:t>
      </w:r>
    </w:p>
    <w:p>
      <w:pPr>
        <w:spacing w:after="120"/>
        <w:jc w:val="both"/>
      </w:pPr>
      <w:r>
        <w:rPr>
          <w:rFonts w:ascii="Arial" w:cs="Arial" w:eastAsia="Arial" w:hAnsi="Arial"/>
          <w:sz w:val="24"/>
          <w:szCs w:val="24"/>
        </w:rPr>
        <w:t xml:space="preserve">- от оплаты за проведение государственной и иных видов экспертизы проектов строительства (реконструкции)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от оплаты за осуществление государственного контроля за ходом строительных работ.</w:t>
      </w:r>
    </w:p>
    <w:p>
      <w:pPr>
        <w:spacing w:after="120"/>
        <w:jc w:val="both"/>
      </w:pPr>
      <w:r>
        <w:rPr>
          <w:rFonts w:ascii="Arial" w:cs="Arial" w:eastAsia="Arial" w:hAnsi="Arial"/>
          <w:sz w:val="24"/>
          <w:szCs w:val="24"/>
        </w:rPr>
        <w:t xml:space="preserve">3. Министерству транспорта и коммуникаций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Государственной таможенной службе при Правительстве Кыргызской Республики, Государственной регистрационной службе при Правительстве Кыргызской Республики, Государственному агентству архитектуры и строительства при Правительстве Кыргызской Республики,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в месячный срок проверить правомерность предоставления земельных участков для сооружения торговых павильонов и иных помещений вдоль автомобильных дорог международного и государственного значения в пределах земельных участков, отводимых для проектирования и строительства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в случае выявления нарушений при предоставлении земельных участков местным государственным администрациям и органам самоуправления в установленном порядке привести ранее принятые решения в соответствие с законодательством Кыргызской Республики.</w:t>
      </w:r>
    </w:p>
    <w:p>
      <w:pPr>
        <w:spacing w:after="120"/>
        <w:jc w:val="both"/>
      </w:pPr>
      <w:r>
        <w:rPr>
          <w:rFonts w:ascii="Arial" w:cs="Arial" w:eastAsia="Arial" w:hAnsi="Arial"/>
          <w:sz w:val="24"/>
          <w:szCs w:val="24"/>
        </w:rPr>
        <w:t xml:space="preserve">4. Местным государственным администрациям образовать рабочие группы из представителей государственных органов для координации работы с пограничными и таможенными органами Кыргызской Республики по вопросам обустройства пунктов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стратегического развития, отдел по обеспечению безопасности, правопорядка и обороноспособности и отдел строительства, транспорта,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mjryutqxztdcyfho7lq">
      <w:r>
        <w:rPr>
          <w:rFonts w:ascii="Arial" w:cs="Arial" w:eastAsia="Arial" w:hAnsi="Arial"/>
          <w:color w:val="132D3F"/>
          <w:sz w:val="16"/>
          <w:szCs w:val="16"/>
          <w:u w:val="single"/>
        </w:rPr>
        <w:t xml:space="preserve">dalil.kg/document/95414</w:t>
      </w:r>
    </w:hyperlink>
  </w:p>
  <w:p>
    <w:pPr>
      <w:spacing w:after="0" w:before="40"/>
      <w:jc w:val="center"/>
    </w:pPr>
    <w:hyperlink w:history="1" r:id="rIdh0jisaxcvsfswecblku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mjryutqxztdcyfho7lq" Type="http://schemas.openxmlformats.org/officeDocument/2006/relationships/hyperlink" Target="https://dalil.kg/document/95414" TargetMode="External"/><Relationship Id="rIdh0jisaxcvsfswecblku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2026-09-24T15:35:47.787Z</dcterms:created>
  <dcterms:modified xsi:type="dcterms:W3CDTF">2026-09-24T15:35:47.787Z</dcterms:modified>
</cp:coreProperties>
</file>

<file path=docProps/custom.xml><?xml version="1.0" encoding="utf-8"?>
<Properties xmlns="http://schemas.openxmlformats.org/officeDocument/2006/custom-properties" xmlns:vt="http://schemas.openxmlformats.org/officeDocument/2006/docPropsVTypes"/>
</file>