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ИМЕНЕМ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по делу о проверке конституционности части 2 статьи 259 Уголовно-процессуального кодекса Кыргызской Республики в связи с обращением гражданина Острикова Виталия Николаевича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 февраля 2014 года 15-р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– судьи Касымалиева М.Ш., судей – Айдарбековой Ч.А., Бобукеевой М.Р., Макешова Дж.М., Мамырова Э.Т., Нарынбековой А.О., Осконбаева Э.Ж., Осмоновой Ч.О., Сооронкуловой К.С., при секретаре Толобалдиеве М.Э., с участием: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обращающейся стороны – Острикова В.Н.,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стороны-ответчика – Садыкова К.Р., представителя Жогорку Кенеша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иных лиц – Усмановой Л.Ю., Шукурбекова А.Ш., представителей Генеральной прокуратуры Кыргызской Республики по доверенности,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частями 1, 6, 8, 9, 10 статьи 97 </w:t>
      </w:r>
      <w:hyperlink w:history="1" r:id="rIdjsojpg_kdyhquxb6mly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статьями 4, 18, 19, 37, 42 </w:t>
      </w:r>
      <w:hyperlink w:history="1" r:id="rIdyjli5xi_l3s1iolw0be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рассмотрела в открытом судебном заседании дело о проверке конституционности части 2 статьи 259 </w:t>
      </w:r>
      <w:hyperlink w:history="1" r:id="rIdznl32nwxgengbbi0jql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– УПК).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Поводом к рассмотрению дела явилось ходатайство гражданина Острикова В.Н. Основанием к рассмотрению ходатайства явилась обнаружившаяся неопределенность в вопросе о том, соответствует ли</w:t>
      </w:r>
      <w:hyperlink w:history="1" r:id="rIdnf885uvv3czx2z5xiqm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оспариваемая норма </w:t>
      </w:r>
      <w:hyperlink w:history="1" r:id="rIdpy7giewjb_n0tph12cg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информацию судьи-докладчика Макешова Дж.М., проводившего подготовку дела к судебному заседанию, и исследовав представленные материалы,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(далее – Конституционная палата) 19 ноября 2013 года поступило ходатайство гражданина Острикова В.Н. о признании части 2 статьи 259 </w:t>
      </w:r>
      <w:hyperlink w:history="1" r:id="rIdyrotobz2guei3czp5yi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части 3, пункту 8 части 5 статьи 20, частям 1 и 2 статьи 40 </w:t>
      </w:r>
      <w:hyperlink w:history="1" r:id="rId8pzb0csx6bzxccc_hgn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следует, что гражданин Остриков В.Н. считает, что часть 2 статьи 259 </w:t>
      </w:r>
      <w:hyperlink w:history="1" r:id="rIdyoofxqdvu8sgov8q2vs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допуская судебное разбирательство уголовного дела при отсутствии подсудимого, ущемляет гарантированное </w:t>
      </w:r>
      <w:hyperlink w:history="1" r:id="rId15cs_3whnak-oqyu4yl-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(часть 1 статьи 40) и не подлежащее никакому ограничению право человека и гражданина на судебную защиту (пункт 8 части 5 статьи 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Острикова В.Н., судебное разбирательство уголовного дела в отсутствии подсудимого лишает его возможности определения способов своей защиты, лишает его права выбора защитника, а соответственно и права выбора стратегии защиты, юридических консультаций и прочих составляющих юридической помощи, а также права на самозащиту, гарантированных частями 2 и 3 статьи 40 </w:t>
      </w:r>
      <w:hyperlink w:history="1" r:id="rId1z3cgcggpbkdzwfe6br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Более того, заявитель уверен, что оспариваемая норма нарушает принцип состязательности сторон уголовного процесса, поскольку допускает рассмотрение дела в отсутствие подсудимого, лишая его возможности реализовать свои процессуальные права, что очевидно является нарушением закрепленного частью 3 статьи 99 </w:t>
      </w:r>
      <w:hyperlink w:history="1" r:id="rIdnx6yfj4jyzstsv9dzqk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принципа состязательности и равноправия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Остриков В.Н. утверждает, что заочное разбирательство уголовного дела, регулируемое частью 2 статьи 259 </w:t>
      </w:r>
      <w:hyperlink w:history="1" r:id="rIda7ncmsbpvtoplhzdeex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представляет собой несоразмерное общезначимым конституционным целям ограничение прав и свобод человека и является противоречащим части 3 статьи 20 </w:t>
      </w:r>
      <w:hyperlink w:history="1" r:id="rIdzn06tyds2idc-zg4bwj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вышеизложенных доводов, Остриков В.Н. просит признать часть 2 статьи 259 </w:t>
      </w:r>
      <w:hyperlink w:history="1" r:id="rIdxeocndqjacq224alohd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противоречащей части 3, пункту 8 части 5 статьи 20, а также частям 1 и 2 статьи 40 </w:t>
      </w:r>
      <w:hyperlink w:history="1" r:id="rIdlcwza0j6hypgkjlhczd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судебном заседании Остриков В.Н. поддержал заявленные в ходатайстве требования и просил их удовлетворить.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Жогорку Кенеша Садыков К.Р. не согласился с доводами обращающейся стороны и считает, что заочное судебное разбирательство уголовных дел полностью созвучно с принципом неотвратимости ответственности за совершенное преступление и не нарушает общие принципы уголовного судопроизводства и гарантированное </w:t>
      </w:r>
      <w:hyperlink w:history="1" r:id="rIdirgnukdzys_beqzmrld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право на судебную защиту и квалифицированную юридическую помощь, в связи с этим просит в удовлетворении ходатайства отказать.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палата, исследовав материалы дела и выслушав доводы сторон, выступления иных лиц, приходит к следующим выводам: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частью 4 статьи 19 </w:t>
      </w:r>
      <w:hyperlink w:history="1" r:id="rId4jponblgocvwevhcfh-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Конституционная палата выносит акт по предмету, затронутому в обращении, лишь в отношении той части нормативного правового акта, конституционность которого подвергается сомнению.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предметом рассмотрения Конституционной палаты по данному делу является часть 2 статьи 259 </w:t>
      </w:r>
      <w:hyperlink w:history="1" r:id="rIdo4qmm5gtzrfys3ata1x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259. Участие подсудимого в судебном разбирательстве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Разбирательство дела в отсутствие подсудимого допускается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подсудимый находится вне пределов Кыргызской Республики и уклоняется от явки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подсудимый после повторного вызова не явится в судебное заседание и не уведомит суд о причине неявки».</w:t>
      </w:r>
    </w:p>
    <w:p>
      <w:pPr>
        <w:spacing w:after="120"/>
        <w:jc w:val="both"/>
      </w:pPr>
      <w:hyperlink w:history="1" r:id="rIdjmxfzu42plad6fs-rn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30 июня 1999 года № 62, введен в действие </w:t>
      </w:r>
      <w:hyperlink w:history="1" r:id="rIdufpkm8ktwttv1h4dpb9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«О введении в действие Уголовно-процессуального кодекса Кыргызской Республики» от 30 июня 1999 года № 63, опубликован в газете "Эркин-Тоо" от 21 июля 1999 года N 59-60-61-62, принят в порядке, установленном законодательством, и является действующим.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2 статьи 99 </w:t>
      </w:r>
      <w:hyperlink w:history="1" r:id="rIdbdgbydz-w0pd_2k5o7l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устанавливает, что заочное разбирательство уголовных дел не допускается, кроме случаев установленных законом. Из смысла вышеуказанного конституционного положения вытекает, что по общему правилу судебное разбирательство должно проводиться с обязательным участием подсудимого, имеющего, таким образом, возможность защищаться от предъявленного обвинения. Участие подсудимого в судебном разбирательстве в полной мере обеспечивает осуществление принципов уголовного судопроизводства, является необходимой гарантией реализации права на справедливое судебное разбирательство и рассмотрение уголовного дела в разумный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часть 2 статьи 99 </w:t>
      </w:r>
      <w:hyperlink w:history="1" r:id="rIdeiwndbicedo-le9gkcw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уполномочила законодателя решить вопрос о необходимых исключениях из запрета заочного рассмотрения уголовных дел. Законодательным развитием рассматриваемой нормы является оспариваемая на предмет конституционности часть 2 статьи 259 </w:t>
      </w:r>
      <w:hyperlink w:history="1" r:id="rIdvx0vunighklxnmxtebz6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УПК,</w:t>
        </w:r>
      </w:hyperlink>
      <w:r>
        <w:rPr>
          <w:rFonts w:ascii="Arial" w:cs="Arial" w:eastAsia="Arial" w:hAnsi="Arial"/>
          <w:sz w:val="24"/>
          <w:szCs w:val="24"/>
        </w:rPr>
        <w:t xml:space="preserve"> допускающая заочное рассмотрение уголовных дел в суде первой инстанции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подсудимый находится вне пределов Кыргызской Республики и уклоняется от явки в суд;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подсудимый после повторного вызова не явится в судебное заседание и не уведомит суд о причине неявки.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d статьи 14 Международного пакта о гражданских и политических правах (далее - Пакта), каждый обвиняемый в совершении уголовного преступления имеет право быть судимым в его присутствии.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норма Пакта нашла свое дальнейшее развитие в Замечаниях общего порядка № 32 CCPR/C/GC/32 от 23 августа 2007 года Комитета по правам человека ООН, где указывается, что «судебные разбирательства в отсутствие обвиняемых могут быть при некоторых обстоятельствах допустимыми в интересах надлежащего отправления правосудия, например в тех случаях, когда обвиняемые, хотя и уведомленные о судебном разбирательстве достаточно заблаговременно, отказываются осуществлять свое право быть судимыми в их присутствии». Комитет по правам человека ООН – организация, занимающаяся надзором за исполнением Пакта, которая наделена правом давать рекомендации по исполнению положений Пакта.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Решении Комитета по правам человека в соответствии с Факультативным протоколом к Международному пакту о гражданских и политических правах относительно сообщения № 1173/2003 от 27 июля 2007 года (по делу Али Бенхаджа) установлено, что «гарантии, изложенные в статье 14, не могут толковаться как обязательно исключающие судебные постановления, выносимые в отсутствие обвиняемого, каковыми бы ни были причины отсутствия обвиняемого. Действительно, приговоры, вынесенные заочно, являются при некоторых обстоятельствах (например, в тех случаях, когда обвиняемый, который был информирован о рассмотрении его дела заблаговременно, отказывается присутствовать на заседании) приемлемыми в интересах правосудия». Рассматривая вышеуказанное дело, Комитет пришел к выводу, что рассмотрение дела в отсутствие подсудимого не является нарушением статьи 14 Пакта.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часть 2 статьи 99 </w:t>
      </w:r>
      <w:hyperlink w:history="1" r:id="rIdrn_srelyqxnuqbmxwlq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принятые на ее основании законоположения (часть 2 статьи 259 </w:t>
      </w:r>
      <w:hyperlink w:history="1" r:id="rId6f0bpz0ib-8lyn7so6f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), устанавливающие возможность проведения судебного разбирательства в отсутствии подсудимого согласуются с общезначимыми международными стандартами в области прав человека и отправления правосудия.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частью 1 статьи 40 </w:t>
      </w:r>
      <w:hyperlink w:history="1" r:id="rIdg1xiilbmjrhh-o2cj6_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каждому гарантируется судебная защита его прав и свобод. Из этой конституционной нормы и корреспондирующих ей положений международно-правовых актов, в частности статей 8 и 29 Всеобщей декларации прав человека, а также статей 2 (пункт 2 и подпункт "а" пункта 3) и 14 (пункт 1) Пакта следует, что государство обязано обеспечить осуществление права на судебную защиту, которая должна быть справедливой, компетентной, полной и эффективной.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предполагает наличие гарантий, которые позволяли бы реализовать его в полном объеме и обеспечить эффективное восстановление в правах посредством правосудия, отвечающего требованиям справедливости. Это вытекает из предписания статьи 10 Всеобщей декларации прав человека, согласно которой каждый человек для определения его прав и обязанностей и для установления обоснованности предъявленного ему уголовного обвинения имеет право на то, чтобы его дело было рассмотрено с соблюдением всех требований справедливости независимым и беспристрастным судом, т.е. при предоставлении процессуальных гарантий справедливого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таких гарантий является закрепленное в части 3 статьи 99 </w:t>
      </w:r>
      <w:hyperlink w:history="1" r:id="rIdrsfn38tov0fc5pd53df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положение об осуществлении судопроизводства на основе состязательности и равноправия сторон, исходное из основополагающего конституционного принципа равенства всех перед законом и судом (часть 3 статьи 16 </w:t>
      </w:r>
      <w:hyperlink w:history="1" r:id="rIdwyfjszcy71vj4sxs-0l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Конституционное положение о состязательности и равноправии сторон находит развитие в соответствующих нормах уголовно-процессуального законодательства. Так, статья 18 </w:t>
      </w:r>
      <w:hyperlink w:history="1" r:id="rIdbybwamobfingeud0d7i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гласит, что уголовное судопроизводство осуществляется на основе состязательности и равноправия сторон обвинения и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равных прав участникам судебного разбирательства, стоящим на противоположных процессуальных позициях, являющихся сторонами в процессе, позволяет им вести равный спор, обеспечивает их равные правовые возможности и, следовательно, действительную состязательность в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правило о недопустимости заочного судебного разбирательства (без учета правомерных изъятий), безусловно, связано с соблюдением принципа состязательности и равенства сторон в судопроизводстве, так как участие подсудимого в судебном разбирательстве в полной мере обеспечивает его осуществление.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Законодатель, устанавливая, что заочное рассмотрение уголовного дела судом первой инстанции допускается в случаях, когда подсудимый находится вне пределов Кыргызской Республики и уклоняется от явки в суд, а также в случае, если подсудимый после повторного вызова не явится в судебное заседание и не уведомит суд о причине неявки, в качестве единственного критерия дифференциации данной процедуры рассматривает уклонение подсудимого от личного участия в судебном заседании. Тем самым законодатель признает важность участия подсудимого в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Уголовно-процессуальные нормы, регулирующие вопросы, касающиеся участия подсудимого в судебном разбирательстве уголовных дел, имеют существенное значение для всего уголовно-процессуального права. Обусловлено это тем, что данные нормы обеспечивают, прежде всего, право подсудимого на защиту посредством его личного участия в судебном заседании, и тем самым создаются необходимые условия для наиболее полного исследования доказательств в суде и реализации общих принципов уголовного процесса.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41 </w:t>
      </w:r>
      <w:hyperlink w:history="1" r:id="rIdb9f9ebjo17cwyduwuj-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подсудимый имеет право участвовать в судебном разбирательстве дела, пользоваться всеми правами стороны, на последнее слово, обжаловать действия и решения суда. Пункт 1 части 4 этой же статьи устанавливает, что подсудимый обязан являться в суд по вызову, аналогичная обязанность установлена частью 1 статьи 259 </w:t>
      </w:r>
      <w:hyperlink w:history="1" r:id="rIdlybfmdm5wf0ut4wrjdf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«разбирательство дела в суде первой инстанции проводится с участием подсудимого, явка которого обязательна». Следовательно, участие в судебном разбирательстве дела является одновременно правом и обязанностью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требованиями части 3 статьи 259 </w:t>
      </w:r>
      <w:hyperlink w:history="1" r:id="rIdi-uflfbv5idk-hzmedz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 </w:t>
        </w:r>
      </w:hyperlink>
      <w:r>
        <w:rPr>
          <w:rFonts w:ascii="Arial" w:cs="Arial" w:eastAsia="Arial" w:hAnsi="Arial"/>
          <w:sz w:val="24"/>
          <w:szCs w:val="24"/>
        </w:rPr>
        <w:t xml:space="preserve">при неявке подсудимого дело должно быть отложено. В целях обеспечения участия подсудимого в судебном разбирательстве суд вправе обязать обвинителя обеспечить явку подсудимого. Суд вправе подвергнуть не явившегося подсудимого приводу (часть 1 статьи 117 </w:t>
      </w:r>
      <w:hyperlink w:history="1" r:id="rId5jxdukkqko2cfg6__69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), избрать в отношении него меру пресечения или изменить ее на более строгую (часть 1 статьи 102). Указанные меры процессуального принуждения применяются в случаях действительной необходимости, когда установлено, что подсудимый уклоняется от явки в суд. Тем самым, уголовно-процессуальное законодательство предписывает принять все необходимые меры для обеспечения надлежащего поведения подсудимого и создания условий, необходимых для полноценного судебного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подтверждении фактов уклонения лица от правосудия и невозможности обеспечить явку подсудимого в судебное разбирательство дела, суд на основании части 2 статьи 259 </w:t>
      </w:r>
      <w:hyperlink w:history="1" r:id="rIdvc67lt_wy1nu7pdu7yz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вправе осуществить заочное разбирательство уголовного дела. Следует отметить, что согласно пункту 3 части 3 статьи 352 </w:t>
      </w:r>
      <w:hyperlink w:history="1" r:id="rIdsgg_relecril0rb8kuh7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приговор подлежит отмене во всяком случае, если дело рассмотрено в отсутствие подсудимого, кроме случаев, предусмотренных частью 2 статьи 259 </w:t>
      </w:r>
      <w:hyperlink w:history="1" r:id="rIdrbvgfvirbfzqgqsyc8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доводы заявителя о том, что оспариваемое законоположение нарушает принцип состязательности судопроизводства, лишает подсудимого возможности реализовать процессуальные права, являются не состоятельными, так как в каждом из случаев, предусмотренных частью 2 статьи 259 </w:t>
      </w:r>
      <w:hyperlink w:history="1" r:id="rId621brzajfzst5vw6pes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, подсудимый по собственному волеизъявлению уклоняется от правосудия и, тем самым, добровольно отказывается от реализации гарантированных ему </w:t>
      </w:r>
      <w:hyperlink w:history="1" r:id="rId14imqd5c-h5_ssbv5wk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уголовно-процессуальным законодательством прав, в первую очередь права защищать себя лично установленными законом средствами и способами (часть 1 статьи 20 </w:t>
      </w:r>
      <w:hyperlink w:history="1" r:id="rIdbazr8psloipmccpi032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Заочное судебное разбирательство не исключает принципа состязательности, поскольку в интересах отсутствующего подсудимого, в судебном заседании вправе участвовать приглашенный им защитник. Защитник также может быть приглашен с согласия или по поручению подсудимого его законными представителями, а также другими лицами (часть 1 статьи 45 </w:t>
      </w:r>
      <w:hyperlink w:history="1" r:id="rId08nglr5rtmufsoxfvl4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 Право подсудимого на участие защитника в судебном разбирательстве обеспечивается судом (часть 2 статьи 45 </w:t>
      </w:r>
      <w:hyperlink w:history="1" r:id="rIdabezffv_dxpz9d5weue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Сторону защиты в таких случаях представляет защитник - лицо, осуществляющее защиту прав и интересов подсудимого по уголовному делу и оказывающее ему юридическую помощь. В качестве защитника в судебном разбирательстве участвует адвокат. Более того, в суде в качестве защитника могут быть допущены близкие родственники, а также законные представители подсудимого (части 1, 2 статьи 44 </w:t>
      </w:r>
      <w:hyperlink w:history="1" r:id="rIdoj9hcem3akefhtkaten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защитника в судебном разбирательстве представляет собой одну из гарантий реализации конституционного положения о предоставлении каждому права на квалифицированную юридическую помощь (часть 3 статьи 40 </w:t>
      </w:r>
      <w:hyperlink w:history="1" r:id="rIdik6tpaiw511dmbb5d6r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) и принципа осуществления правосудия на основе состязательности и равенства сторон (часть 3 статьи 99 </w:t>
      </w:r>
      <w:hyperlink w:history="1" r:id="rIdxqwx1knylmduadbhfhr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 часть 1 статьи 48 </w:t>
      </w:r>
      <w:hyperlink w:history="1" r:id="rId7mjicdvfsepbheyfdsk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защитника в судебном разбирательстве преследует цель обеспечить защиту прав и законных интересов подсудимого, способствовать объективному исследованию обстоятельств дела, установлению истины. В этих целях защитник должен использовать все указанные в законе средства и способы защиты в целях выявления и представления доказательств, оправдывающих подсудимого или смягчающих его ответственность, и оказать ему необходимую юридическую помощь (часть 2 статьи 48 </w:t>
      </w:r>
      <w:hyperlink w:history="1" r:id="rIdnapavk9ikjaudpfmqc3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неявки защитника в судебное заседание вследствие отказа подсудимого от защитника (часть 1 статьи 47 </w:t>
      </w:r>
      <w:hyperlink w:history="1" r:id="rIda260eg0jac-nvjwzavy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 или когда участие избранного защитника невозможно, суд вправе назначить другого защитника, в соответствии с законодательством Кыргызской Республики (часть 4 статьи 45 </w:t>
      </w:r>
      <w:hyperlink w:history="1" r:id="rIdfd-qvy4kn6ybak6pgbq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). При замене защитника необходимо убедиться, что время, предоставленное ему в порядке части 3 статьи 206 </w:t>
      </w:r>
      <w:hyperlink w:history="1" r:id="rIdlgiqp0ftyqmqpjtxkgm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для ознакомления с материалами дела и подготовки к участию в судебном разбирательстве, является достаточным.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 самым, уголовно-процессуальное законодательство содержит все необходимые нормы, направленные на обеспечение принципа состязательности и равенства сторон и реализации гарантированного подсудимому права на судебную защиту от необоснованного и незаконного обвинения в заочном судебном разбирательстве.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Гарантии права на судебную защиту реализуются предоставлением подсудимому возможности не только лично участвовать в заседании суда, но и поручать осуществление своей защиты избранным им или назначенным судом защитникам.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Оспариваемая на конституционность часть 2 статьи 259 не препятствует исполнению защитником подсудимого процессуальных обязанностей и осуществления, предоставленных ему прав, тем самым не содержит каких-либо ограничений для реализации конституционного права на судебную защиту для подсудимого.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целом, процессуальное назначение разбирательства дела в отсутствие подсудимого предопределено обязанностью государства охранять и защищать права и законные интересы лиц, потерпевших от преступлений, обеспечить им доступ к правосудию и компенсацию причиненного преступлением ущерба. Соответственно, заочное судебное разбирательство является способом реализации принципа неотвратимости уголовной ответственности для лица, которое скрывается от суда или сознательно избегает обязанности принимать участие в рассмотрении уголовного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считает, что доводы Острикова В.Н. о противоречии части 2 статьи 259 </w:t>
      </w:r>
      <w:hyperlink w:history="1" r:id="rIdjfglxofbbf5spjikioe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УПК</w:t>
        </w:r>
      </w:hyperlink>
      <w:r>
        <w:rPr>
          <w:rFonts w:ascii="Arial" w:cs="Arial" w:eastAsia="Arial" w:hAnsi="Arial"/>
          <w:sz w:val="24"/>
          <w:szCs w:val="24"/>
        </w:rPr>
        <w:t xml:space="preserve"> части 3 статьи 20 </w:t>
      </w:r>
      <w:hyperlink w:history="1" r:id="rIdccinxqqxdrdvxxuz4ah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не состоятельны по той причине, что процедура судебного разбирательства уголовного дела в отсутствии подсудимого не может рассматриваться как ограничение его конституционных прав и свобод. Ненадлежащее поведение подсудимого, намеренно уклоняющегося от правосудия не должно служить препятствием для реализации прав лиц, потерпевших от преступления и достижения целей и задач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 и руководствуясь пунктом 1 части 6 статьи 97 </w:t>
      </w:r>
      <w:hyperlink w:history="1" r:id="rIdpfelkr0u29qrpbvoq_z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46, 47, 48, 51 и 52 </w:t>
      </w:r>
      <w:hyperlink w:history="1" r:id="rId8vwryodpb5gjiktmat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Е Ш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часть 2 статьи 259 </w:t>
      </w:r>
      <w:hyperlink w:history="1" r:id="rIdp_ptuyevukeekoa-ajl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Уголовно-процессуального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противоречащей части 3, пункту 8 части 5 статьи 20, частям 1 и 2 статьи 40 </w:t>
      </w:r>
      <w:hyperlink w:history="1" r:id="rIdbc4v9xkjnrf84tfqdgd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окончательное и обжалованию не подлежит, вступает в силу с момента провозглашения.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обязательно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решение в официальных изданиях органов государственной власти, на официальном сайте Конституционной палаты и в «Вестнике Конституционной палаты Верховного суда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 Верховного суда Кыргызской Республики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4nrg6ernoofc303cx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dalil.kg/document/9603</w:t>
      </w:r>
    </w:hyperlink>
  </w:p>
  <w:p>
    <w:pPr>
      <w:spacing w:after="0" w:before="40"/>
      <w:jc w:val="center"/>
    </w:pPr>
    <w:hyperlink w:history="1" r:id="rIdl7gwzalgpsxxug7cleh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ojpg_kdyhquxb6mlyd_" Type="http://schemas.openxmlformats.org/officeDocument/2006/relationships/hyperlink" Target="https://dalil.kg/document/202913" TargetMode="External"/><Relationship Id="rIdyjli5xi_l3s1iolw0besf" Type="http://schemas.openxmlformats.org/officeDocument/2006/relationships/hyperlink" Target="https://dalil.kg/document/203281" TargetMode="External"/><Relationship Id="rIdznl32nwxgengbbi0jqlyu" Type="http://schemas.openxmlformats.org/officeDocument/2006/relationships/hyperlink" Target="https://dalil.kg/document/9" TargetMode="External"/><Relationship Id="rIdnf885uvv3czx2z5xiqmly" Type="http://schemas.openxmlformats.org/officeDocument/2006/relationships/hyperlink" Target="https://dalil.kg/document/202913" TargetMode="External"/><Relationship Id="rIdpy7giewjb_n0tph12cggy" Type="http://schemas.openxmlformats.org/officeDocument/2006/relationships/hyperlink" Target="https://dalil.kg/document/9" TargetMode="External"/><Relationship Id="rIdyrotobz2guei3czp5yips" Type="http://schemas.openxmlformats.org/officeDocument/2006/relationships/hyperlink" Target="https://dalil.kg/document/9" TargetMode="External"/><Relationship Id="rId8pzb0csx6bzxccc_hgnuw" Type="http://schemas.openxmlformats.org/officeDocument/2006/relationships/hyperlink" Target="https://dalil.kg/document/202913" TargetMode="External"/><Relationship Id="rIdyoofxqdvu8sgov8q2vszo" Type="http://schemas.openxmlformats.org/officeDocument/2006/relationships/hyperlink" Target="https://dalil.kg/document/9" TargetMode="External"/><Relationship Id="rId15cs_3whnak-oqyu4yl-p" Type="http://schemas.openxmlformats.org/officeDocument/2006/relationships/hyperlink" Target="https://dalil.kg/document/202913" TargetMode="External"/><Relationship Id="rId1z3cgcggpbkdzwfe6bri9" Type="http://schemas.openxmlformats.org/officeDocument/2006/relationships/hyperlink" Target="https://dalil.kg/document/202913" TargetMode="External"/><Relationship Id="rIdnx6yfj4jyzstsv9dzqkgx" Type="http://schemas.openxmlformats.org/officeDocument/2006/relationships/hyperlink" Target="https://dalil.kg/document/202913" TargetMode="External"/><Relationship Id="rIda7ncmsbpvtoplhzdeex5i" Type="http://schemas.openxmlformats.org/officeDocument/2006/relationships/hyperlink" Target="https://dalil.kg/document/9" TargetMode="External"/><Relationship Id="rIdzn06tyds2idc-zg4bwjly" Type="http://schemas.openxmlformats.org/officeDocument/2006/relationships/hyperlink" Target="https://dalil.kg/document/202913" TargetMode="External"/><Relationship Id="rIdxeocndqjacq224alohdjd" Type="http://schemas.openxmlformats.org/officeDocument/2006/relationships/hyperlink" Target="https://dalil.kg/document/9" TargetMode="External"/><Relationship Id="rIdlcwza0j6hypgkjlhczdfl" Type="http://schemas.openxmlformats.org/officeDocument/2006/relationships/hyperlink" Target="https://dalil.kg/document/202913" TargetMode="External"/><Relationship Id="rIdirgnukdzys_beqzmrld7w" Type="http://schemas.openxmlformats.org/officeDocument/2006/relationships/hyperlink" Target="https://dalil.kg/document/202913" TargetMode="External"/><Relationship Id="rId4jponblgocvwevhcfh-sc" Type="http://schemas.openxmlformats.org/officeDocument/2006/relationships/hyperlink" Target="https://dalil.kg/document/203281" TargetMode="External"/><Relationship Id="rIdo4qmm5gtzrfys3ata1xdj" Type="http://schemas.openxmlformats.org/officeDocument/2006/relationships/hyperlink" Target="https://dalil.kg/document/9" TargetMode="External"/><Relationship Id="rIdjmxfzu42plad6fs-rnfgo" Type="http://schemas.openxmlformats.org/officeDocument/2006/relationships/hyperlink" Target="https://dalil.kg/document/9" TargetMode="External"/><Relationship Id="rIdufpkm8ktwttv1h4dpb9vf" Type="http://schemas.openxmlformats.org/officeDocument/2006/relationships/hyperlink" Target="https://dalil.kg/document/227" TargetMode="External"/><Relationship Id="rIdbdgbydz-w0pd_2k5o7ldz" Type="http://schemas.openxmlformats.org/officeDocument/2006/relationships/hyperlink" Target="https://dalil.kg/document/202913" TargetMode="External"/><Relationship Id="rIdeiwndbicedo-le9gkcwvy" Type="http://schemas.openxmlformats.org/officeDocument/2006/relationships/hyperlink" Target="https://dalil.kg/document/202913" TargetMode="External"/><Relationship Id="rIdvx0vunighklxnmxtebz65" Type="http://schemas.openxmlformats.org/officeDocument/2006/relationships/hyperlink" Target="https://dalil.kg/document/9" TargetMode="External"/><Relationship Id="rIdrn_srelyqxnuqbmxwlqop" Type="http://schemas.openxmlformats.org/officeDocument/2006/relationships/hyperlink" Target="https://dalil.kg/document/202913" TargetMode="External"/><Relationship Id="rId6f0bpz0ib-8lyn7so6fc2" Type="http://schemas.openxmlformats.org/officeDocument/2006/relationships/hyperlink" Target="https://dalil.kg/document/9" TargetMode="External"/><Relationship Id="rIdg1xiilbmjrhh-o2cj6_ou" Type="http://schemas.openxmlformats.org/officeDocument/2006/relationships/hyperlink" Target="https://dalil.kg/document/202913" TargetMode="External"/><Relationship Id="rIdrsfn38tov0fc5pd53dfkk" Type="http://schemas.openxmlformats.org/officeDocument/2006/relationships/hyperlink" Target="https://dalil.kg/document/202913" TargetMode="External"/><Relationship Id="rIdwyfjszcy71vj4sxs-0lu2" Type="http://schemas.openxmlformats.org/officeDocument/2006/relationships/hyperlink" Target="https://dalil.kg/document/202913" TargetMode="External"/><Relationship Id="rIdbybwamobfingeud0d7icu" Type="http://schemas.openxmlformats.org/officeDocument/2006/relationships/hyperlink" Target="https://dalil.kg/document/9" TargetMode="External"/><Relationship Id="rIdb9f9ebjo17cwyduwuj-kq" Type="http://schemas.openxmlformats.org/officeDocument/2006/relationships/hyperlink" Target="https://dalil.kg/document/9" TargetMode="External"/><Relationship Id="rIdlybfmdm5wf0ut4wrjdfow" Type="http://schemas.openxmlformats.org/officeDocument/2006/relationships/hyperlink" Target="https://dalil.kg/document/9" TargetMode="External"/><Relationship Id="rIdi-uflfbv5idk-hzmedze-" Type="http://schemas.openxmlformats.org/officeDocument/2006/relationships/hyperlink" Target="https://dalil.kg/document/9" TargetMode="External"/><Relationship Id="rId5jxdukkqko2cfg6__69vy" Type="http://schemas.openxmlformats.org/officeDocument/2006/relationships/hyperlink" Target="https://dalil.kg/document/9" TargetMode="External"/><Relationship Id="rIdvc67lt_wy1nu7pdu7yzsh" Type="http://schemas.openxmlformats.org/officeDocument/2006/relationships/hyperlink" Target="https://dalil.kg/document/9" TargetMode="External"/><Relationship Id="rIdsgg_relecril0rb8kuh78" Type="http://schemas.openxmlformats.org/officeDocument/2006/relationships/hyperlink" Target="https://dalil.kg/document/9" TargetMode="External"/><Relationship Id="rIdrbvgfvirbfzqgqsyc8nhj" Type="http://schemas.openxmlformats.org/officeDocument/2006/relationships/hyperlink" Target="https://dalil.kg/document/9" TargetMode="External"/><Relationship Id="rId621brzajfzst5vw6pes3i" Type="http://schemas.openxmlformats.org/officeDocument/2006/relationships/hyperlink" Target="https://dalil.kg/document/9" TargetMode="External"/><Relationship Id="rId14imqd5c-h5_ssbv5wkhd" Type="http://schemas.openxmlformats.org/officeDocument/2006/relationships/hyperlink" Target="https://dalil.kg/document/202913" TargetMode="External"/><Relationship Id="rIdbazr8psloipmccpi032jh" Type="http://schemas.openxmlformats.org/officeDocument/2006/relationships/hyperlink" Target="https://dalil.kg/document/9" TargetMode="External"/><Relationship Id="rId08nglr5rtmufsoxfvl4i8" Type="http://schemas.openxmlformats.org/officeDocument/2006/relationships/hyperlink" Target="https://dalil.kg/document/9" TargetMode="External"/><Relationship Id="rIdabezffv_dxpz9d5weuenp" Type="http://schemas.openxmlformats.org/officeDocument/2006/relationships/hyperlink" Target="https://dalil.kg/document/9" TargetMode="External"/><Relationship Id="rIdoj9hcem3akefhtkatenbf" Type="http://schemas.openxmlformats.org/officeDocument/2006/relationships/hyperlink" Target="https://dalil.kg/document/9" TargetMode="External"/><Relationship Id="rIdik6tpaiw511dmbb5d6rbo" Type="http://schemas.openxmlformats.org/officeDocument/2006/relationships/hyperlink" Target="https://dalil.kg/document/202913" TargetMode="External"/><Relationship Id="rIdxqwx1knylmduadbhfhri2" Type="http://schemas.openxmlformats.org/officeDocument/2006/relationships/hyperlink" Target="https://dalil.kg/document/202913" TargetMode="External"/><Relationship Id="rId7mjicdvfsepbheyfdskqe" Type="http://schemas.openxmlformats.org/officeDocument/2006/relationships/hyperlink" Target="https://dalil.kg/document/9" TargetMode="External"/><Relationship Id="rIdnapavk9ikjaudpfmqc3qt" Type="http://schemas.openxmlformats.org/officeDocument/2006/relationships/hyperlink" Target="https://dalil.kg/document/9" TargetMode="External"/><Relationship Id="rIda260eg0jac-nvjwzavygz" Type="http://schemas.openxmlformats.org/officeDocument/2006/relationships/hyperlink" Target="https://dalil.kg/document/9" TargetMode="External"/><Relationship Id="rIdfd-qvy4kn6ybak6pgbqwa" Type="http://schemas.openxmlformats.org/officeDocument/2006/relationships/hyperlink" Target="https://dalil.kg/document/9" TargetMode="External"/><Relationship Id="rIdlgiqp0ftyqmqpjtxkgm4r" Type="http://schemas.openxmlformats.org/officeDocument/2006/relationships/hyperlink" Target="https://dalil.kg/document/9" TargetMode="External"/><Relationship Id="rIdjfglxofbbf5spjikioeu1" Type="http://schemas.openxmlformats.org/officeDocument/2006/relationships/hyperlink" Target="https://dalil.kg/document/9" TargetMode="External"/><Relationship Id="rIdccinxqqxdrdvxxuz4ahii" Type="http://schemas.openxmlformats.org/officeDocument/2006/relationships/hyperlink" Target="https://dalil.kg/document/202913" TargetMode="External"/><Relationship Id="rIdpfelkr0u29qrpbvoq_zc8" Type="http://schemas.openxmlformats.org/officeDocument/2006/relationships/hyperlink" Target="https://dalil.kg/document/202913" TargetMode="External"/><Relationship Id="rId8vwryodpb5gjiktmatznv" Type="http://schemas.openxmlformats.org/officeDocument/2006/relationships/hyperlink" Target="https://dalil.kg/document/203281" TargetMode="External"/><Relationship Id="rIdp_ptuyevukeekoa-ajlqn" Type="http://schemas.openxmlformats.org/officeDocument/2006/relationships/hyperlink" Target="https://dalil.kg/document/9" TargetMode="External"/><Relationship Id="rIdbc4v9xkjnrf84tfqdgd6h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6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4nrg6ernoofc303cxut" Type="http://schemas.openxmlformats.org/officeDocument/2006/relationships/hyperlink" Target="https://dalil.kg/document/9603" TargetMode="External"/><Relationship Id="rIdl7gwzalgpsxxug7clehw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2026-09-24T06:48:41.733Z</dcterms:created>
  <dcterms:modified xsi:type="dcterms:W3CDTF">2026-09-24T06:48:41.733Z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