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w:t>
      </w:r>
    </w:p>
    <w:p>
      <w:pPr>
        <w:spacing w:after="120"/>
        <w:jc w:val="center"/>
      </w:pPr>
      <w:r>
        <w:rPr>
          <w:rFonts w:ascii="Arial" w:cs="Arial" w:eastAsia="Arial" w:hAnsi="Arial"/>
          <w:i/>
          <w:iCs/>
          <w:sz w:val="24"/>
          <w:szCs w:val="24"/>
        </w:rPr>
        <w:t xml:space="preserve">в соответствии с </w:t>
      </w:r>
      <w:hyperlink w:history="1" r:id="rIdhbdw-b__rp7_7pbsudhcz">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Кабинета Министров КР от 22 мая 2024 года № 258</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4</w:t>
      </w:r>
    </w:p>
    <w:p>
      <w:pPr>
        <w:spacing w:after="60"/>
        <w:ind w:firstLine="567"/>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29 мая 2012 года № 346</w:t>
      </w:r>
    </w:p>
    <w:p>
      <w:pPr>
        <w:spacing w:after="400" w:before="400"/>
        <w:jc w:val="center"/>
      </w:pPr>
      <w:r>
        <w:rPr>
          <w:rFonts w:ascii="Arial" w:cs="Arial" w:eastAsia="Arial" w:hAnsi="Arial"/>
          <w:b/>
          <w:bCs/>
          <w:sz w:val="24"/>
          <w:szCs w:val="24"/>
        </w:rPr>
        <w:t xml:space="preserve">Положение </w:t>
      </w:r>
      <w:r>
        <w:rPr>
          <w:rFonts w:ascii="Arial" w:cs="Arial" w:eastAsia="Arial" w:hAnsi="Arial"/>
          <w:b/>
          <w:bCs/>
          <w:sz w:val="24"/>
          <w:szCs w:val="24"/>
        </w:rPr>
        <w:t xml:space="preserve">
 об итоговой государственной аттестации выпускников высших учебных заведений Кыргызской Республики</w:t>
      </w:r>
    </w:p>
    <w:p>
      <w:pPr>
        <w:spacing w:after="200"/>
        <w:jc w:val="center"/>
      </w:pPr>
      <w:r>
        <w:rPr>
          <w:rFonts w:ascii="Arial" w:cs="Arial" w:eastAsia="Arial" w:hAnsi="Arial"/>
          <w:i/>
          <w:iCs/>
          <w:sz w:val="24"/>
          <w:szCs w:val="24"/>
        </w:rPr>
        <w:t xml:space="preserve">(В редакции постановления Правительства КР от </w:t>
      </w:r>
      <w:hyperlink w:history="1" r:id="rIdbwz45epypqk7sqm-xhrtu">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1. Общие положения</w:t>
      </w:r>
    </w:p>
    <w:p>
      <w:pPr>
        <w:spacing w:after="60"/>
        <w:ind w:firstLine="567"/>
        <w:jc w:val="both"/>
      </w:pPr>
      <w:r>
        <w:rPr>
          <w:rFonts w:ascii="Arial" w:cs="Arial" w:eastAsia="Arial" w:hAnsi="Arial"/>
          <w:sz w:val="24"/>
          <w:szCs w:val="24"/>
        </w:rPr>
        <w:t xml:space="preserve">1. Освоение образовательных программ высшего профессионального образования завершается обязательной итоговой государственной аттестацией выпускников.</w:t>
      </w:r>
    </w:p>
    <w:p>
      <w:pPr>
        <w:spacing w:after="60"/>
        <w:ind w:firstLine="567"/>
        <w:jc w:val="both"/>
      </w:pPr>
      <w:r>
        <w:rPr>
          <w:rFonts w:ascii="Arial" w:cs="Arial" w:eastAsia="Arial" w:hAnsi="Arial"/>
          <w:sz w:val="24"/>
          <w:szCs w:val="24"/>
        </w:rPr>
        <w:t xml:space="preserve">2. Положение об итоговой государственной аттестации выпускников высших учебных заведений Кыргызской Республики (далее - Положение) распространяется на выпускников, обучающихся по всем формам получения высшего профессионального образования.</w:t>
      </w:r>
    </w:p>
    <w:p>
      <w:pPr>
        <w:spacing w:after="60"/>
        <w:ind w:firstLine="567"/>
        <w:jc w:val="both"/>
      </w:pPr>
      <w:r>
        <w:rPr>
          <w:rFonts w:ascii="Arial" w:cs="Arial" w:eastAsia="Arial" w:hAnsi="Arial"/>
          <w:sz w:val="24"/>
          <w:szCs w:val="24"/>
        </w:rPr>
        <w:t xml:space="preserve">3. Целью итоговой государственной аттестации является определение уровня подготовки выпускников высшего учебного заведения к выполнению профессиональных задач и соответствия их подготовки требованиям государственного образовательного стандарта высшего профессионального образования.</w:t>
      </w:r>
    </w:p>
    <w:p>
      <w:pPr>
        <w:spacing w:after="60"/>
        <w:ind w:firstLine="567"/>
        <w:jc w:val="both"/>
      </w:pPr>
      <w:r>
        <w:rPr>
          <w:rFonts w:ascii="Arial" w:cs="Arial" w:eastAsia="Arial" w:hAnsi="Arial"/>
          <w:sz w:val="24"/>
          <w:szCs w:val="24"/>
        </w:rPr>
        <w:t xml:space="preserve">4. Итоговая государственная аттестация выпускников проводится в аккредитованных (аттестованных) высших учебных заведениях (и их обособленных структурных подразделениях) по всем основным образовательным программам высшего профессионального образования, имеющим государственную аккредитацию (аттестацию).</w:t>
      </w:r>
    </w:p>
    <w:p>
      <w:pPr>
        <w:spacing w:after="60"/>
        <w:ind w:firstLine="567"/>
        <w:jc w:val="both"/>
      </w:pPr>
      <w:r>
        <w:rPr>
          <w:rFonts w:ascii="Arial" w:cs="Arial" w:eastAsia="Arial" w:hAnsi="Arial"/>
          <w:sz w:val="24"/>
          <w:szCs w:val="24"/>
        </w:rPr>
        <w:t xml:space="preserve">К итоговым аттестационным испытаниям, входящим в состав итоговой государственной аттестации, допускаются лица, успешно завершившие в полном объеме освоение основной образовательной программы по направлению (специальности) высшего профессионального образования, разработанной высшим учебным заведением в соответствии с требованиями государственного образовательного стандарта высшего профессионального образования.</w:t>
      </w:r>
    </w:p>
    <w:p>
      <w:pPr>
        <w:spacing w:after="60"/>
        <w:ind w:firstLine="567"/>
        <w:jc w:val="both"/>
      </w:pPr>
      <w:r>
        <w:rPr>
          <w:rFonts w:ascii="Arial" w:cs="Arial" w:eastAsia="Arial" w:hAnsi="Arial"/>
          <w:sz w:val="24"/>
          <w:szCs w:val="24"/>
        </w:rPr>
        <w:t xml:space="preserve">При условии успешного прохождения всех установленных видов итоговых аттестационных испытаний, входящих в итоговую государственную аттестацию, выпускнику присваивается соответствующая профессиональная квалификационная или академическая степень и выдается диплом государственного образца о высшем профессиональном образовании.</w:t>
      </w:r>
    </w:p>
    <w:p>
      <w:pPr>
        <w:spacing w:after="60"/>
        <w:ind w:firstLine="567"/>
        <w:jc w:val="both"/>
      </w:pPr>
      <w:r>
        <w:rPr>
          <w:rFonts w:ascii="Arial" w:cs="Arial" w:eastAsia="Arial" w:hAnsi="Arial"/>
          <w:sz w:val="24"/>
          <w:szCs w:val="24"/>
        </w:rPr>
        <w:t xml:space="preserve">5. Лица, обучающиеся в высших учебных заведениях, не имеющих государственной аккредитации (аттестации), или успешно окончившие их, имеют право на текущую и итоговую государственную аттестацию в высших учебных заведениях, имеющих государственную аккредитацию (аттестацию).</w:t>
      </w:r>
    </w:p>
    <w:p>
      <w:pPr>
        <w:spacing w:after="200" w:before="200"/>
        <w:jc w:val="center"/>
      </w:pPr>
      <w:r>
        <w:rPr>
          <w:rFonts w:ascii="Arial" w:cs="Arial" w:eastAsia="Arial" w:hAnsi="Arial"/>
          <w:b/>
          <w:bCs/>
          <w:sz w:val="24"/>
          <w:szCs w:val="24"/>
        </w:rPr>
        <w:t xml:space="preserve">2. Виды итоговых аттестационных испытаний</w:t>
      </w:r>
    </w:p>
    <w:p>
      <w:pPr>
        <w:spacing w:after="60"/>
        <w:ind w:firstLine="567"/>
        <w:jc w:val="both"/>
      </w:pPr>
      <w:r>
        <w:rPr>
          <w:rFonts w:ascii="Arial" w:cs="Arial" w:eastAsia="Arial" w:hAnsi="Arial"/>
          <w:sz w:val="24"/>
          <w:szCs w:val="24"/>
        </w:rPr>
        <w:t xml:space="preserve">6. К видам итоговых аттестационных испытаний итоговой государственной аттестации выпускников высших учебных заведений относятся:</w:t>
      </w:r>
    </w:p>
    <w:p>
      <w:pPr>
        <w:spacing w:after="60"/>
        <w:ind w:firstLine="567"/>
        <w:jc w:val="both"/>
      </w:pPr>
      <w:r>
        <w:rPr>
          <w:rFonts w:ascii="Arial" w:cs="Arial" w:eastAsia="Arial" w:hAnsi="Arial"/>
          <w:sz w:val="24"/>
          <w:szCs w:val="24"/>
        </w:rPr>
        <w:t xml:space="preserve">- защита выпускной квалификационной работы;</w:t>
      </w:r>
    </w:p>
    <w:p>
      <w:pPr>
        <w:spacing w:after="60"/>
        <w:ind w:firstLine="567"/>
        <w:jc w:val="both"/>
      </w:pPr>
      <w:r>
        <w:rPr>
          <w:rFonts w:ascii="Arial" w:cs="Arial" w:eastAsia="Arial" w:hAnsi="Arial"/>
          <w:sz w:val="24"/>
          <w:szCs w:val="24"/>
        </w:rPr>
        <w:t xml:space="preserve">- государственный экзамен.</w:t>
      </w:r>
    </w:p>
    <w:p>
      <w:pPr>
        <w:spacing w:after="60"/>
        <w:ind w:firstLine="567"/>
        <w:jc w:val="both"/>
      </w:pPr>
      <w:r>
        <w:rPr>
          <w:rFonts w:ascii="Arial" w:cs="Arial" w:eastAsia="Arial" w:hAnsi="Arial"/>
          <w:sz w:val="24"/>
          <w:szCs w:val="24"/>
        </w:rPr>
        <w:t xml:space="preserve">Перечень обязательных итоговых аттестационных испытаний устанавливается государственным образовательным стандартом высшего профессионального образования.</w:t>
      </w:r>
    </w:p>
    <w:p>
      <w:pPr>
        <w:spacing w:after="60"/>
        <w:ind w:firstLine="567"/>
        <w:jc w:val="both"/>
      </w:pPr>
      <w:r>
        <w:rPr>
          <w:rFonts w:ascii="Arial" w:cs="Arial" w:eastAsia="Arial" w:hAnsi="Arial"/>
          <w:sz w:val="24"/>
          <w:szCs w:val="24"/>
        </w:rPr>
        <w:t xml:space="preserve">7. Выпускные квалификационные работы выполняются в формах, соответствующих определенным ступеням высшего профессионального образования:</w:t>
      </w:r>
    </w:p>
    <w:p>
      <w:pPr>
        <w:spacing w:after="60"/>
        <w:ind w:firstLine="567"/>
        <w:jc w:val="both"/>
      </w:pPr>
      <w:r>
        <w:rPr>
          <w:rFonts w:ascii="Arial" w:cs="Arial" w:eastAsia="Arial" w:hAnsi="Arial"/>
          <w:sz w:val="24"/>
          <w:szCs w:val="24"/>
        </w:rPr>
        <w:t xml:space="preserve">- для академической степени бакалавра - в форме выпускной работы бакалавра;</w:t>
      </w:r>
    </w:p>
    <w:p>
      <w:pPr>
        <w:spacing w:after="60"/>
        <w:ind w:firstLine="567"/>
        <w:jc w:val="both"/>
      </w:pPr>
      <w:r>
        <w:rPr>
          <w:rFonts w:ascii="Arial" w:cs="Arial" w:eastAsia="Arial" w:hAnsi="Arial"/>
          <w:sz w:val="24"/>
          <w:szCs w:val="24"/>
        </w:rPr>
        <w:t xml:space="preserve">- для квалификации специалиста - в форме дипломной работы (проекта);</w:t>
      </w:r>
    </w:p>
    <w:p>
      <w:pPr>
        <w:spacing w:after="60"/>
        <w:ind w:firstLine="567"/>
        <w:jc w:val="both"/>
      </w:pPr>
      <w:r>
        <w:rPr>
          <w:rFonts w:ascii="Arial" w:cs="Arial" w:eastAsia="Arial" w:hAnsi="Arial"/>
          <w:sz w:val="24"/>
          <w:szCs w:val="24"/>
        </w:rPr>
        <w:t xml:space="preserve">- для академической степени магистра - в форме магистерской диссертации.</w:t>
      </w:r>
    </w:p>
    <w:p>
      <w:pPr>
        <w:spacing w:after="60"/>
        <w:ind w:firstLine="567"/>
        <w:jc w:val="both"/>
      </w:pPr>
      <w:r>
        <w:rPr>
          <w:rFonts w:ascii="Arial" w:cs="Arial" w:eastAsia="Arial" w:hAnsi="Arial"/>
          <w:sz w:val="24"/>
          <w:szCs w:val="24"/>
        </w:rPr>
        <w:t xml:space="preserve">8. Темы выпускных квалификационных работ определяются высшим учебным заведением. Студенту может предоставляться право выбора темы выпускной квалификационной работы в порядке, установленном высшим учебным заведением, вплоть до предложения своей темы с необходимым обоснованием целесообразности ее разработки. Для подготовки выпускной квалификационной работы студенту назначается руководитель.</w:t>
      </w:r>
    </w:p>
    <w:p>
      <w:pPr>
        <w:spacing w:after="60"/>
        <w:ind w:firstLine="567"/>
        <w:jc w:val="both"/>
      </w:pPr>
      <w:r>
        <w:rPr>
          <w:rFonts w:ascii="Arial" w:cs="Arial" w:eastAsia="Arial" w:hAnsi="Arial"/>
          <w:sz w:val="24"/>
          <w:szCs w:val="24"/>
        </w:rPr>
        <w:t xml:space="preserve">Выпускные работы бакалавров могут основываться на обобщении выполненных курсовых работ и проектов и подготавливаться к защите в завершающий период теоретического обучения.</w:t>
      </w:r>
    </w:p>
    <w:p>
      <w:pPr>
        <w:spacing w:after="60"/>
        <w:ind w:firstLine="567"/>
        <w:jc w:val="both"/>
      </w:pPr>
      <w:r>
        <w:rPr>
          <w:rFonts w:ascii="Arial" w:cs="Arial" w:eastAsia="Arial" w:hAnsi="Arial"/>
          <w:sz w:val="24"/>
          <w:szCs w:val="24"/>
        </w:rPr>
        <w:t xml:space="preserve">Выпускные квалификационные работы, выполненные по завершении основных образовательных программ подготовки специалистов и магистров, подлежат рецензированию. Порядок рецензирования устанавливается высшим учебным заведением.</w:t>
      </w:r>
    </w:p>
    <w:p>
      <w:pPr>
        <w:spacing w:after="60"/>
        <w:ind w:firstLine="567"/>
        <w:jc w:val="both"/>
      </w:pPr>
      <w:r>
        <w:rPr>
          <w:rFonts w:ascii="Arial" w:cs="Arial" w:eastAsia="Arial" w:hAnsi="Arial"/>
          <w:sz w:val="24"/>
          <w:szCs w:val="24"/>
        </w:rPr>
        <w:t xml:space="preserve">9. Условия и сроки выполнения выпускных квалификационных работ устанавливаются высшим учебным заведением на основании настоящего Положения, соответствующих государственных образовательных стандартов высшего профессионального образования и рекомендаций учебно-методических объединений.</w:t>
      </w:r>
    </w:p>
    <w:p>
      <w:pPr>
        <w:spacing w:after="60"/>
        <w:ind w:firstLine="567"/>
        <w:jc w:val="both"/>
      </w:pPr>
      <w:r>
        <w:rPr>
          <w:rFonts w:ascii="Arial" w:cs="Arial" w:eastAsia="Arial" w:hAnsi="Arial"/>
          <w:sz w:val="24"/>
          <w:szCs w:val="24"/>
        </w:rPr>
        <w:t xml:space="preserve">10. Программы государственных экзаменов (по отдельным дисциплинам), итоговый междисциплинарный экзамен по направлениям (специальностям) и критерии оценки выпускных аттестационных испытаний утверждаются высшим учебным заведением с учетом рекомендаций учебно-методических объединений.</w:t>
      </w:r>
    </w:p>
    <w:p>
      <w:pPr>
        <w:spacing w:after="200" w:before="200"/>
        <w:jc w:val="center"/>
      </w:pPr>
      <w:r>
        <w:rPr>
          <w:rFonts w:ascii="Arial" w:cs="Arial" w:eastAsia="Arial" w:hAnsi="Arial"/>
          <w:b/>
          <w:bCs/>
          <w:sz w:val="24"/>
          <w:szCs w:val="24"/>
        </w:rPr>
        <w:t xml:space="preserve">3. Государственные аттестационные комиссии</w:t>
      </w:r>
    </w:p>
    <w:p>
      <w:pPr>
        <w:spacing w:after="60"/>
        <w:ind w:firstLine="567"/>
        <w:jc w:val="both"/>
      </w:pPr>
      <w:r>
        <w:rPr>
          <w:rFonts w:ascii="Arial" w:cs="Arial" w:eastAsia="Arial" w:hAnsi="Arial"/>
          <w:sz w:val="24"/>
          <w:szCs w:val="24"/>
        </w:rPr>
        <w:t xml:space="preserve">11. Государственные аттестационные комиссии руководствуются в своей деятельности законодательством Кыргызской Республики в области образования, настоящим Положением, государственными образовательными стандартами высшего профессионального образования, учебно-методической документацией, разработанной высшими учебными заведениями, и рекомендациями учебно-методических объединений.</w:t>
      </w:r>
    </w:p>
    <w:p>
      <w:pPr>
        <w:spacing w:after="60"/>
        <w:ind w:firstLine="567"/>
        <w:jc w:val="both"/>
      </w:pPr>
      <w:r>
        <w:rPr>
          <w:rFonts w:ascii="Arial" w:cs="Arial" w:eastAsia="Arial" w:hAnsi="Arial"/>
          <w:sz w:val="24"/>
          <w:szCs w:val="24"/>
        </w:rPr>
        <w:t xml:space="preserve">Основными функциями государственной аттестационной комиссии являются:</w:t>
      </w:r>
    </w:p>
    <w:p>
      <w:pPr>
        <w:spacing w:after="60"/>
        <w:ind w:firstLine="567"/>
        <w:jc w:val="both"/>
      </w:pPr>
      <w:r>
        <w:rPr>
          <w:rFonts w:ascii="Arial" w:cs="Arial" w:eastAsia="Arial" w:hAnsi="Arial"/>
          <w:sz w:val="24"/>
          <w:szCs w:val="24"/>
        </w:rPr>
        <w:t xml:space="preserve">- определение соответствия подготовки выпускника требованиям Государственного образовательного стандарта высшего профессионального образования и уровня его подготовки;</w:t>
      </w:r>
    </w:p>
    <w:p>
      <w:pPr>
        <w:spacing w:after="60"/>
        <w:ind w:firstLine="567"/>
        <w:jc w:val="both"/>
      </w:pPr>
      <w:r>
        <w:rPr>
          <w:rFonts w:ascii="Arial" w:cs="Arial" w:eastAsia="Arial" w:hAnsi="Arial"/>
          <w:sz w:val="24"/>
          <w:szCs w:val="24"/>
        </w:rPr>
        <w:t xml:space="preserve">- принятие решения о присвоении профессиональной квалификационной или академической степени по результатам итоговой государственной аттестации и выдаче выпускнику соответствующего диплома государственного образца о высшем профессиональном образовании;</w:t>
      </w:r>
    </w:p>
    <w:p>
      <w:pPr>
        <w:spacing w:after="60"/>
        <w:ind w:firstLine="567"/>
        <w:jc w:val="both"/>
      </w:pPr>
      <w:r>
        <w:rPr>
          <w:rFonts w:ascii="Arial" w:cs="Arial" w:eastAsia="Arial" w:hAnsi="Arial"/>
          <w:sz w:val="24"/>
          <w:szCs w:val="24"/>
        </w:rPr>
        <w:t xml:space="preserve">- разработка рекомендаций, направленных на совершенствование подготовки выпускников на основании результатов работы государственной аттестационной комиссии.</w:t>
      </w:r>
    </w:p>
    <w:p>
      <w:pPr>
        <w:spacing w:after="60"/>
        <w:ind w:firstLine="567"/>
        <w:jc w:val="both"/>
      </w:pPr>
      <w:r>
        <w:rPr>
          <w:rFonts w:ascii="Arial" w:cs="Arial" w:eastAsia="Arial" w:hAnsi="Arial"/>
          <w:sz w:val="24"/>
          <w:szCs w:val="24"/>
        </w:rPr>
        <w:t xml:space="preserve">12. Для проведения итоговой государственной аттестации выпускников высшим учебным заведением по согласованию с соответствующим государственным органом, в ведении которого находится вуз, предлагается состав государственной аттестационной комиссии по каждому направлению и специальности для утверждения в Министерстве образования и науки Кыргызской Республики.</w:t>
      </w:r>
    </w:p>
    <w:p>
      <w:pPr>
        <w:spacing w:after="60"/>
        <w:ind w:firstLine="567"/>
        <w:jc w:val="both"/>
      </w:pPr>
      <w:r>
        <w:rPr>
          <w:rFonts w:ascii="Arial" w:cs="Arial" w:eastAsia="Arial" w:hAnsi="Arial"/>
          <w:sz w:val="24"/>
          <w:szCs w:val="24"/>
        </w:rPr>
        <w:t xml:space="preserve">По предложению высшего учебного заведения может быть утверждено несколько государственных аттестационных комиссий по одной основной образовательной программе высшего профессионального образования.</w:t>
      </w:r>
    </w:p>
    <w:p>
      <w:pPr>
        <w:spacing w:after="60"/>
        <w:ind w:firstLine="567"/>
        <w:jc w:val="both"/>
      </w:pPr>
      <w:r>
        <w:rPr>
          <w:rFonts w:ascii="Arial" w:cs="Arial" w:eastAsia="Arial" w:hAnsi="Arial"/>
          <w:sz w:val="24"/>
          <w:szCs w:val="24"/>
        </w:rPr>
        <w:t xml:space="preserve">Государственные аттестационные комиссии действуют в течение одного календарного года.</w:t>
      </w:r>
    </w:p>
    <w:p>
      <w:pPr>
        <w:spacing w:after="60"/>
        <w:ind w:firstLine="567"/>
        <w:jc w:val="both"/>
      </w:pPr>
      <w:r>
        <w:rPr>
          <w:rFonts w:ascii="Arial" w:cs="Arial" w:eastAsia="Arial" w:hAnsi="Arial"/>
          <w:sz w:val="24"/>
          <w:szCs w:val="24"/>
        </w:rPr>
        <w:t xml:space="preserve">13. Государственная аттестационная комиссия формируется из профессорско-преподавательского состава высшего учебного заведения и научных работников, а также лиц, приглашаемых из сторонних организаций: специалистов предприятий, учреждений и организаций - потребителей кадров данного профиля, ведущих преподавателей и научных работников других высших учебных заведений.</w:t>
      </w:r>
    </w:p>
    <w:p>
      <w:pPr>
        <w:spacing w:after="60"/>
        <w:ind w:firstLine="567"/>
        <w:jc w:val="both"/>
      </w:pPr>
      <w:r>
        <w:rPr>
          <w:rFonts w:ascii="Arial" w:cs="Arial" w:eastAsia="Arial" w:hAnsi="Arial"/>
          <w:sz w:val="24"/>
          <w:szCs w:val="24"/>
        </w:rPr>
        <w:t xml:space="preserve">14. Государственную аттестационную комиссию возглавляет председатель, который организует и контролирует деятельность комиссии, обеспечивает единство требований, предъявляемых к выпускникам.</w:t>
      </w:r>
    </w:p>
    <w:p>
      <w:pPr>
        <w:spacing w:after="60"/>
        <w:ind w:firstLine="567"/>
        <w:jc w:val="both"/>
      </w:pPr>
      <w:r>
        <w:rPr>
          <w:rFonts w:ascii="Arial" w:cs="Arial" w:eastAsia="Arial" w:hAnsi="Arial"/>
          <w:sz w:val="24"/>
          <w:szCs w:val="24"/>
        </w:rPr>
        <w:t xml:space="preserve">Председателем государственной аттестационной комиссии должно быть лицо, не работающее в данном высшем учебном заведении, из числа докторов наук, профессоров соответствующего профиля, а при их отсутствии - кандидатов наук или крупных специалистов предприятий, организаций, учреждений, являющихся потребителями кадров данного профиля.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k6w3ms50r0hmqwcas-wsu">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200" w:before="200"/>
        <w:jc w:val="center"/>
      </w:pPr>
      <w:r>
        <w:rPr>
          <w:rFonts w:ascii="Arial" w:cs="Arial" w:eastAsia="Arial" w:hAnsi="Arial"/>
          <w:b/>
          <w:bCs/>
          <w:sz w:val="24"/>
          <w:szCs w:val="24"/>
        </w:rPr>
        <w:t xml:space="preserve">4. Порядок проведения итоговой государственной аттестации</w:t>
      </w:r>
    </w:p>
    <w:p>
      <w:pPr>
        <w:spacing w:after="60"/>
        <w:ind w:firstLine="567"/>
        <w:jc w:val="both"/>
      </w:pPr>
      <w:r>
        <w:rPr>
          <w:rFonts w:ascii="Arial" w:cs="Arial" w:eastAsia="Arial" w:hAnsi="Arial"/>
          <w:sz w:val="24"/>
          <w:szCs w:val="24"/>
        </w:rPr>
        <w:t xml:space="preserve">15</w:t>
      </w:r>
      <w:r>
        <w:rPr>
          <w:rFonts w:ascii="Arial" w:cs="Arial" w:eastAsia="Arial" w:hAnsi="Arial"/>
          <w:sz w:val="24"/>
          <w:szCs w:val="24"/>
        </w:rPr>
        <w:t xml:space="preserve">1</w:t>
      </w:r>
      <w:r>
        <w:rPr>
          <w:rFonts w:ascii="Arial" w:cs="Arial" w:eastAsia="Arial" w:hAnsi="Arial"/>
          <w:sz w:val="24"/>
          <w:szCs w:val="24"/>
        </w:rPr>
        <w:t xml:space="preserve">. В условиях режима чрезвычайной ситуации/чрезвычайного положения допускается проведение итоговой государственной аттестации выпускников в режиме онлайн с применением дистанционных образовательных технологий в соответствии с </w:t>
      </w:r>
      <w:r>
        <w:rPr>
          <w:rFonts w:ascii="Arial" w:cs="Arial" w:eastAsia="Arial" w:hAnsi="Arial"/>
          <w:sz w:val="24"/>
          <w:szCs w:val="24"/>
        </w:rPr>
        <w:t xml:space="preserve">Порядком</w:t>
      </w:r>
      <w:r>
        <w:rPr>
          <w:rFonts w:ascii="Arial" w:cs="Arial" w:eastAsia="Arial" w:hAnsi="Arial"/>
          <w:sz w:val="24"/>
          <w:szCs w:val="24"/>
        </w:rPr>
        <w:t xml:space="preserve"> применения дистанционных образовательных технологий при реализации образовательных программ, утвержденным </w:t>
      </w:r>
      <w:hyperlink w:history="1" r:id="rIdtwxltyccwfu3kyqj6jojh">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26 июня 2014 года № 354.</w:t>
      </w:r>
    </w:p>
    <w:p>
      <w:pPr>
        <w:spacing w:after="60"/>
        <w:ind w:firstLine="567"/>
        <w:jc w:val="both"/>
      </w:pPr>
      <w:r>
        <w:rPr>
          <w:rFonts w:ascii="Arial" w:cs="Arial" w:eastAsia="Arial" w:hAnsi="Arial"/>
          <w:sz w:val="24"/>
          <w:szCs w:val="24"/>
        </w:rPr>
        <w:t xml:space="preserve">При этом проведение итоговой государственной аттестации выпускников в режиме онлайн с применением дистанционных образовательных технологий по дисциплинам с ограничительным грифом доступа, требующим соблюдения режима секретности, а также по специальным творческим дисциплинам в высших учебных заведениях культуры и искусства не допускается.</w:t>
      </w:r>
    </w:p>
    <w:p>
      <w:pPr>
        <w:spacing w:after="60"/>
        <w:ind w:firstLine="567"/>
        <w:jc w:val="both"/>
      </w:pPr>
      <w:r>
        <w:rPr>
          <w:rFonts w:ascii="Arial" w:cs="Arial" w:eastAsia="Arial" w:hAnsi="Arial"/>
          <w:i/>
          <w:iCs/>
          <w:sz w:val="24"/>
          <w:szCs w:val="24"/>
        </w:rPr>
        <w:t xml:space="preserve">(В редакции постановления Правительства КР от </w:t>
      </w:r>
      <w:hyperlink w:history="1" r:id="rId_uccy9-ov4ntdoaetjq0p">
        <w:r>
          <w:rPr>
            <w:rFonts w:ascii="Arial" w:cs="Arial" w:eastAsia="Arial" w:hAnsi="Arial"/>
            <w:i/>
            <w:iCs/>
            <w:color w:val="1D4ED8"/>
            <w:sz w:val="24"/>
            <w:szCs w:val="24"/>
            <w:u w:val="single"/>
          </w:rPr>
          <w:t xml:space="preserve">20 мая 2020 года № 262</w:t>
        </w:r>
      </w:hyperlink>
      <w:r>
        <w:rPr>
          <w:rFonts w:ascii="Arial" w:cs="Arial" w:eastAsia="Arial" w:hAnsi="Arial"/>
          <w:i/>
          <w:iCs/>
          <w:sz w:val="24"/>
          <w:szCs w:val="24"/>
        </w:rPr>
        <w:t xml:space="preserve">)</w:t>
      </w:r>
    </w:p>
    <w:p>
      <w:pPr>
        <w:spacing w:after="60"/>
        <w:ind w:firstLine="567"/>
        <w:jc w:val="both"/>
      </w:pPr>
      <w:r>
        <w:rPr>
          <w:rFonts w:ascii="Arial" w:cs="Arial" w:eastAsia="Arial" w:hAnsi="Arial"/>
          <w:sz w:val="24"/>
          <w:szCs w:val="24"/>
        </w:rPr>
        <w:t xml:space="preserve">15. Порядок проведения государственных аттестационных испытаний разрабатывается высшим учебным заведением на основании настоящего Положения и доводится до сведения студентов всех форм получения образования не позднее, чем за полгода до начала итоговой государственной аттестации. Студенты обеспечиваются программами государственных экзаменов, им создаются необходимые для подготовки условия, проводятся консультации.</w:t>
      </w:r>
    </w:p>
    <w:p>
      <w:pPr>
        <w:spacing w:after="60"/>
        <w:ind w:firstLine="567"/>
        <w:jc w:val="both"/>
      </w:pPr>
      <w:r>
        <w:rPr>
          <w:rFonts w:ascii="Arial" w:cs="Arial" w:eastAsia="Arial" w:hAnsi="Arial"/>
          <w:sz w:val="24"/>
          <w:szCs w:val="24"/>
        </w:rPr>
        <w:t xml:space="preserve">16. Защита выпускной квалификационной работы (за исключением работ по закрытой тематике) проводится на открытом заседании государственной аттестационной комиссии с участием не менее двух третей ее состава. Процедура приема государственных экзаменов устанавливается высшим учебным заведением. Продолжительность заседания государственной аттестационной комиссии не должна превышать 6 часов в день.</w:t>
      </w:r>
    </w:p>
    <w:p>
      <w:pPr>
        <w:spacing w:after="60"/>
        <w:ind w:firstLine="567"/>
        <w:jc w:val="both"/>
      </w:pPr>
      <w:r>
        <w:rPr>
          <w:rFonts w:ascii="Arial" w:cs="Arial" w:eastAsia="Arial" w:hAnsi="Arial"/>
          <w:sz w:val="24"/>
          <w:szCs w:val="24"/>
        </w:rPr>
        <w:t xml:space="preserve">Результаты любого из видов аттестационных испытаний, включенных в итоговую государственную аттестацию, определяются оценками "отлично", "хорошо", "удовлетворительно", "неудовлетворительно" и объявляются в тот же день после оформления в установленном порядке протоколов заседаний комиссии.</w:t>
      </w:r>
    </w:p>
    <w:p>
      <w:pPr>
        <w:spacing w:after="60"/>
        <w:ind w:firstLine="567"/>
        <w:jc w:val="both"/>
      </w:pPr>
      <w:r>
        <w:rPr>
          <w:rFonts w:ascii="Arial" w:cs="Arial" w:eastAsia="Arial" w:hAnsi="Arial"/>
          <w:sz w:val="24"/>
          <w:szCs w:val="24"/>
        </w:rPr>
        <w:t xml:space="preserve">К защите выпускной квалификационной работы допускаются лица, успешно завершившие в полном объеме освоение основной образовательной программы по направлению (специальности) высшего профессионального образования, разработанной высшим учебным заведением в соответствии с требованиями государственного образовательного стандарта высшего профессионального образования, и успешно прошедшие все другие виды итоговых аттестационных испытаний.</w:t>
      </w:r>
    </w:p>
    <w:p>
      <w:pPr>
        <w:spacing w:after="60"/>
        <w:ind w:firstLine="567"/>
        <w:jc w:val="both"/>
      </w:pPr>
      <w:r>
        <w:rPr>
          <w:rFonts w:ascii="Arial" w:cs="Arial" w:eastAsia="Arial" w:hAnsi="Arial"/>
          <w:sz w:val="24"/>
          <w:szCs w:val="24"/>
        </w:rPr>
        <w:t xml:space="preserve">17. Решение о присвоении выпускнику академической степени по направлению подготовки бакалавра или магистра и квалификации по специальности (направлению) подготовки специалиста и выдаче диплома о высшем профессиональном образовании государственного образца принимает государственная аттестационная комиссия по положительным результатам итоговой государственной аттестации, оформленным протоколами государственных аттестационных комиссий.</w:t>
      </w:r>
    </w:p>
    <w:p>
      <w:pPr>
        <w:spacing w:after="60"/>
        <w:ind w:firstLine="567"/>
        <w:jc w:val="both"/>
      </w:pPr>
      <w:r>
        <w:rPr>
          <w:rFonts w:ascii="Arial" w:cs="Arial" w:eastAsia="Arial" w:hAnsi="Arial"/>
          <w:sz w:val="24"/>
          <w:szCs w:val="24"/>
        </w:rPr>
        <w:t xml:space="preserve">Решения государственной аттестационной комиссии принимаются на закрытых заседаниях простым большинством голосов членов комиссий, участвующих в заседании, при обязательном присутствии председателя комиссии или его заместителя. При равном числе голосов председатель комиссии (или заменяющий его заместитель председателя комиссии) обладает правом решающего голоса. Все решения государственной аттестационной комиссии оформляются протоколами.</w:t>
      </w:r>
    </w:p>
    <w:p>
      <w:pPr>
        <w:spacing w:after="60"/>
        <w:ind w:firstLine="567"/>
        <w:jc w:val="both"/>
      </w:pPr>
      <w:r>
        <w:rPr>
          <w:rFonts w:ascii="Arial" w:cs="Arial" w:eastAsia="Arial" w:hAnsi="Arial"/>
          <w:sz w:val="24"/>
          <w:szCs w:val="24"/>
        </w:rPr>
        <w:t xml:space="preserve">18. Диплом с отличием выдается выпускнику, сдавшему экзамены с оценкой "отлично" не менее чем 75 процентов всех дисциплин, вносимых в приложение к диплому, а по остальным дисциплинам, вносимым в это приложение, - с оценкой "хорошо" и прошедшему итоговую государственную аттестацию только с отличными оценками.</w:t>
      </w:r>
    </w:p>
    <w:p>
      <w:pPr>
        <w:spacing w:after="60"/>
        <w:ind w:firstLine="567"/>
        <w:jc w:val="both"/>
      </w:pPr>
      <w:r>
        <w:rPr>
          <w:rFonts w:ascii="Arial" w:cs="Arial" w:eastAsia="Arial" w:hAnsi="Arial"/>
          <w:sz w:val="24"/>
          <w:szCs w:val="24"/>
        </w:rPr>
        <w:t xml:space="preserve">Выпускнику, обучавшемуся по двухуровневой системе высшего образования, диплом с отличием выдается при условии выполнения программы полного высшего профессионального образования, с учетом соответствующего базового образования (бакалавр) и прошедшему итоговую государственную аттестацию с отличными оценками на всех уровнях.</w:t>
      </w:r>
    </w:p>
    <w:p>
      <w:pPr>
        <w:spacing w:after="60"/>
        <w:ind w:firstLine="567"/>
        <w:jc w:val="both"/>
      </w:pPr>
      <w:r>
        <w:rPr>
          <w:rFonts w:ascii="Arial" w:cs="Arial" w:eastAsia="Arial" w:hAnsi="Arial"/>
          <w:sz w:val="24"/>
          <w:szCs w:val="24"/>
        </w:rPr>
        <w:t xml:space="preserve">19. Лицам, завершившим освоение основной образовательной программы и не подтвердившим соответствие подготовки требованиям государственного образовательного стандарта высшего профессионального образования при прохождении одного или нескольких итоговых аттестационных испытаний, при восстановлении в вузе назначаются повторные итоговые аттестационные испытания в порядке, определяемом высшим учебным заведением. Если повторным аттестационным испытанием является защита выпускной квалификационной работы, то студенту выдаются новые тема и задания.</w:t>
      </w:r>
    </w:p>
    <w:p>
      <w:pPr>
        <w:spacing w:after="60"/>
        <w:ind w:firstLine="567"/>
        <w:jc w:val="both"/>
      </w:pPr>
      <w:r>
        <w:rPr>
          <w:rFonts w:ascii="Arial" w:cs="Arial" w:eastAsia="Arial" w:hAnsi="Arial"/>
          <w:sz w:val="24"/>
          <w:szCs w:val="24"/>
        </w:rPr>
        <w:t xml:space="preserve">20. Повторное прохождение итоговых аттестационных испытаний назначается не ранее чем через три месяца и не более чем через пять лет после прохождения итоговой государственной аттестации впервые.</w:t>
      </w:r>
    </w:p>
    <w:p>
      <w:pPr>
        <w:spacing w:after="60"/>
        <w:ind w:firstLine="567"/>
        <w:jc w:val="both"/>
      </w:pPr>
      <w:r>
        <w:rPr>
          <w:rFonts w:ascii="Arial" w:cs="Arial" w:eastAsia="Arial" w:hAnsi="Arial"/>
          <w:sz w:val="24"/>
          <w:szCs w:val="24"/>
        </w:rPr>
        <w:t xml:space="preserve">Повторные итоговые аттестационные испытания не могут назначаться высшим учебным заведением более двух раз.</w:t>
      </w:r>
    </w:p>
    <w:p>
      <w:pPr>
        <w:spacing w:after="60"/>
        <w:ind w:firstLine="567"/>
        <w:jc w:val="both"/>
      </w:pPr>
      <w:r>
        <w:rPr>
          <w:rFonts w:ascii="Arial" w:cs="Arial" w:eastAsia="Arial" w:hAnsi="Arial"/>
          <w:sz w:val="24"/>
          <w:szCs w:val="24"/>
        </w:rPr>
        <w:t xml:space="preserve">21. Лицам, не проходившим итоговых аттестационных испытаний по уважительной причине (по медицинским показаниям, по семейным обстоятельствам, документально подтвержденным), должна быть предоставлена возможность пройти итоговые аттестационные испытания без отчисления из вуза.</w:t>
      </w:r>
    </w:p>
    <w:p>
      <w:pPr>
        <w:spacing w:after="60"/>
        <w:ind w:firstLine="567"/>
        <w:jc w:val="both"/>
      </w:pPr>
      <w:r>
        <w:rPr>
          <w:rFonts w:ascii="Arial" w:cs="Arial" w:eastAsia="Arial" w:hAnsi="Arial"/>
          <w:sz w:val="24"/>
          <w:szCs w:val="24"/>
        </w:rPr>
        <w:t xml:space="preserve">Дополнительные заседания государственных аттестационных комиссий организуются в установленном высшим учебным заведением порядке.</w:t>
      </w:r>
    </w:p>
    <w:p>
      <w:pPr>
        <w:spacing w:after="60"/>
        <w:ind w:firstLine="567"/>
        <w:jc w:val="both"/>
      </w:pPr>
      <w:r>
        <w:rPr>
          <w:rFonts w:ascii="Arial" w:cs="Arial" w:eastAsia="Arial" w:hAnsi="Arial"/>
          <w:sz w:val="24"/>
          <w:szCs w:val="24"/>
        </w:rPr>
        <w:t xml:space="preserve">22. Отчеты о работе государственных аттестационных комиссий заслушиваются на ученом совете высшего учебного заведения и вместе с рекомендациями о совершенствовании качества профессиональной подготовки специалистов представляются учредителю и в Министерство образования и науки Кыргызской Республики в двухмесячный срок после завершения итоговой государственной аттестации выпускников. Протоколы итоговой государственной аттестации выпускников хранятся в архиве высшего учебного заведения.</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gx9tqnoduracouttdmm2j">
      <w:r>
        <w:rPr>
          <w:rFonts w:ascii="Arial" w:cs="Arial" w:eastAsia="Arial" w:hAnsi="Arial"/>
          <w:color w:val="132D3F"/>
          <w:sz w:val="16"/>
          <w:szCs w:val="16"/>
          <w:u w:val="single"/>
        </w:rPr>
        <w:t xml:space="preserve">dalil.kg/document/96042</w:t>
      </w:r>
    </w:hyperlink>
  </w:p>
  <w:p>
    <w:pPr>
      <w:spacing w:after="0" w:before="40"/>
      <w:jc w:val="center"/>
    </w:pPr>
    <w:hyperlink w:history="1" r:id="rIdp1ihpjtd4mz974mkask59">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hbdw-b__rp7_7pbsudhcz" Type="http://schemas.openxmlformats.org/officeDocument/2006/relationships/hyperlink" Target="https://dalil.kg/document/230006787" TargetMode="External"/><Relationship Id="rIdbwz45epypqk7sqm-xhrtu" Type="http://schemas.openxmlformats.org/officeDocument/2006/relationships/hyperlink" Target="https://dalil.kg/document/157910" TargetMode="External"/><Relationship Id="rIdk6w3ms50r0hmqwcas-wsu" Type="http://schemas.openxmlformats.org/officeDocument/2006/relationships/hyperlink" Target="https://dalil.kg/document/157910" TargetMode="External"/><Relationship Id="rIdtwxltyccwfu3kyqj6jojh" Type="http://schemas.openxmlformats.org/officeDocument/2006/relationships/hyperlink" Target="https://dalil.kg/document/96607" TargetMode="External"/><Relationship Id="rId_uccy9-ov4ntdoaetjq0p" Type="http://schemas.openxmlformats.org/officeDocument/2006/relationships/hyperlink" Target="https://dalil.kg/document/157910" TargetMode="External"/><Relationship Id="rId8" Type="http://schemas.openxmlformats.org/officeDocument/2006/relationships/image" Target="media/8de64316e95979c063c17bcd5380dc052a2594e9.png"/><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gx9tqnoduracouttdmm2j" Type="http://schemas.openxmlformats.org/officeDocument/2006/relationships/hyperlink" Target="https://dalil.kg/document/96042" TargetMode="External"/><Relationship Id="rIdp1ihpjtd4mz974mkask59"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2026-09-24T12:45:50.950Z</dcterms:created>
  <dcterms:modified xsi:type="dcterms:W3CDTF">2026-09-24T12:45:50.950Z</dcterms:modified>
</cp:coreProperties>
</file>

<file path=docProps/custom.xml><?xml version="1.0" encoding="utf-8"?>
<Properties xmlns="http://schemas.openxmlformats.org/officeDocument/2006/custom-properties" xmlns:vt="http://schemas.openxmlformats.org/officeDocument/2006/docPropsVTypes"/>
</file>