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создании Государственного предприятия "Центр "единого окна" в сфере внешней торговли" от 27 августа 2009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продвижения внешней торговли Кыргызской Республики, в соответствии со статьями 10 и 17 </w:t>
      </w:r>
      <w:hyperlink w:history="1" r:id="rIdgzmn49zvjdj0lospag6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ieapfwbgrzyorzf4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"Центр "единого окна" в сфере внешней торговли" от 27 августа 2009 года № 539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текста на государственном языке слова "Бир терезе" заменить словами "Бирдиктуу терезе";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odqocp9orxan362h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Кыргызской Республики, утвержденного вышеуказанным </w:t>
      </w:r>
      <w:hyperlink w:history="1" r:id="rIdwjux2lea7edczwehn7a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на государственном языке слова "Бир Терезе" и "бир терезе" заменить словами "Бирдиктуу терезе" и "бирдиктуу терезе"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Предприятие вправе открывать представительства на территории Кыргызской Республики и за ее пределами с соблюдением требований законодательства Кыргызской Республики, а также законодательств иностранных государств по месту нахождения представительств, если иное не предусмотрено международным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абзаце четвертом пункта</w:t>
      </w:r>
      <w:r>
        <w:rPr>
          <w:rFonts w:ascii="Arial" w:cs="Arial" w:eastAsia="Arial" w:hAnsi="Arial"/>
          <w:sz w:val="24"/>
          <w:szCs w:val="24"/>
        </w:rPr>
        <w:t xml:space="preserve"> 6 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 "Centre of Single Window" in the foreign trade arena" </w:t>
      </w:r>
      <w:r>
        <w:rPr>
          <w:rFonts w:ascii="Arial" w:cs="Arial" w:eastAsia="Arial" w:hAnsi="Arial"/>
          <w:sz w:val="24"/>
          <w:szCs w:val="24"/>
        </w:rPr>
        <w:t xml:space="preserve">заменить словами</w:t>
      </w:r>
      <w:r>
        <w:rPr>
          <w:rFonts w:ascii="Arial" w:cs="Arial" w:eastAsia="Arial" w:hAnsi="Arial"/>
          <w:sz w:val="24"/>
          <w:szCs w:val="24"/>
        </w:rPr>
        <w:t xml:space="preserve"> "Single Window" Centre for foreign trade";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Предприятие осуществляет свою деятельность в целях содействия развитию и продвижению внешней торговли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Основными задачами Предприятия являются создание системы "единого окна", организация, развитие, предоставление услуг и обеспечение надлежащего функционирования системы "единого окна" при осуществлении предтаможенных процедур в сфере импортно-экспортной деятельности для участников внешнеэкономической деятельности, а также содействие продвижению и развитию экспорта.";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шестнадцатым-двадцатым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обновление и анализ информации, необходимой для предпринимателей в сфере экспортной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методические, справочно-информационные и аналитические материалы по условиям, процедурам и услугам в сфере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экспортного потенциала отечественных предпринимателей посредством оказания консультационных и иных специализированных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маркетинговых мероприятиях по повышению имиджа и продвижению экспортной продукции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международными организациями и иными партнерами по развитию по вопросам привлечения технической и финансовой помощи для развития потенциала экспортных предприятий для продвижения экспорта;";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сфере внешней торговли" дополнить словами ", а также продвижению и развитию экспорта";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рамках принципа "единого окна"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"государственных" дополнить словами "и негосударственных";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"в рамках принципа "единого окна"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после слова "семинаров" дополнить словами "и других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"министра экономики Кыргызской Республики" заменить словами "председателя Фонда по управлению государственным имуществом при Правительстве Кыргызской Республики на основании предложения министра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Предприятия имеет одного заместителя, назначаемого на должность и освобождаемого от должности председателем Фонда по управлению государственным имуществом при Правительстве Кыргызской Республики по представлению министра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представления Фонду по управлению государственным имуществом при Правительстве Кыргызской Республики кандидатур на должность директора, заместителя директора и согласование кандидатуры для назначения бухгалтера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29 текста на государственном языке слова "бир терезенин" заменить словами "бирдиктуу терезенин".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6ymnxpepfks2uznu-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dalil.kg/document/96070</w:t>
      </w:r>
    </w:hyperlink>
  </w:p>
  <w:p>
    <w:pPr>
      <w:spacing w:after="0" w:before="40"/>
      <w:jc w:val="center"/>
    </w:pPr>
    <w:hyperlink w:history="1" r:id="rIdlwckfg_ldmvp-_nuqju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mn49zvjdj0lospag6fn" Type="http://schemas.openxmlformats.org/officeDocument/2006/relationships/hyperlink" Target="https://dalil.kg/document/203685" TargetMode="External"/><Relationship Id="rIdevieapfwbgrzyorzf4-pw" Type="http://schemas.openxmlformats.org/officeDocument/2006/relationships/hyperlink" Target="https://dalil.kg/document/90205" TargetMode="External"/><Relationship Id="rIdxmodqocp9orxan362hqsv" Type="http://schemas.openxmlformats.org/officeDocument/2006/relationships/hyperlink" Target="https://dalil.kg/document/90216" TargetMode="External"/><Relationship Id="rIdwjux2lea7edczwehn7au5" Type="http://schemas.openxmlformats.org/officeDocument/2006/relationships/hyperlink" Target="https://dalil.kg/document/90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6ymnxpepfks2uznu-qs" Type="http://schemas.openxmlformats.org/officeDocument/2006/relationships/hyperlink" Target="https://dalil.kg/document/96070" TargetMode="External"/><Relationship Id="rIdlwckfg_ldmvp-_nuqju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2026-09-23T16:55:09.213Z</dcterms:created>
  <dcterms:modified xsi:type="dcterms:W3CDTF">2026-09-23T16:55:09.213Z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