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4l7yqb8izsmmlrz9ewbks">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февраля 2014 года № 62</w:t>
      </w:r>
    </w:p>
    <w:p>
      <w:pPr>
        <w:spacing w:after="12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в 2013 году реальный прирост экономики составил 10,5 процента, против снижения на 0,1 процента в 2012 году. Целевой показатель экономического роста, который прогнозировался в начале года на уровне 7,8 процента, превышен на 2,7 процентного пункта.</w:t>
      </w:r>
    </w:p>
    <w:p>
      <w:pPr>
        <w:spacing w:after="120"/>
        <w:jc w:val="both"/>
      </w:pPr>
      <w:r>
        <w:rPr>
          <w:rFonts w:ascii="Arial" w:cs="Arial" w:eastAsia="Arial" w:hAnsi="Arial"/>
          <w:sz w:val="24"/>
          <w:szCs w:val="24"/>
        </w:rPr>
        <w:t xml:space="preserve">По итогам 2013 года объем валового внутреннего продукта сложился в сумме 350 млрд сомов. Без учета предприятий по разработке месторождения Кумтор, реальный прирост ВВП составил 5,8 процента, за 2012 год аналогичный показатель составил 6,3 процента. Основными факторами, которые повлияли на рост экономики,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а также рост в сельском хозяйстве, строительстве и сфере услуг.</w:t>
      </w:r>
    </w:p>
    <w:p>
      <w:pPr>
        <w:spacing w:after="120"/>
        <w:jc w:val="both"/>
      </w:pPr>
      <w:r>
        <w:rPr>
          <w:rFonts w:ascii="Arial" w:cs="Arial" w:eastAsia="Arial" w:hAnsi="Arial"/>
          <w:sz w:val="24"/>
          <w:szCs w:val="24"/>
        </w:rPr>
        <w:t xml:space="preserve">Совместные действия Правительства Кыргызской Республики и Национального банка Кыргызской Республики позволили удержать уровень инфляции в пределах однозначных показателей. Значение инфляции по итогам года, декабрь 2013 года к декабрю 2012 года, сложилось на уровне 4,0 процента против 7,5 процента в 2012 году.</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январе-ноябре 2013 года, без учета малых предприятий, составила 11085 сомов и по сравнению с январем-ноябрем 2012 года увеличилась на 4,9 процента, а ее реальный размер, исчисленный с учетом индекса потребительских цен, уменьшился на 1,8 процента.</w:t>
      </w:r>
    </w:p>
    <w:p>
      <w:pPr>
        <w:spacing w:after="120"/>
        <w:jc w:val="both"/>
      </w:pPr>
      <w:r>
        <w:rPr>
          <w:rFonts w:ascii="Arial" w:cs="Arial" w:eastAsia="Arial" w:hAnsi="Arial"/>
          <w:sz w:val="24"/>
          <w:szCs w:val="24"/>
        </w:rPr>
        <w:t xml:space="preserve">В результате повышения пенсий, средний размер пенсии достиг уровня 4478 сомов и по сравнению с 2012 годом возрос на 6,8 процента. Соотношение среднего размера пенсии к прожиточному минимуму пенсионера составляет 109,3 процента.</w:t>
      </w:r>
    </w:p>
    <w:p>
      <w:pPr>
        <w:spacing w:after="120"/>
        <w:jc w:val="both"/>
      </w:pPr>
      <w:r>
        <w:rPr>
          <w:rFonts w:ascii="Arial" w:cs="Arial" w:eastAsia="Arial" w:hAnsi="Arial"/>
          <w:sz w:val="24"/>
          <w:szCs w:val="24"/>
        </w:rPr>
        <w:t xml:space="preserve">Внешнеторговый оборот за январь-ноябрь 2013 года составил 6972,3 млн долл. США и по сравнению с январем-ноябрем 2012 года вырос на 8,7 процента. В структуре товарооборота на долю экспорта пришлось 22,2 процента, а импорта – 77,8 процента. Дефицит торгового баланса в январе-ноябре 2013 года составил 3876,1 млн долл. США и превысил показатель аналогичного периода 2012 года на 9,2 процента.</w:t>
      </w:r>
    </w:p>
    <w:p>
      <w:pPr>
        <w:spacing w:after="120"/>
        <w:jc w:val="both"/>
      </w:pPr>
      <w:r>
        <w:rPr>
          <w:rFonts w:ascii="Arial" w:cs="Arial" w:eastAsia="Arial" w:hAnsi="Arial"/>
          <w:sz w:val="24"/>
          <w:szCs w:val="24"/>
        </w:rPr>
        <w:t xml:space="preserve">По итогам 2013 года промышленными предприятиями произведено продукции на сумму 164,8 млрд сомов, или объем производства промышленного сектора по сравнению с 2012 годом увеличился на 34,3 процента, без учета предприятий по разработке месторождения Кумтор – 84,7 млрд сомов, или темп реального прироста составил 3,5 процента.</w:t>
      </w:r>
    </w:p>
    <w:p>
      <w:pPr>
        <w:spacing w:after="120"/>
        <w:jc w:val="both"/>
      </w:pPr>
      <w:r>
        <w:rPr>
          <w:rFonts w:ascii="Arial" w:cs="Arial" w:eastAsia="Arial" w:hAnsi="Arial"/>
          <w:sz w:val="24"/>
          <w:szCs w:val="24"/>
        </w:rPr>
        <w:t xml:space="preserve">Продолжает сохраняться реальное снижение производства с начала 2014 года в текстильном и швейном производствах – на 16,5 процента. Основной причиной спада объемов производства являются простои предприятий из-за отсутствия заказов, обусловленных снижением спроса в на швейную продукцию Российской Федерации.</w:t>
      </w:r>
    </w:p>
    <w:p>
      <w:pPr>
        <w:spacing w:after="120"/>
        <w:jc w:val="both"/>
      </w:pPr>
      <w:r>
        <w:rPr>
          <w:rFonts w:ascii="Arial" w:cs="Arial" w:eastAsia="Arial" w:hAnsi="Arial"/>
          <w:sz w:val="24"/>
          <w:szCs w:val="24"/>
        </w:rPr>
        <w:t xml:space="preserve">В производстве и распределении электроэнергии, газа и воды отмечено снижение производства по сравнению с 2012 годом. Объем производства за 2013 год составил 22,8 млрд сомов, индекс физического объема составил 98,3 процента за счет снижения объемов выработки электроэнергии на 4,9 процента, теплоэнергии – на 8,7 процента, услуг по распределению электроэнергии, без стоимости покупной электроэнергии, – на 3,9 процента. Данное снижение обусловлено наступлением маловодного периода и неполной загруженностью производственных мощностей Токтогульской ГЭС, а также отсутствием ввода новых генерирующих мощностей.</w:t>
      </w:r>
    </w:p>
    <w:p>
      <w:pPr>
        <w:spacing w:after="120"/>
        <w:jc w:val="both"/>
      </w:pPr>
      <w:r>
        <w:rPr>
          <w:rFonts w:ascii="Arial" w:cs="Arial" w:eastAsia="Arial" w:hAnsi="Arial"/>
          <w:sz w:val="24"/>
          <w:szCs w:val="24"/>
        </w:rPr>
        <w:t xml:space="preserve">В горнодобывающей промышленности объем производства продукции по итогам 2013 года сложился в сумме 5,4 млрд сомов и по сравнению с 2012 годом снизился в реальном выражении на 4,6 процента, за счет значительного сокращения добычи металлических руд – на 32,6 процента.</w:t>
      </w:r>
    </w:p>
    <w:p>
      <w:pPr>
        <w:spacing w:after="120"/>
        <w:jc w:val="both"/>
      </w:pPr>
      <w:r>
        <w:rPr>
          <w:rFonts w:ascii="Arial" w:cs="Arial" w:eastAsia="Arial" w:hAnsi="Arial"/>
          <w:sz w:val="24"/>
          <w:szCs w:val="24"/>
        </w:rPr>
        <w:t xml:space="preserve">В сельском хозяйстве по итогам 2013 года произведено валовой продукции всеми категориями хозяйств республики на 172,0 млрд сомов и в реальном выражении увеличилась на 2,9 процента, в том числе, по отрасли растениеводства рост составил 4,9 процента (87 млрд сомов), а по отрасли животноводства – 1,0 процента (81,4 млрд сомов).</w:t>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По итогам 2013 года объем инвестиций в основной капитал за счет всех источников финансирования составил 78,2 млрд сомов и увеличился на 2,3 процента, что привело к росту в строительной отрасли на 12,4 процента в сравнении с 2012 годом.</w:t>
      </w:r>
    </w:p>
    <w:p>
      <w:pPr>
        <w:spacing w:after="120"/>
        <w:jc w:val="both"/>
      </w:pPr>
      <w:r>
        <w:rPr>
          <w:rFonts w:ascii="Arial" w:cs="Arial" w:eastAsia="Arial" w:hAnsi="Arial"/>
          <w:sz w:val="24"/>
          <w:szCs w:val="24"/>
        </w:rPr>
        <w:t xml:space="preserve">Валовой выпуск сферы услуг за 2013 год сложился в объеме 297,3 млрд сомов и реальный темп роста составил 105,4 процента. Вклад в рост сферы услуг обеспечен со стороны торговли, где прирост составил 6,9 процента, вклад – 2,3 процентного пункта, сферой предоставления услуг транспорта и связи - на 5,8 процента и 19,5 процента, соответственно, вклад составил – 0,6 и 1,8 процентного пункта.</w:t>
      </w:r>
    </w:p>
    <w:p>
      <w:pPr>
        <w:spacing w:after="120"/>
        <w:jc w:val="both"/>
      </w:pPr>
      <w:r>
        <w:rPr>
          <w:rFonts w:ascii="Arial" w:cs="Arial" w:eastAsia="Arial" w:hAnsi="Arial"/>
          <w:sz w:val="24"/>
          <w:szCs w:val="24"/>
        </w:rPr>
        <w:t xml:space="preserve">Вместе с тем, общий объем доходов государственного бюджета, без специальных средств, за 2013 год составил 92 257,9 млн сомов, или 98,2 процента к прогнозу. По сравнению с аналогичным периодом прошлого года показатели доходов в денежном выражении возросли на 11 913,5 млн сомов. Номинальный темп роста составил 114,8 процента. Доля общих доходов государственного бюджета, без спецсредств, за отчетный период составила 26,4 процента к ВВП.</w:t>
      </w:r>
    </w:p>
    <w:p>
      <w:pPr>
        <w:spacing w:after="120"/>
        <w:jc w:val="both"/>
      </w:pPr>
      <w:r>
        <w:rPr>
          <w:rFonts w:ascii="Arial" w:cs="Arial" w:eastAsia="Arial" w:hAnsi="Arial"/>
          <w:sz w:val="24"/>
          <w:szCs w:val="24"/>
        </w:rPr>
        <w:t xml:space="preserve">За январь-декабрь 2013 года расходная часть республиканского бюджета, без специальных средств и с учетом государственного долга, исполнена в сумме 90 994,1 млн сомов, или на 97,7 процента от плана. За соответствующий период 2012 года исполнение республиканского бюджета, без специальных средств, составило 81 960,5 млн сомов. В сравнении с аналогичным периодом 2012 года общие расходы увеличились на 9 033,6 млн сомов, или на 11,0 процента. К объему ВВП общие расходы республиканского бюджета составили 26,0 процента с уменьшением относительно аналогичного периода 2012 года на 0,9 процентного пункта.</w:t>
      </w:r>
    </w:p>
    <w:p>
      <w:pPr>
        <w:spacing w:after="120"/>
        <w:jc w:val="both"/>
      </w:pPr>
      <w:r>
        <w:rPr>
          <w:rFonts w:ascii="Arial" w:cs="Arial" w:eastAsia="Arial" w:hAnsi="Arial"/>
          <w:sz w:val="24"/>
          <w:szCs w:val="24"/>
        </w:rPr>
        <w:t xml:space="preserve">Дефицит республиканского бюджета за январь-декабрь 2013 года составил 2849,5 млн сомов, или 0,8 процента к ВВП.</w:t>
      </w:r>
    </w:p>
    <w:p>
      <w:pPr>
        <w:spacing w:after="120"/>
        <w:jc w:val="both"/>
      </w:pPr>
      <w:r>
        <w:rPr>
          <w:rFonts w:ascii="Arial" w:cs="Arial" w:eastAsia="Arial" w:hAnsi="Arial"/>
          <w:sz w:val="24"/>
          <w:szCs w:val="24"/>
        </w:rPr>
        <w:t xml:space="preserve">В целях недопущения негативных тенденций по отдельным направлениям социально-экономического развития, установленных в Национальной стратегии устойчивого развития Кыргызской Республики на период 2013-2017 годы, утвержденной </w:t>
      </w:r>
      <w:hyperlink w:history="1" r:id="rIdxteyjqsfz6vmncjvcnwl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и Программой по переходу Кыргызской Республики к устойчивому развитию на 2013-2017 годы, утвержденной </w:t>
      </w:r>
      <w:hyperlink w:history="1" r:id="rIdufnwlayp-e1zghbnze8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а также достижения целевых макроэкономических показателей, установленных Прогнозом социально-экономического развития Кыргызской Республики на 2014 год и 2015-2016 годы, утвержденным постановлением Правительства Кыргызской Республики от 12 июля 2013 года № 408,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Министерства экономики Кыргызской Республики об итогах социально-экономического развития Кыргызской Республики за 2013 год.</w:t>
      </w:r>
    </w:p>
    <w:p>
      <w:pPr>
        <w:spacing w:after="120"/>
        <w:jc w:val="both"/>
      </w:pPr>
      <w:r>
        <w:rPr>
          <w:rFonts w:ascii="Arial" w:cs="Arial" w:eastAsia="Arial" w:hAnsi="Arial"/>
          <w:sz w:val="24"/>
          <w:szCs w:val="24"/>
        </w:rPr>
        <w:t xml:space="preserve">2. Министерству экономики Кыргызской Республики разместить информацию, указанную в пункте 1 настоящего постановления, на официальном сайте министерства.</w:t>
      </w:r>
    </w:p>
    <w:p>
      <w:pPr>
        <w:spacing w:after="120"/>
        <w:jc w:val="both"/>
      </w:pPr>
      <w:r>
        <w:rPr>
          <w:rFonts w:ascii="Arial" w:cs="Arial" w:eastAsia="Arial" w:hAnsi="Arial"/>
          <w:sz w:val="24"/>
          <w:szCs w:val="24"/>
        </w:rPr>
        <w:t xml:space="preserve">3. Министерствам, административным ведомствам, полномочным представителям Правительства Кыргызской Республики в областях, местным государственным администрациям, мэриям городов Бишкек и Ош на основе фактических результатов в социально-экономическом развитии, достигнутых в 2013 году, внести соответствующие предложения в Министерство экономики Кыргызской Республики по обеспечению целевых показателей, утвержденных </w:t>
      </w:r>
      <w:hyperlink w:history="1" r:id="rIdvk7re706b8lmuy4hddu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2014 год и 2015-2016 годы» от 12 июля 2013 года № 408.</w:t>
      </w:r>
    </w:p>
    <w:p>
      <w:pPr>
        <w:spacing w:after="120"/>
        <w:jc w:val="both"/>
      </w:pPr>
      <w:r>
        <w:rPr>
          <w:rFonts w:ascii="Arial" w:cs="Arial" w:eastAsia="Arial" w:hAnsi="Arial"/>
          <w:sz w:val="24"/>
          <w:szCs w:val="24"/>
        </w:rPr>
        <w:t xml:space="preserve">4.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 главами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принять исчерпывающие меры по подготовке к весенне-полевым работам;</w:t>
      </w:r>
    </w:p>
    <w:p>
      <w:pPr>
        <w:spacing w:after="120"/>
        <w:jc w:val="both"/>
      </w:pPr>
      <w:r>
        <w:rPr>
          <w:rFonts w:ascii="Arial" w:cs="Arial" w:eastAsia="Arial" w:hAnsi="Arial"/>
          <w:sz w:val="24"/>
          <w:szCs w:val="24"/>
        </w:rPr>
        <w:t xml:space="preserve">- обеспечить бесперебойную работу всех имеющихся технических и агротехнических сервисных служб путем укомплектования их необходимыми запасными частями, узлами и агрегатами для обеспечения их ремонта;</w:t>
      </w:r>
    </w:p>
    <w:p>
      <w:pPr>
        <w:spacing w:after="120"/>
        <w:jc w:val="both"/>
      </w:pPr>
      <w:r>
        <w:rPr>
          <w:rFonts w:ascii="Arial" w:cs="Arial" w:eastAsia="Arial" w:hAnsi="Arial"/>
          <w:sz w:val="24"/>
          <w:szCs w:val="24"/>
        </w:rPr>
        <w:t xml:space="preserve">- наладить работу с поставщиками минеральных удобрений и средств защиты растений по их поставкам в республику на договорных началах и на взаимовыгодных для сельских товаропроизводителей условиях;</w:t>
      </w:r>
    </w:p>
    <w:p>
      <w:pPr>
        <w:spacing w:after="120"/>
        <w:jc w:val="both"/>
      </w:pPr>
      <w:r>
        <w:rPr>
          <w:rFonts w:ascii="Arial" w:cs="Arial" w:eastAsia="Arial" w:hAnsi="Arial"/>
          <w:sz w:val="24"/>
          <w:szCs w:val="24"/>
        </w:rPr>
        <w:t xml:space="preserve">- для повышения эффективности кредитов, выдаваемых фермерам по программе «Доступные кредиты фермерам», усилить надзор за их целевым использованием.</w:t>
      </w:r>
    </w:p>
    <w:p>
      <w:pPr>
        <w:spacing w:after="120"/>
        <w:jc w:val="both"/>
      </w:pPr>
      <w:r>
        <w:rPr>
          <w:rFonts w:ascii="Arial" w:cs="Arial" w:eastAsia="Arial" w:hAnsi="Arial"/>
          <w:sz w:val="24"/>
          <w:szCs w:val="24"/>
        </w:rPr>
        <w:t xml:space="preserve">5.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своевременно и в полном объеме исполнить мероприятия по реализации крупных национальных инвестиционных проектов в энергетическом секторе, включенных в Национальную стратегию устойчивого развития Кыргызской Республики на период 2013-2017 годы и Программу по переходу Кыргызской Республики к устойчивому развитию на период 2013-2017 годы;</w:t>
      </w:r>
    </w:p>
    <w:p>
      <w:pPr>
        <w:spacing w:after="120"/>
        <w:jc w:val="both"/>
      </w:pPr>
      <w:r>
        <w:rPr>
          <w:rFonts w:ascii="Arial" w:cs="Arial" w:eastAsia="Arial" w:hAnsi="Arial"/>
          <w:sz w:val="24"/>
          <w:szCs w:val="24"/>
        </w:rPr>
        <w:t xml:space="preserve">- разработать проект среднесрочной тарифной политики на электрическую и тепловую энергии на 2014-2017 годы;</w:t>
      </w:r>
    </w:p>
    <w:p>
      <w:pPr>
        <w:spacing w:after="120"/>
        <w:jc w:val="both"/>
      </w:pPr>
      <w:r>
        <w:rPr>
          <w:rFonts w:ascii="Arial" w:cs="Arial" w:eastAsia="Arial" w:hAnsi="Arial"/>
          <w:sz w:val="24"/>
          <w:szCs w:val="24"/>
        </w:rPr>
        <w:t xml:space="preserve">- совместно с Государственной таможенной службой при Правительстве Кыргызской Республики и заинтересованными министерствами, административными ведомствами активизировать работу по содействию в наращивании экспорта текстильной и швейной продукции;</w:t>
      </w:r>
    </w:p>
    <w:p>
      <w:pPr>
        <w:spacing w:after="120"/>
        <w:jc w:val="both"/>
      </w:pPr>
      <w:r>
        <w:rPr>
          <w:rFonts w:ascii="Arial" w:cs="Arial" w:eastAsia="Arial" w:hAnsi="Arial"/>
          <w:sz w:val="24"/>
          <w:szCs w:val="24"/>
        </w:rPr>
        <w:t xml:space="preserve">- принять меры по содействию в запуске и освоении мощностей предприятий по производству кокса, нефтепродуктов и ядерных материалов;</w:t>
      </w:r>
    </w:p>
    <w:p>
      <w:pPr>
        <w:spacing w:after="120"/>
        <w:jc w:val="both"/>
      </w:pPr>
      <w:r>
        <w:rPr>
          <w:rFonts w:ascii="Arial" w:cs="Arial" w:eastAsia="Arial" w:hAnsi="Arial"/>
          <w:sz w:val="24"/>
          <w:szCs w:val="24"/>
        </w:rPr>
        <w:t xml:space="preserve">- совместно с полномочными представителями Правительства Кыргызской Республики в областях, главами местных государственных администраций и органов местного самоуправления усилить работу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120"/>
        <w:jc w:val="both"/>
      </w:pPr>
      <w:r>
        <w:rPr>
          <w:rFonts w:ascii="Arial" w:cs="Arial" w:eastAsia="Arial" w:hAnsi="Arial"/>
          <w:sz w:val="24"/>
          <w:szCs w:val="24"/>
        </w:rPr>
        <w:t xml:space="preserve">6. Государственному агентству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совместно с ОАО «Кыргызалтын» (по согласованию) принять меры:</w:t>
      </w:r>
    </w:p>
    <w:p>
      <w:pPr>
        <w:spacing w:after="120"/>
        <w:jc w:val="both"/>
      </w:pPr>
      <w:r>
        <w:rPr>
          <w:rFonts w:ascii="Arial" w:cs="Arial" w:eastAsia="Arial" w:hAnsi="Arial"/>
          <w:sz w:val="24"/>
          <w:szCs w:val="24"/>
        </w:rPr>
        <w:t xml:space="preserve">по наращиванию минерально-сырьевой базы рудника Макмал и всячески способствовать функционированию комбината «Макмалзолото»;</w:t>
      </w:r>
    </w:p>
    <w:p>
      <w:pPr>
        <w:spacing w:after="120"/>
        <w:jc w:val="both"/>
      </w:pPr>
      <w:r>
        <w:rPr>
          <w:rFonts w:ascii="Arial" w:cs="Arial" w:eastAsia="Arial" w:hAnsi="Arial"/>
          <w:sz w:val="24"/>
          <w:szCs w:val="24"/>
        </w:rPr>
        <w:t xml:space="preserve">по выпуску конечной продукции из руды с высокой концентрацией мышьяка;</w:t>
      </w:r>
    </w:p>
    <w:p>
      <w:pPr>
        <w:spacing w:after="120"/>
        <w:jc w:val="both"/>
      </w:pPr>
      <w:r>
        <w:rPr>
          <w:rFonts w:ascii="Arial" w:cs="Arial" w:eastAsia="Arial" w:hAnsi="Arial"/>
          <w:sz w:val="24"/>
          <w:szCs w:val="24"/>
        </w:rPr>
        <w:t xml:space="preserve">- обеспечить ввод в действие золотодобывающих месторождений Иштамберди, Бозымчак, и выполнение прогнозных показателей по производству золота за счёт этих предприятий.</w:t>
      </w:r>
    </w:p>
    <w:p>
      <w:pPr>
        <w:spacing w:after="120"/>
        <w:jc w:val="both"/>
      </w:pPr>
      <w:r>
        <w:rPr>
          <w:rFonts w:ascii="Arial" w:cs="Arial" w:eastAsia="Arial" w:hAnsi="Arial"/>
          <w:sz w:val="24"/>
          <w:szCs w:val="24"/>
        </w:rPr>
        <w:t xml:space="preserve">7. Министерству культуры, информации и туризма Кыргызской Республики разработать и в установленном порядке внести в Правительство Кыргызской Республики проект Плана по активизации мер, направленных на повышение доходов от туристической отрасли 2014 году.</w:t>
      </w:r>
    </w:p>
    <w:p>
      <w:pPr>
        <w:spacing w:after="120"/>
        <w:jc w:val="both"/>
      </w:pPr>
      <w:r>
        <w:rPr>
          <w:rFonts w:ascii="Arial" w:cs="Arial" w:eastAsia="Arial" w:hAnsi="Arial"/>
          <w:sz w:val="24"/>
          <w:szCs w:val="24"/>
        </w:rPr>
        <w:t xml:space="preserve">8. Министерству финансов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принять меры по исполнению доходной части государственного бюджета в целях полного и своевременного финансирования социальных гарантированных расходов государства.</w:t>
      </w:r>
    </w:p>
    <w:p>
      <w:pPr>
        <w:spacing w:after="120"/>
        <w:jc w:val="both"/>
      </w:pPr>
      <w:r>
        <w:rPr>
          <w:rFonts w:ascii="Arial" w:cs="Arial" w:eastAsia="Arial" w:hAnsi="Arial"/>
          <w:sz w:val="24"/>
          <w:szCs w:val="24"/>
        </w:rPr>
        <w:t xml:space="preserve">9. Признать утратившими силу:</w:t>
      </w:r>
    </w:p>
    <w:p>
      <w:pPr>
        <w:spacing w:after="120"/>
        <w:jc w:val="both"/>
      </w:pPr>
      <w:r>
        <w:rPr>
          <w:rFonts w:ascii="Arial" w:cs="Arial" w:eastAsia="Arial" w:hAnsi="Arial"/>
          <w:sz w:val="24"/>
          <w:szCs w:val="24"/>
        </w:rPr>
        <w:t xml:space="preserve">- </w:t>
      </w:r>
      <w:hyperlink w:history="1" r:id="rIdwaipyezm7aucx69btmr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2011 года» от 19 августа 2011 года № 472;</w:t>
      </w:r>
    </w:p>
    <w:p>
      <w:pPr>
        <w:spacing w:after="120"/>
        <w:jc w:val="both"/>
      </w:pPr>
      <w:r>
        <w:rPr>
          <w:rFonts w:ascii="Arial" w:cs="Arial" w:eastAsia="Arial" w:hAnsi="Arial"/>
          <w:sz w:val="24"/>
          <w:szCs w:val="24"/>
        </w:rPr>
        <w:t xml:space="preserve">- </w:t>
      </w:r>
      <w:hyperlink w:history="1" r:id="rIdug0bsngonjn2b-rcm9v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2011 года» от 25 октября 2011 года № 669;</w:t>
      </w:r>
    </w:p>
    <w:p>
      <w:pPr>
        <w:spacing w:after="120"/>
        <w:jc w:val="both"/>
      </w:pPr>
      <w:r>
        <w:rPr>
          <w:rFonts w:ascii="Arial" w:cs="Arial" w:eastAsia="Arial" w:hAnsi="Arial"/>
          <w:sz w:val="24"/>
          <w:szCs w:val="24"/>
        </w:rPr>
        <w:t xml:space="preserve">- </w:t>
      </w:r>
      <w:hyperlink w:history="1" r:id="rIdppq4tv-0h8k_ructbuu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январь-март 2012 года» от 25 июня 2012 года № 438.</w:t>
      </w:r>
    </w:p>
    <w:p>
      <w:pPr>
        <w:spacing w:after="120"/>
        <w:jc w:val="both"/>
      </w:pPr>
      <w:r>
        <w:rPr>
          <w:rFonts w:ascii="Arial" w:cs="Arial" w:eastAsia="Arial" w:hAnsi="Arial"/>
          <w:sz w:val="24"/>
          <w:szCs w:val="24"/>
        </w:rPr>
        <w:t xml:space="preserve">10.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11. Контроль за исполнением настоящего постановления возложить на отдел экономики и инвестиций, отдел агропромышленного комплекса и экологии, отдел промышленности, топливно-энергетического комплекса и недропользования, отдел образования, культуры и спорта и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qnjssewh4dfgcer5w1l">
      <w:r>
        <w:rPr>
          <w:rFonts w:ascii="Arial" w:cs="Arial" w:eastAsia="Arial" w:hAnsi="Arial"/>
          <w:color w:val="132D3F"/>
          <w:sz w:val="16"/>
          <w:szCs w:val="16"/>
          <w:u w:val="single"/>
        </w:rPr>
        <w:t xml:space="preserve">dalil.kg/document/96105</w:t>
      </w:r>
    </w:hyperlink>
  </w:p>
  <w:p>
    <w:pPr>
      <w:spacing w:after="0" w:before="40"/>
      <w:jc w:val="center"/>
    </w:pPr>
    <w:hyperlink w:history="1" r:id="rIdzlakgmmrndjgh3w9yrk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7yqb8izsmmlrz9ewbks" Type="http://schemas.openxmlformats.org/officeDocument/2006/relationships/hyperlink" Target="https://dalil.kg/document/158975" TargetMode="External"/><Relationship Id="rIdxteyjqsfz6vmncjvcnwlt" Type="http://schemas.openxmlformats.org/officeDocument/2006/relationships/hyperlink" Target="https://dalil.kg/document/61526" TargetMode="External"/><Relationship Id="rIdufnwlayp-e1zghbnze8bj" Type="http://schemas.openxmlformats.org/officeDocument/2006/relationships/hyperlink" Target="https://dalil.kg/document/73233" TargetMode="External"/><Relationship Id="rIdvk7re706b8lmuy4hddudm" Type="http://schemas.openxmlformats.org/officeDocument/2006/relationships/hyperlink" Target="https://dalil.kg/document/94587" TargetMode="External"/><Relationship Id="rIdwaipyezm7aucx69btmrft" Type="http://schemas.openxmlformats.org/officeDocument/2006/relationships/hyperlink" Target="https://dalil.kg/document/92775" TargetMode="External"/><Relationship Id="rIdug0bsngonjn2b-rcm9vrv" Type="http://schemas.openxmlformats.org/officeDocument/2006/relationships/hyperlink" Target="https://dalil.kg/document/95309" TargetMode="External"/><Relationship Id="rIdppq4tv-0h8k_ructbuurv" Type="http://schemas.openxmlformats.org/officeDocument/2006/relationships/hyperlink" Target="https://dalil.kg/document/9333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qnjssewh4dfgcer5w1l" Type="http://schemas.openxmlformats.org/officeDocument/2006/relationships/hyperlink" Target="https://dalil.kg/document/96105" TargetMode="External"/><Relationship Id="rIdzlakgmmrndjgh3w9yrk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2026-09-24T01:15:48.291Z</dcterms:created>
  <dcterms:modified xsi:type="dcterms:W3CDTF">2026-09-24T01:15:48.291Z</dcterms:modified>
</cp:coreProperties>
</file>

<file path=docProps/custom.xml><?xml version="1.0" encoding="utf-8"?>
<Properties xmlns="http://schemas.openxmlformats.org/officeDocument/2006/custom-properties" xmlns:vt="http://schemas.openxmlformats.org/officeDocument/2006/docPropsVTypes"/>
</file>