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hgccsqvwcbhh-i-2_pjt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марта 2014 года № 168</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r1jcjtpzxjvq1xgyufd5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g53xpmgrq_vsi3q5uwpz_">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«Об инвестициях в Кыргызской Республике» (Ведомости Жогорку Кенеша Кыргызской Республики, 2003 г., № 7, ст. 252) следующие дополнение и изменения:</w:t>
      </w:r>
    </w:p>
    <w:p>
      <w:pPr>
        <w:spacing w:after="120"/>
        <w:jc w:val="both"/>
      </w:pPr>
      <w:r>
        <w:rPr>
          <w:rFonts w:ascii="Arial" w:cs="Arial" w:eastAsia="Arial" w:hAnsi="Arial"/>
          <w:sz w:val="24"/>
          <w:szCs w:val="24"/>
        </w:rPr>
        <w:t xml:space="preserve">1. Статью 1 дополнить пунктами 8 и 9 следующего содержания:</w:t>
      </w:r>
    </w:p>
    <w:p>
      <w:pPr>
        <w:spacing w:after="120"/>
        <w:jc w:val="both"/>
      </w:pPr>
      <w:r>
        <w:rPr>
          <w:rFonts w:ascii="Arial" w:cs="Arial" w:eastAsia="Arial" w:hAnsi="Arial"/>
          <w:sz w:val="24"/>
          <w:szCs w:val="24"/>
        </w:rPr>
        <w:t xml:space="preserve">«8. Инвестируемое предприятие - хозяйственное товарищество или общество, созданное на территории Кыргызской Республики, в деятельность которого инвестор осуществляет вложение инвестиций.</w:t>
      </w:r>
    </w:p>
    <w:p>
      <w:pPr>
        <w:spacing w:after="120"/>
        <w:jc w:val="both"/>
      </w:pPr>
      <w:r>
        <w:rPr>
          <w:rFonts w:ascii="Arial" w:cs="Arial" w:eastAsia="Arial" w:hAnsi="Arial"/>
          <w:sz w:val="24"/>
          <w:szCs w:val="24"/>
        </w:rPr>
        <w:t xml:space="preserve">9. Режим стабилизации - благоприятный правовой режим для инвестора и/или инвестируемого предприятия, в случае внесения изменений и дополнений в нормативные правовые акты Кыргызской Республики, регулирующие вопросы налоговых, неналоговых и таможенных платежей.».</w:t>
      </w:r>
    </w:p>
    <w:p>
      <w:pPr>
        <w:spacing w:after="120"/>
        <w:jc w:val="both"/>
      </w:pPr>
      <w:r>
        <w:rPr>
          <w:rFonts w:ascii="Arial" w:cs="Arial" w:eastAsia="Arial" w:hAnsi="Arial"/>
          <w:sz w:val="24"/>
          <w:szCs w:val="24"/>
        </w:rPr>
        <w:t xml:space="preserve">2. Статью 2 изложить в следующей редакции:</w:t>
      </w:r>
    </w:p>
    <w:p>
      <w:pPr>
        <w:spacing w:after="120"/>
        <w:jc w:val="both"/>
      </w:pPr>
      <w:r>
        <w:rPr>
          <w:rFonts w:ascii="Arial" w:cs="Arial" w:eastAsia="Arial" w:hAnsi="Arial"/>
          <w:sz w:val="24"/>
          <w:szCs w:val="24"/>
        </w:rPr>
        <w:t xml:space="preserve">«Статья 2. Законодательство Кыргызской Республики об инвестициях и режиме стабилизации</w:t>
      </w:r>
    </w:p>
    <w:p>
      <w:pPr>
        <w:spacing w:after="120"/>
        <w:jc w:val="both"/>
      </w:pPr>
      <w:r>
        <w:rPr>
          <w:rFonts w:ascii="Arial" w:cs="Arial" w:eastAsia="Arial" w:hAnsi="Arial"/>
          <w:sz w:val="24"/>
          <w:szCs w:val="24"/>
        </w:rPr>
        <w:t xml:space="preserve">1. Законодательство, регулирующее инвестиционный режим, состоит из Конституции Кыргызской Республики, настоящего Закона и других нормативных правовых актов Кыргызской Республики.</w:t>
      </w:r>
    </w:p>
    <w:p>
      <w:pPr>
        <w:spacing w:after="120"/>
        <w:jc w:val="both"/>
      </w:pPr>
      <w:r>
        <w:rPr>
          <w:rFonts w:ascii="Arial" w:cs="Arial" w:eastAsia="Arial" w:hAnsi="Arial"/>
          <w:sz w:val="24"/>
          <w:szCs w:val="24"/>
        </w:rPr>
        <w:t xml:space="preserve">2. В случае внесения изменений или дополнений в настоящий Закон, налоговое, таможенное законодательство Кыргызской Республики и законодательство о неналоговых платежах, инвестор, а также инвестируемое предприятие, отвечающие условиям, установленным настоящей статьей, в течение десяти лет со дня подписания соглашения о стабилизации имеют право выбора наиболее благоприятных для них условий по уплате налогов, включая налог на добавленную стоимость, но исключая другие косвенные налоги, неналоговые платежи (за исключением платежей за оказываемые государственными органами услуги), а также таможенные платежи (за исключением таможенных сборов), в порядке, установленном законодательством Кыргызской Республики. Порядок и условия применения режима стабилизации в налоговых, таможенных правоотношениях, а также в неналоговых правоотношениях устанавливаются Правительством Кыргызской Республики.</w:t>
      </w:r>
    </w:p>
    <w:p>
      <w:pPr>
        <w:spacing w:after="120"/>
        <w:jc w:val="both"/>
      </w:pPr>
      <w:r>
        <w:rPr>
          <w:rFonts w:ascii="Arial" w:cs="Arial" w:eastAsia="Arial" w:hAnsi="Arial"/>
          <w:sz w:val="24"/>
          <w:szCs w:val="24"/>
        </w:rPr>
        <w:t xml:space="preserve">Режим стабилизации не может являться основанием для ограничения прав инвестора и/или инвестируемого предприятия, подписавших соглашение о стабилизации, на пользование благоприятными условиями, установленными законодательством Кыргызской Республики, которые вступили в силу после подписания соглашения о стабилизации.</w:t>
      </w:r>
    </w:p>
    <w:p>
      <w:pPr>
        <w:spacing w:after="120"/>
        <w:jc w:val="both"/>
      </w:pPr>
      <w:r>
        <w:rPr>
          <w:rFonts w:ascii="Arial" w:cs="Arial" w:eastAsia="Arial" w:hAnsi="Arial"/>
          <w:sz w:val="24"/>
          <w:szCs w:val="24"/>
        </w:rPr>
        <w:t xml:space="preserve">3. Правом на режим стабилизации обладают:</w:t>
      </w:r>
    </w:p>
    <w:p>
      <w:pPr>
        <w:spacing w:after="120"/>
        <w:jc w:val="both"/>
      </w:pPr>
      <w:r>
        <w:rPr>
          <w:rFonts w:ascii="Arial" w:cs="Arial" w:eastAsia="Arial" w:hAnsi="Arial"/>
          <w:sz w:val="24"/>
          <w:szCs w:val="24"/>
        </w:rPr>
        <w:t xml:space="preserve">а) инвестор, осуществляющий вложение инвестиций в течение трех лет со дня подписания соглашения о стабилизации в капитал инвестируемого предприятия, в том числе в уставный капитал инвестируемого предприятия путем увеличения количества обращаемых акций, увеличения уставного капитала на сумму в сомах, эквивалентную не менее 5 (пять) миллионам долларов США, определяемую по курсу Национального банка Кыргызской Республики на день подписания соглашения о стабилизации, а также само инвестируемое предприятие; или</w:t>
      </w:r>
    </w:p>
    <w:p>
      <w:pPr>
        <w:spacing w:after="120"/>
        <w:jc w:val="both"/>
      </w:pPr>
      <w:r>
        <w:rPr>
          <w:rFonts w:ascii="Arial" w:cs="Arial" w:eastAsia="Arial" w:hAnsi="Arial"/>
          <w:sz w:val="24"/>
          <w:szCs w:val="24"/>
        </w:rPr>
        <w:t xml:space="preserve">б) инвестор, осуществляющий деятельность, связанную с изучением, поиском, разведкой, разработкой полезных ископаемых, вложивший инвестиции в течение пяти лет со дня подписания соглашения о стабилизации в капитал инвестируемого предприятия, в том числе в уставный капитал инвестируемого предприятия путем увеличения количества обращаемых акций, увеличения уставного капитала на сумму в сомах, эквивалентную не менее 20 (двадцать) миллионам долларов США, определяемую по курсу Национального банка Кыргызской Республики на день подписания соглашения о стабилизации, а также само инвестируемое предприятие.</w:t>
      </w:r>
    </w:p>
    <w:p>
      <w:pPr>
        <w:spacing w:after="120"/>
        <w:jc w:val="both"/>
      </w:pPr>
      <w:r>
        <w:rPr>
          <w:rFonts w:ascii="Arial" w:cs="Arial" w:eastAsia="Arial" w:hAnsi="Arial"/>
          <w:sz w:val="24"/>
          <w:szCs w:val="24"/>
        </w:rPr>
        <w:t xml:space="preserve">4. Для применения режима стабилизации по уплате таможенных платежей (за исключением таможенных сборов) устанавливается дополнительное условие в виде целевого использования товаров, ввозимых на таможенную территорию Кыргызской Республики для реализации инвестиционных проектов в определенных Правительством Кыргызской Республики секторах экономики.</w:t>
      </w:r>
    </w:p>
    <w:p>
      <w:pPr>
        <w:spacing w:after="120"/>
        <w:jc w:val="both"/>
      </w:pPr>
      <w:r>
        <w:rPr>
          <w:rFonts w:ascii="Arial" w:cs="Arial" w:eastAsia="Arial" w:hAnsi="Arial"/>
          <w:sz w:val="24"/>
          <w:szCs w:val="24"/>
        </w:rPr>
        <w:t xml:space="preserve">5 Невыполнение инвестором обязательств по вложению инвестиций в инвестируемое предприятие является основанием для расторжения соглашения о стабилизации и взыскания с инвестора, инвестируемого предприятия неуплаченных налогов, неналоговых платежей, а также таможенных платежей, вследствие применения ими режима стабилизации.</w:t>
      </w:r>
    </w:p>
    <w:p>
      <w:pPr>
        <w:spacing w:after="120"/>
        <w:jc w:val="both"/>
      </w:pPr>
      <w:r>
        <w:rPr>
          <w:rFonts w:ascii="Arial" w:cs="Arial" w:eastAsia="Arial" w:hAnsi="Arial"/>
          <w:sz w:val="24"/>
          <w:szCs w:val="24"/>
        </w:rPr>
        <w:t xml:space="preserve">6. Изменение состава акционеров или участников инвестора и/или инвестируемого предприятия не влечет прекращение права на применение режима стабилизации и течения его сроков, установленных настоящим Законом.</w:t>
      </w:r>
    </w:p>
    <w:p>
      <w:pPr>
        <w:spacing w:after="120"/>
        <w:jc w:val="both"/>
      </w:pPr>
      <w:r>
        <w:rPr>
          <w:rFonts w:ascii="Arial" w:cs="Arial" w:eastAsia="Arial" w:hAnsi="Arial"/>
          <w:sz w:val="24"/>
          <w:szCs w:val="24"/>
        </w:rPr>
        <w:t xml:space="preserve">7. Изменение перечня секторов экономики не влечет прекращение права на применение режима стабилизации по уплате таможенных платежей (за исключением таможенных сборов).».</w:t>
      </w:r>
    </w:p>
    <w:p>
      <w:pPr>
        <w:spacing w:after="120"/>
        <w:jc w:val="both"/>
      </w:pPr>
      <w:r>
        <w:rPr>
          <w:rFonts w:ascii="Arial" w:cs="Arial" w:eastAsia="Arial" w:hAnsi="Arial"/>
          <w:sz w:val="24"/>
          <w:szCs w:val="24"/>
        </w:rPr>
        <w:t xml:space="preserve">3. Пункт 7 статьи 4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Налоговый </w:t>
      </w:r>
      <w:hyperlink w:history="1" r:id="rId2cfm5vdltec0x6kmvozt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2008 г., № 8, ст. 922) следующие дополнение и изменение:</w:t>
      </w:r>
    </w:p>
    <w:p>
      <w:pPr>
        <w:spacing w:after="120"/>
        <w:jc w:val="both"/>
      </w:pPr>
      <w:r>
        <w:rPr>
          <w:rFonts w:ascii="Arial" w:cs="Arial" w:eastAsia="Arial" w:hAnsi="Arial"/>
          <w:sz w:val="24"/>
          <w:szCs w:val="24"/>
        </w:rPr>
        <w:t xml:space="preserve">1. Статью 1 дополнить частью 4 следующего содержания:</w:t>
      </w:r>
    </w:p>
    <w:p>
      <w:pPr>
        <w:spacing w:after="120"/>
        <w:jc w:val="both"/>
      </w:pPr>
      <w:r>
        <w:rPr>
          <w:rFonts w:ascii="Arial" w:cs="Arial" w:eastAsia="Arial" w:hAnsi="Arial"/>
          <w:sz w:val="24"/>
          <w:szCs w:val="24"/>
        </w:rPr>
        <w:t xml:space="preserve">«4. Правоотношения в связи с применением режима стабилизации к условиям по уплате налогов, включая налог на добавленную стоимость, регулируются законодательством Кыргызской Республики об инвестициях. Режим стабилизации, установленный законодательством Кыргызской Республики об инвестициях, не применяется в отношении уплаты других косвенных налогов.».</w:t>
      </w:r>
    </w:p>
    <w:p>
      <w:pPr>
        <w:spacing w:after="120"/>
        <w:jc w:val="both"/>
      </w:pPr>
      <w:r>
        <w:rPr>
          <w:rFonts w:ascii="Arial" w:cs="Arial" w:eastAsia="Arial" w:hAnsi="Arial"/>
          <w:sz w:val="24"/>
          <w:szCs w:val="24"/>
        </w:rPr>
        <w:t xml:space="preserve">2. Статью 298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Таможенный </w:t>
      </w:r>
      <w:hyperlink w:history="1" r:id="rIdzus-ata3rl9vpwf6pu2-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2006 г., № 5, ст. 420) следующее дополнение:</w:t>
      </w:r>
    </w:p>
    <w:p>
      <w:pPr>
        <w:spacing w:after="120"/>
        <w:jc w:val="both"/>
      </w:pPr>
      <w:r>
        <w:rPr>
          <w:rFonts w:ascii="Arial" w:cs="Arial" w:eastAsia="Arial" w:hAnsi="Arial"/>
          <w:sz w:val="24"/>
          <w:szCs w:val="24"/>
        </w:rPr>
        <w:t xml:space="preserve">статью 3 дополнить пунктом 5 следующего содержания:</w:t>
      </w:r>
    </w:p>
    <w:p>
      <w:pPr>
        <w:spacing w:after="120"/>
        <w:jc w:val="both"/>
      </w:pPr>
      <w:r>
        <w:rPr>
          <w:rFonts w:ascii="Arial" w:cs="Arial" w:eastAsia="Arial" w:hAnsi="Arial"/>
          <w:sz w:val="24"/>
          <w:szCs w:val="24"/>
        </w:rPr>
        <w:t xml:space="preserve">«5. Правоотношения в связи с применением режима стабилизации к условиям по уплате таможенных платежей, за исключением таможенных сборов, регулируются законодательством Кыргызской Республики об инвестициях.».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Внести в Закон Кыргызской Республики «О неналоговых платежах» (Ведомости Жогорку Кенеша Кыргызской Республики, 1994 г., № 5, ст. 157) следующее дополнение: статью 1 дополнить абзацем вторым следующего содержания: «Правоотношения в связи с применением режима стабилизации к условиям по уплате неналоговых платежей, за исключением платежей за оказываемые государственными органами услуги, регулируются законодательством Кыргызской Республики об инвестициях.».</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Внести в Закон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 229) следующее дополнение:</w:t>
      </w:r>
    </w:p>
    <w:p>
      <w:pPr>
        <w:spacing w:after="120"/>
        <w:jc w:val="both"/>
      </w:pPr>
      <w:r>
        <w:rPr>
          <w:rFonts w:ascii="Arial" w:cs="Arial" w:eastAsia="Arial" w:hAnsi="Arial"/>
          <w:sz w:val="24"/>
          <w:szCs w:val="24"/>
        </w:rPr>
        <w:t xml:space="preserve">дополнить статьей 14-2 следующего содержания:</w:t>
      </w:r>
    </w:p>
    <w:p>
      <w:pPr>
        <w:spacing w:after="120"/>
        <w:jc w:val="both"/>
      </w:pPr>
      <w:r>
        <w:rPr>
          <w:rFonts w:ascii="Arial" w:cs="Arial" w:eastAsia="Arial" w:hAnsi="Arial"/>
          <w:sz w:val="24"/>
          <w:szCs w:val="24"/>
        </w:rPr>
        <w:t xml:space="preserve">«Статья 14-2. Вступление в силу изменений ставок тарифов страховых взносов Изменения и/или дополнения в настоящий Закон, предусматривающие увеличение размера ставок тарифов страховых взносов, вступают в силу по истечении одного года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официального опубликования.</w:t>
      </w:r>
    </w:p>
    <w:p>
      <w:pPr>
        <w:spacing w:after="120"/>
        <w:jc w:val="both"/>
      </w:pPr>
      <w:r>
        <w:rPr>
          <w:rFonts w:ascii="Arial" w:cs="Arial" w:eastAsia="Arial" w:hAnsi="Arial"/>
          <w:sz w:val="24"/>
          <w:szCs w:val="24"/>
        </w:rPr>
        <w:t xml:space="preserve">2. Установить, что действующие инвесторы и инвестируемые предприятия, отвечающие условиям, установленными настоящим Законом, обладают правом на применение режима стабилизации со дня подписания соглашения о стабилизации.</w:t>
      </w:r>
    </w:p>
    <w:p>
      <w:pPr>
        <w:spacing w:after="120"/>
        <w:jc w:val="both"/>
      </w:pPr>
      <w:r>
        <w:rPr>
          <w:rFonts w:ascii="Arial" w:cs="Arial" w:eastAsia="Arial" w:hAnsi="Arial"/>
          <w:sz w:val="24"/>
          <w:szCs w:val="24"/>
        </w:rPr>
        <w:t xml:space="preserve">3. Правительству Кыргызской Республики в шестимесячный срок со дня официального опубликования настоящего Закона принять нормативные правовые акты, вытекающие из настоящего Закона.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mtrwhs-7kizehrarw35n">
      <w:r>
        <w:rPr>
          <w:rFonts w:ascii="Arial" w:cs="Arial" w:eastAsia="Arial" w:hAnsi="Arial"/>
          <w:color w:val="132D3F"/>
          <w:sz w:val="16"/>
          <w:szCs w:val="16"/>
          <w:u w:val="single"/>
        </w:rPr>
        <w:t xml:space="preserve">dalil.kg/document/96225</w:t>
      </w:r>
    </w:hyperlink>
  </w:p>
  <w:p>
    <w:pPr>
      <w:spacing w:after="0" w:before="40"/>
      <w:jc w:val="center"/>
    </w:pPr>
    <w:hyperlink w:history="1" r:id="rIderjvkj7_m1qh78rb3ne2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gccsqvwcbhh-i-2_pjtn" Type="http://schemas.openxmlformats.org/officeDocument/2006/relationships/hyperlink" Target="https://dalil.kg/document/159126" TargetMode="External"/><Relationship Id="rIdr1jcjtpzxjvq1xgyufd5l" Type="http://schemas.openxmlformats.org/officeDocument/2006/relationships/hyperlink" Target="https://dalil.kg/document/202913" TargetMode="External"/><Relationship Id="rIdg53xpmgrq_vsi3q5uwpz_" Type="http://schemas.openxmlformats.org/officeDocument/2006/relationships/hyperlink" Target="https://dalil.kg/document/96225#p1" TargetMode="External"/><Relationship Id="rId2cfm5vdltec0x6kmvozta" Type="http://schemas.openxmlformats.org/officeDocument/2006/relationships/hyperlink" Target="https://dalil.kg/document/202445" TargetMode="External"/><Relationship Id="rIdzus-ata3rl9vpwf6pu2-n"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mtrwhs-7kizehrarw35n" Type="http://schemas.openxmlformats.org/officeDocument/2006/relationships/hyperlink" Target="https://dalil.kg/document/96225" TargetMode="External"/><Relationship Id="rIderjvkj7_m1qh78rb3ne2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2026-09-25T14:57:41.643Z</dcterms:created>
  <dcterms:modified xsi:type="dcterms:W3CDTF">2026-09-25T14:57:41.643Z</dcterms:modified>
</cp:coreProperties>
</file>

<file path=docProps/custom.xml><?xml version="1.0" encoding="utf-8"?>
<Properties xmlns="http://schemas.openxmlformats.org/officeDocument/2006/custom-properties" xmlns:vt="http://schemas.openxmlformats.org/officeDocument/2006/docPropsVTypes"/>
</file>