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делу о проверке конституционности пункта «м» части первой и части восьмой статьи 31 </w:t>
      </w:r>
      <w:hyperlink w:history="1" r:id="rIdbzbqreky8o3najjvdxde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в связи с обращением гражданина Асанова Эсенгула Аруновича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апреля 2014 года № 27-р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Айдарбековой Ч.А., Бобукеевой М.Р., Макешова Дж.М., Мамырова Э.Т., Нарынбековой А.О., Осконбаева Э.Ж., Сооронкуловой К.С., при секретаре Илиязовой Н.А., с участием:</w:t>
      </w:r>
    </w:p>
    <w:p>
      <w:pPr>
        <w:spacing w:after="120"/>
        <w:jc w:val="both"/>
      </w:pPr>
      <w:r>
        <w:rPr>
          <w:rFonts w:ascii="Arial" w:cs="Arial" w:eastAsia="Arial" w:hAnsi="Arial"/>
          <w:sz w:val="24"/>
          <w:szCs w:val="24"/>
        </w:rPr>
        <w:t xml:space="preserve">обращающейся стороны – Асанова Э.А.;</w:t>
      </w:r>
    </w:p>
    <w:p>
      <w:pPr>
        <w:spacing w:after="120"/>
        <w:jc w:val="both"/>
      </w:pPr>
      <w:r>
        <w:rPr>
          <w:rFonts w:ascii="Arial" w:cs="Arial" w:eastAsia="Arial" w:hAnsi="Arial"/>
          <w:sz w:val="24"/>
          <w:szCs w:val="24"/>
        </w:rPr>
        <w:t xml:space="preserve">стороны-ответчика - Садыкова К.Р.,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иного лица - представителя Государственной кадровой службы Кыргызской Республики Андашевой Н.Д. по доверенности,</w:t>
      </w:r>
    </w:p>
    <w:p>
      <w:pPr>
        <w:spacing w:after="120"/>
        <w:jc w:val="both"/>
      </w:pPr>
      <w:r>
        <w:rPr>
          <w:rFonts w:ascii="Arial" w:cs="Arial" w:eastAsia="Arial" w:hAnsi="Arial"/>
          <w:sz w:val="24"/>
          <w:szCs w:val="24"/>
        </w:rPr>
        <w:t xml:space="preserve">руководствуясь частями 1 и 6 статьи 97 Конституции Кыргызской Республики, статьями 1, 4, 18, 19, 24, 37 и 42 </w:t>
      </w:r>
      <w:hyperlink w:history="1" r:id="rIdjtaasjrjb0ymkbmm4_06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«м» части первой и части восьмой статьи 31 </w:t>
      </w:r>
      <w:hyperlink w:history="1" r:id="rIdmh8xsvbrrun3fpdqwgcb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w:t>
      </w:r>
    </w:p>
    <w:p>
      <w:pPr>
        <w:spacing w:after="120"/>
        <w:jc w:val="both"/>
      </w:pPr>
      <w:r>
        <w:rPr>
          <w:rFonts w:ascii="Arial" w:cs="Arial" w:eastAsia="Arial" w:hAnsi="Arial"/>
          <w:sz w:val="24"/>
          <w:szCs w:val="24"/>
        </w:rPr>
        <w:t xml:space="preserve">Поводом к рассмотрению дела явилось ходатайство гражданина Асанова Э.А.</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оспариваемые заявителем соответствующие нормы закона «О государственной службе».</w:t>
      </w:r>
    </w:p>
    <w:p>
      <w:pPr>
        <w:spacing w:after="120"/>
        <w:jc w:val="both"/>
      </w:pPr>
      <w:r>
        <w:rPr>
          <w:rFonts w:ascii="Arial" w:cs="Arial" w:eastAsia="Arial" w:hAnsi="Arial"/>
          <w:sz w:val="24"/>
          <w:szCs w:val="24"/>
        </w:rPr>
        <w:t xml:space="preserve">Заслушав выступление судьи-докладчика Нарынбековой А.О., доводы сторон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22 октября 2013 года поступило ходатайство Асанова Эсенгула Аруновича о признании пункта «м» части первой и части восьмой статьи 31 </w:t>
      </w:r>
      <w:hyperlink w:history="1" r:id="rIdseovwhkoyo95bn7wap_i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неконституционными и противоречащими части 2 статьи 16 и части 1 статьи 20 </w:t>
      </w:r>
      <w:hyperlink w:history="1" r:id="rIdd59owrymi0pkcrmzb3_pv">
        <w:r>
          <w:rPr>
            <w:rFonts w:ascii="Arial" w:cs="Arial" w:eastAsia="Arial" w:hAnsi="Arial"/>
            <w:color w:val="1D4ED8"/>
            <w:sz w:val="24"/>
            <w:szCs w:val="24"/>
            <w:u w:val="single"/>
          </w:rPr>
          <w:t xml:space="preserve">Конституции.</w:t>
        </w:r>
      </w:hyperlink>
    </w:p>
    <w:p>
      <w:pPr>
        <w:spacing w:after="120"/>
        <w:jc w:val="both"/>
      </w:pPr>
      <w:r>
        <w:rPr>
          <w:rFonts w:ascii="Arial" w:cs="Arial" w:eastAsia="Arial" w:hAnsi="Arial"/>
          <w:sz w:val="24"/>
          <w:szCs w:val="24"/>
        </w:rPr>
        <w:t xml:space="preserve">Из представленных материалов усматривается, что Асанов Э.А. был освобожден от занимаемой должности приказом Министерства природных ресурсов Кыргызской Республики от 15 апреля 2011 года № 15. Основанием для издания приказа послужил пункт «м» части первой статьи 31 </w:t>
      </w:r>
      <w:hyperlink w:history="1" r:id="rIdt0-vhqkcf_iz9qcxliuz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в соответствии с которым служба в государственном органе прекращается по инициативе администрации государственного органа при достижении государственным служащим предельного возраста, установленного вышеназванным Законом для пребывания на государственной службе.</w:t>
      </w:r>
    </w:p>
    <w:p>
      <w:pPr>
        <w:spacing w:after="120"/>
        <w:jc w:val="both"/>
      </w:pPr>
      <w:r>
        <w:rPr>
          <w:rFonts w:ascii="Arial" w:cs="Arial" w:eastAsia="Arial" w:hAnsi="Arial"/>
          <w:sz w:val="24"/>
          <w:szCs w:val="24"/>
        </w:rPr>
        <w:t xml:space="preserve">Частью восьмой статьи 31 указанного </w:t>
      </w:r>
      <w:hyperlink w:history="1" r:id="rIdaspfzipqft-bfeqbfv_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предусмотрен предельный возраст пребывания государственного служащего на государственной службе - 65 лет.</w:t>
      </w:r>
    </w:p>
    <w:p>
      <w:pPr>
        <w:spacing w:after="120"/>
        <w:jc w:val="both"/>
      </w:pPr>
      <w:r>
        <w:rPr>
          <w:rFonts w:ascii="Arial" w:cs="Arial" w:eastAsia="Arial" w:hAnsi="Arial"/>
          <w:sz w:val="24"/>
          <w:szCs w:val="24"/>
        </w:rPr>
        <w:t xml:space="preserve">Первомайский районный суд города Бишкек решением от 20 июля 2011 года удовлетворил иск Асанова Э.А. о восстановлении на работе и выплате ущерба за время вынужденного прогула. Судебная коллегия Бишкекского городского суда решением от 18 октября 2011 года отменила решение Первомайского районного суда города Бишкек и вынесла новое решение об отказе в удовлетворении иска Асанова Э.А. Судебная коллегия Верховного суда Кыргызской Республики постановлением от 8 июня 2012 года оставила в силе решение судебной коллегии Бишкекского городского суда от 18 октября 2011 года.</w:t>
      </w:r>
    </w:p>
    <w:p>
      <w:pPr>
        <w:spacing w:after="120"/>
        <w:jc w:val="both"/>
      </w:pPr>
      <w:r>
        <w:rPr>
          <w:rFonts w:ascii="Arial" w:cs="Arial" w:eastAsia="Arial" w:hAnsi="Arial"/>
          <w:sz w:val="24"/>
          <w:szCs w:val="24"/>
        </w:rPr>
        <w:t xml:space="preserve">По мнению Асанова Э.А., пункт «м» части первой и часть восьмая статьи 31 </w:t>
      </w:r>
      <w:hyperlink w:history="1" r:id="rIdd3nueldwvne6igt48fxf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наделяя государственный орган правом освобождать государственного служащего от занимаемой должности в связи с достижением государственным служащим предельного возраста, нарушает конституционные права и свободы, подвергает дискриминации по признаку возраста, умаляет его права и свободы.</w:t>
      </w:r>
    </w:p>
    <w:p>
      <w:pPr>
        <w:spacing w:after="120"/>
        <w:jc w:val="both"/>
      </w:pPr>
      <w:r>
        <w:rPr>
          <w:rFonts w:ascii="Arial" w:cs="Arial" w:eastAsia="Arial" w:hAnsi="Arial"/>
          <w:sz w:val="24"/>
          <w:szCs w:val="24"/>
        </w:rPr>
        <w:t xml:space="preserve">К ранее поступившему ходатайству, 12 марта 2014 года Асанов Э.А. внес дополнение, где указал, что увольнение по пункту «м» части первой статьи 31 </w:t>
      </w:r>
      <w:hyperlink w:history="1" r:id="rIdyspcmpqmmqdiapkvnqr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является дискриминацией по признаку возраста и противоречит пунктам 1 и 2 статьи 6, пункту 2 статьи 16 и пункту 1 статьи 20 </w:t>
      </w:r>
      <w:hyperlink w:history="1" r:id="rIdh7jcticf1jksah_2ja0rx">
        <w:r>
          <w:rPr>
            <w:rFonts w:ascii="Arial" w:cs="Arial" w:eastAsia="Arial" w:hAnsi="Arial"/>
            <w:color w:val="1D4ED8"/>
            <w:sz w:val="24"/>
            <w:szCs w:val="24"/>
            <w:u w:val="single"/>
          </w:rPr>
          <w:t xml:space="preserve">Конституции.</w:t>
        </w:r>
      </w:hyperlink>
    </w:p>
    <w:p>
      <w:pPr>
        <w:spacing w:after="120"/>
        <w:jc w:val="both"/>
      </w:pPr>
      <w:r>
        <w:rPr>
          <w:rFonts w:ascii="Arial" w:cs="Arial" w:eastAsia="Arial" w:hAnsi="Arial"/>
          <w:sz w:val="24"/>
          <w:szCs w:val="24"/>
        </w:rPr>
        <w:t xml:space="preserve">Определением коллегии судей Конституционной палаты от 29 ноября 2013 года ходатайство Асанова Э.А.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свое ходатайство и просила его удовлетворить.</w:t>
      </w:r>
    </w:p>
    <w:p>
      <w:pPr>
        <w:spacing w:after="120"/>
        <w:jc w:val="both"/>
      </w:pPr>
      <w:r>
        <w:rPr>
          <w:rFonts w:ascii="Arial" w:cs="Arial" w:eastAsia="Arial" w:hAnsi="Arial"/>
          <w:sz w:val="24"/>
          <w:szCs w:val="24"/>
        </w:rPr>
        <w:t xml:space="preserve">Сторона-ответчик, не согласившись с доводами обращающейся стороны, просила оставить ходатайство без удовлетворения.</w:t>
      </w:r>
    </w:p>
    <w:p>
      <w:pPr>
        <w:spacing w:after="120"/>
        <w:jc w:val="both"/>
      </w:pPr>
      <w:r>
        <w:rPr>
          <w:rFonts w:ascii="Arial" w:cs="Arial" w:eastAsia="Arial" w:hAnsi="Arial"/>
          <w:sz w:val="24"/>
          <w:szCs w:val="24"/>
        </w:rPr>
        <w:t xml:space="preserve">Конституционная палата, исследовав материалы дела, обсудив доводы сторон и разъяснение иного лица,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3rnhpmwhsr8kw2yntq9r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пункт «м» части первой и часть восьмая статьи 31 </w:t>
      </w:r>
      <w:hyperlink w:history="1" r:id="rIdrjgflkibvbbnuw6mnz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следующего содержания:</w:t>
      </w:r>
    </w:p>
    <w:p>
      <w:pPr>
        <w:spacing w:after="120"/>
        <w:jc w:val="both"/>
      </w:pPr>
      <w:r>
        <w:rPr>
          <w:rFonts w:ascii="Arial" w:cs="Arial" w:eastAsia="Arial" w:hAnsi="Arial"/>
          <w:sz w:val="24"/>
          <w:szCs w:val="24"/>
        </w:rPr>
        <w:t xml:space="preserve">«Статья 31. Прекращение службы в государственном органе по инициативе администрации государственного органа</w:t>
      </w:r>
    </w:p>
    <w:p>
      <w:pPr>
        <w:spacing w:after="120"/>
        <w:jc w:val="both"/>
      </w:pPr>
      <w:r>
        <w:rPr>
          <w:rFonts w:ascii="Arial" w:cs="Arial" w:eastAsia="Arial" w:hAnsi="Arial"/>
          <w:sz w:val="24"/>
          <w:szCs w:val="24"/>
        </w:rPr>
        <w:t xml:space="preserve">м) достижения им предельного возраста, установленного настоящим Законом для пребывания на государственной службе;</w:t>
      </w:r>
    </w:p>
    <w:p>
      <w:pPr>
        <w:spacing w:after="120"/>
        <w:jc w:val="both"/>
      </w:pPr>
      <w:r>
        <w:rPr>
          <w:rFonts w:ascii="Arial" w:cs="Arial" w:eastAsia="Arial" w:hAnsi="Arial"/>
          <w:sz w:val="24"/>
          <w:szCs w:val="24"/>
        </w:rPr>
        <w:t xml:space="preserve">Предельный возраст пребывания государственного служащего на государственной службе составляет 65 лет.».</w:t>
      </w:r>
    </w:p>
    <w:p>
      <w:pPr>
        <w:spacing w:after="120"/>
        <w:jc w:val="both"/>
      </w:pPr>
      <w:hyperlink w:history="1" r:id="rIdikk0ghi6jcwgonqejgtl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принят в соответствии с порядком, установленным законодательством, опубликован в газете «Эркин Тоо» от 24 августа 2004 года № 71-72,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Кыргызская Республика признает принцип равных прав и свобод, устанавливает запрет дискриминации, как явления, неоправданно ограничивающего или лишающего права человека по определенному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(часть 2 статьи 16 </w:t>
      </w:r>
      <w:hyperlink w:history="1" r:id="rId9ysgrmi3rgaktfsi0jav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Принцип равенства и недискриминации пронизывает все сферы общественных отношений и имеет особое значение в сфере осуществления права на труд. Согласно смыслу и содержанию части второй статьи 42 </w:t>
      </w:r>
      <w:hyperlink w:history="1" r:id="rIdq0iaqvkiwwml8jsfzuu4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каждый имеет право на труд, включающее возможность зарабатывать себе на жизнь трудом, который он свободно избирает или на который свободно соглашается. Государство создает условия для полного осуществления гражданами права на труд, тем самым гарантирует равные возможности в выборе профессии и рода трудовой деятельности в соответствии со своими способностями и желаниями.</w:t>
      </w:r>
    </w:p>
    <w:p>
      <w:pPr>
        <w:spacing w:after="120"/>
        <w:jc w:val="both"/>
      </w:pPr>
      <w:r>
        <w:rPr>
          <w:rFonts w:ascii="Arial" w:cs="Arial" w:eastAsia="Arial" w:hAnsi="Arial"/>
          <w:sz w:val="24"/>
          <w:szCs w:val="24"/>
        </w:rPr>
        <w:t xml:space="preserve">3. Одним из видов трудовой деятельности граждан является государственная служба. Государственная служба - это деятельность государственных служащих, направленная на осуществление на профессиональной основе задач, функций и властных полномочий государственных органов, определенных </w:t>
      </w:r>
      <w:hyperlink w:history="1" r:id="rIdgifwsfzvx0uwesoa4ziw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нормативными правовыми актами Кыргызской Республики (статья 2 </w:t>
      </w:r>
      <w:hyperlink w:history="1" r:id="rIdswh-noc7ycjvgmcbdwem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w:t>
      </w:r>
    </w:p>
    <w:p>
      <w:pPr>
        <w:spacing w:after="120"/>
        <w:jc w:val="both"/>
      </w:pPr>
      <w:r>
        <w:rPr>
          <w:rFonts w:ascii="Arial" w:cs="Arial" w:eastAsia="Arial" w:hAnsi="Arial"/>
          <w:sz w:val="24"/>
          <w:szCs w:val="24"/>
        </w:rPr>
        <w:t xml:space="preserve">Принцип равенства и недискриминации в сфере государственной службы закреплен в части 4 статьи 52 </w:t>
      </w:r>
      <w:hyperlink w:history="1" r:id="rId2wyccr8ixsggggtvtpav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предоставляющей гражданам равные права и равные возможности при поступлении на государственную должность и продвижении в должности в порядке, предусмотренном Законом. Этот же принцип отражен в пункте 6 статьи 4 </w:t>
      </w:r>
      <w:hyperlink w:history="1" r:id="rIdz6jhcatposomo_yl-vo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w:t>
      </w:r>
    </w:p>
    <w:p>
      <w:pPr>
        <w:spacing w:after="120"/>
        <w:jc w:val="both"/>
      </w:pPr>
      <w:r>
        <w:rPr>
          <w:rFonts w:ascii="Arial" w:cs="Arial" w:eastAsia="Arial" w:hAnsi="Arial"/>
          <w:sz w:val="24"/>
          <w:szCs w:val="24"/>
        </w:rPr>
        <w:t xml:space="preserve">Содержанием понятия равного доступа к государственной службе является право граждан на занятие любой государственной должности без всякой дискриминации. Однако это не означает, что гражданин вправе требовать, а государственная служба обязана предоставить ему запрашиваемую должность. Речь идет о равных возможностях для каждого гражданина поступить на государственную службу при наличии вакансий и профессиональном соответствии. Нельзя отказать в этом гражданину в связи с его расой, полом, национальностью, языком, социальным происхождением, имущественным положением, местом жительства, отношением к религии, убеждениями, принадлежностью к общественным объединениям.</w:t>
      </w:r>
    </w:p>
    <w:p>
      <w:pPr>
        <w:spacing w:after="120"/>
        <w:jc w:val="both"/>
      </w:pPr>
      <w:r>
        <w:rPr>
          <w:rFonts w:ascii="Arial" w:cs="Arial" w:eastAsia="Arial" w:hAnsi="Arial"/>
          <w:sz w:val="24"/>
          <w:szCs w:val="24"/>
        </w:rPr>
        <w:t xml:space="preserve">Принцип равных возможностей и запрета дискриминации не исключает особого подхода к правовому регулированию профессиональной деятельности государственных служащих, что нашло отражение в </w:t>
      </w:r>
      <w:hyperlink w:history="1" r:id="rIduwgak5zdlp9wuhn5m6qmr">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государственной службе».</w:t>
      </w:r>
    </w:p>
    <w:p>
      <w:pPr>
        <w:spacing w:after="120"/>
        <w:jc w:val="both"/>
      </w:pPr>
      <w:r>
        <w:rPr>
          <w:rFonts w:ascii="Arial" w:cs="Arial" w:eastAsia="Arial" w:hAnsi="Arial"/>
          <w:sz w:val="24"/>
          <w:szCs w:val="24"/>
        </w:rPr>
        <w:t xml:space="preserve">Установление особенностей в правовом регулировании служебных отношений государственных служащих обусловлено задачами, принципами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 Они касаются практически всех вопросов регламентации правового статуса государственных служащих, в том числе возникающих в связи с поступлением на государственную службу, ее прохождением и прекращением.</w:t>
      </w:r>
    </w:p>
    <w:p>
      <w:pPr>
        <w:spacing w:after="120"/>
        <w:jc w:val="both"/>
      </w:pPr>
      <w:r>
        <w:rPr>
          <w:rFonts w:ascii="Arial" w:cs="Arial" w:eastAsia="Arial" w:hAnsi="Arial"/>
          <w:sz w:val="24"/>
          <w:szCs w:val="24"/>
        </w:rPr>
        <w:t xml:space="preserve">Суть этих особенностей состоит в том, что они, по сравнению с другими сферами трудовой деятельности, закрепляют особые требования к государственным служащим, устанавливают для них определенного рода ограничения, связанные, с одной стороны, с несением государственной службы, а с другой стороны - предоставляют им определенные социальные гарантии.</w:t>
      </w:r>
    </w:p>
    <w:p>
      <w:pPr>
        <w:spacing w:after="120"/>
        <w:jc w:val="both"/>
      </w:pPr>
      <w:r>
        <w:rPr>
          <w:rFonts w:ascii="Arial" w:cs="Arial" w:eastAsia="Arial" w:hAnsi="Arial"/>
          <w:sz w:val="24"/>
          <w:szCs w:val="24"/>
        </w:rPr>
        <w:t xml:space="preserve">К ним следует отнести ограничения и требования, предъявляемые при поступлении на государственную службу и ее прекращением. Так, в соответствии со статей 6 </w:t>
      </w:r>
      <w:hyperlink w:history="1" r:id="rIdgdfyygcp0kmq2ukqavhb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государственным служащим не может быть лицо: не являющееся гражданином Кыргызской Республики; не достигшее 21 года; признанное решением суда недееспособным либо которому решением суда запрещено осуществлять деятельность в качестве государственного служащего или занимать определенные должности государственной службы; имеющее судимость, не снятую или не погашенную в установленном законодательством порядке; не соответствующее квалификационным требованиям, установленным для данной административной должности законодательством Кыргызской Республики или соответствующим государственным органом, осуществляющим прием на службу.</w:t>
      </w:r>
    </w:p>
    <w:p>
      <w:pPr>
        <w:spacing w:after="120"/>
        <w:jc w:val="both"/>
      </w:pPr>
      <w:r>
        <w:rPr>
          <w:rFonts w:ascii="Arial" w:cs="Arial" w:eastAsia="Arial" w:hAnsi="Arial"/>
          <w:sz w:val="24"/>
          <w:szCs w:val="24"/>
        </w:rPr>
        <w:t xml:space="preserve">В соответствии с пунктом «м» части 1 статьи 31 </w:t>
      </w:r>
      <w:hyperlink w:history="1" r:id="rIdsj_61wwtiom4_kcqctnc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государственная служба прекращается с достижением предельного возраста - 65 лет.</w:t>
      </w:r>
    </w:p>
    <w:p>
      <w:pPr>
        <w:spacing w:after="120"/>
        <w:jc w:val="both"/>
      </w:pPr>
      <w:r>
        <w:rPr>
          <w:rFonts w:ascii="Arial" w:cs="Arial" w:eastAsia="Arial" w:hAnsi="Arial"/>
          <w:sz w:val="24"/>
          <w:szCs w:val="24"/>
        </w:rPr>
        <w:t xml:space="preserve">Установление особых требований и ограничений в сфере государственной службы, в том числе и предельного возраста для государственного служащего, как обусловленное спецификой трудовой деятельности государственных служащих, не может рассматриваться как нарушение или ограничение прав и свобод, гарантированных </w:t>
      </w:r>
      <w:hyperlink w:history="1" r:id="rIdbu_eqjkxs-docsa8lrcj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Такая специфика правового регулирования в сфере государственной службы обеспечивает реализацию принципов стабильности; профессионализма, компетентности, преемственности, сменяемости и постоянного совершенствования системы государственной службы.</w:t>
      </w:r>
    </w:p>
    <w:p>
      <w:pPr>
        <w:spacing w:after="120"/>
        <w:jc w:val="both"/>
      </w:pPr>
      <w:r>
        <w:rPr>
          <w:rFonts w:ascii="Arial" w:cs="Arial" w:eastAsia="Arial" w:hAnsi="Arial"/>
          <w:sz w:val="24"/>
          <w:szCs w:val="24"/>
        </w:rPr>
        <w:t xml:space="preserve">Такие ограничения, касающиеся условий замещения определенных должностей, допустимы во всех сферах правового регулирования и связаны с различиями правового статуса лиц, принадлежащих к разным категориям в зависимости от специфики рода и условий деятельности. При этом, вводимые законодателем объективно оправданные и обоснованные ограничения, соразмерные общезначимым конституционным целям, в соответствии с частью 2 статьи 20 </w:t>
      </w:r>
      <w:hyperlink w:history="1" r:id="rIdopp8ma_rjtgsstyqctiy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могут рассматриваться как нарушение принципа равных прав и запрета дискриминации. Подобное правовое регулирование в соответствии с пунктом 2 статьи 1 Конвенции Международной организации труда №111 о дискриминации в области труда и занятий (Женева, 25 июня 1958 г.), устанавливающей, что различия, исключения или предпочтения в области труда и занятий, основанные на специфических требованиях определенной работы не считаются дискриминацией (ратифицирована Кыргызской Республикой 31 марта 1992 года).</w:t>
      </w:r>
    </w:p>
    <w:p>
      <w:pPr>
        <w:spacing w:after="120"/>
        <w:jc w:val="both"/>
      </w:pPr>
      <w:r>
        <w:rPr>
          <w:rFonts w:ascii="Arial" w:cs="Arial" w:eastAsia="Arial" w:hAnsi="Arial"/>
          <w:sz w:val="24"/>
          <w:szCs w:val="24"/>
        </w:rPr>
        <w:t xml:space="preserve">Согласно пункту 5 раздела ІІ Рекомендации Международной организации труда «О пожилых трудящихся» № 162 (1980 г.) в исключительных случаях могут устанавливаться возрастные ограничения в связи с особыми требованиями, условиями или правилами для некоторых видов работы.</w:t>
      </w:r>
    </w:p>
    <w:p>
      <w:pPr>
        <w:spacing w:after="120"/>
        <w:jc w:val="both"/>
      </w:pPr>
      <w:r>
        <w:rPr>
          <w:rFonts w:ascii="Arial" w:cs="Arial" w:eastAsia="Arial" w:hAnsi="Arial"/>
          <w:sz w:val="24"/>
          <w:szCs w:val="24"/>
        </w:rPr>
        <w:t xml:space="preserve">Таким образом, международно-правовые акты допускают возможность устанавливать в национальном законодательстве определенные возрастные ограничения на занятие отдельными видами трудовой деятельности.</w:t>
      </w:r>
    </w:p>
    <w:p>
      <w:pPr>
        <w:spacing w:after="120"/>
        <w:jc w:val="both"/>
      </w:pPr>
      <w:r>
        <w:rPr>
          <w:rFonts w:ascii="Arial" w:cs="Arial" w:eastAsia="Arial" w:hAnsi="Arial"/>
          <w:sz w:val="24"/>
          <w:szCs w:val="24"/>
        </w:rPr>
        <w:t xml:space="preserve">Следовательно, установление предельного возраста для нахождения на государственной должности государственной службы, как обусловленного спецификой профессиональной деятельности по обеспечению исполнения полномочий государственных органов, не может оцениваться как дискриминационное ограничение конституционных прав.</w:t>
      </w:r>
    </w:p>
    <w:p>
      <w:pPr>
        <w:spacing w:after="120"/>
        <w:jc w:val="both"/>
      </w:pPr>
      <w:r>
        <w:rPr>
          <w:rFonts w:ascii="Arial" w:cs="Arial" w:eastAsia="Arial" w:hAnsi="Arial"/>
          <w:sz w:val="24"/>
          <w:szCs w:val="24"/>
        </w:rPr>
        <w:t xml:space="preserve">4. О необходимости законодательного установления возрастного критерия для пребывания на государственной должности указано и в </w:t>
      </w:r>
      <w:hyperlink w:history="1" r:id="rIdjqknz98zuksb6zhx_9if4">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Конституционного суда Кыргызской Республики от 11 ноября 2008 года о признании неконституционными положения статей 31 и 47 </w:t>
      </w:r>
      <w:hyperlink w:history="1" r:id="rId4itha3tf5bkkf0hayow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В связи с этим, в целях приведения норм </w:t>
      </w:r>
      <w:hyperlink w:history="1" r:id="rIdjabmzh68vkkyj-3m-ol0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в соответствие с вышеуказанным </w:t>
      </w:r>
      <w:hyperlink w:history="1" r:id="rIdhhhmnaffcjx6lt7epdtvf">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Конституционного суда, законодателем были внесены соответствующие изменения и дополнения в статью 31 названного </w:t>
      </w:r>
      <w:hyperlink w:history="1" r:id="rIddczelagym6xzh4vrmux5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того, установление предельного возраста для государственного служащего превышает установленный законодателем пенсионный возраст. Тем самым законодатель, учитывая специфику данной сферы деятельности, предоставляет государственному служащему, достигшему пенсионного возраста, дополнительные возможности продолжения трудовой деятельности.</w:t>
      </w:r>
    </w:p>
    <w:p>
      <w:pPr>
        <w:spacing w:after="120"/>
        <w:jc w:val="both"/>
      </w:pPr>
      <w:r>
        <w:rPr>
          <w:rFonts w:ascii="Arial" w:cs="Arial" w:eastAsia="Arial" w:hAnsi="Arial"/>
          <w:sz w:val="24"/>
          <w:szCs w:val="24"/>
        </w:rPr>
        <w:t xml:space="preserve">Следует отметить, что оспариваемая на предмет конституционности норма предоставляет администрации государственного органа возможность инициировать прекращение государственной службы в случае достижения государственным служащим предельного возраста. Тем самым предполагается, что при решении вопроса о том, подлежит ли государственный служащий, возраст которого достиг или превышает шестидесяти пяти лет, освобождению от занимаемой должности, администрация вправе продлить пребывание такого лица на соответствующей должности, с учетом его индивидуальных профессиональных качеств и служебной пригодности.</w:t>
      </w:r>
    </w:p>
    <w:p>
      <w:pPr>
        <w:spacing w:after="120"/>
        <w:jc w:val="both"/>
      </w:pPr>
      <w:r>
        <w:rPr>
          <w:rFonts w:ascii="Arial" w:cs="Arial" w:eastAsia="Arial" w:hAnsi="Arial"/>
          <w:sz w:val="24"/>
          <w:szCs w:val="24"/>
        </w:rPr>
        <w:t xml:space="preserve">В соответствии с изложенным Конституционная палата считает, что оспариваемые нормы закона не нарушают установленный </w:t>
      </w:r>
      <w:hyperlink w:history="1" r:id="rIdrd9gez4vafvriitk_nww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принцип запрета дискриминации.</w:t>
      </w:r>
    </w:p>
    <w:p>
      <w:pPr>
        <w:spacing w:after="120"/>
        <w:jc w:val="both"/>
      </w:pPr>
      <w:r>
        <w:rPr>
          <w:rFonts w:ascii="Arial" w:cs="Arial" w:eastAsia="Arial" w:hAnsi="Arial"/>
          <w:sz w:val="24"/>
          <w:szCs w:val="24"/>
        </w:rPr>
        <w:t xml:space="preserve">На основании вышеизложенного, руководствуясь пунктом 1 частей 6, 8 и 9 статьи 97 </w:t>
      </w:r>
      <w:hyperlink w:history="1" r:id="rIdxkjdpklfuyzob3e5iox_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_kzu6wjpxglb0jgyshg_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пункт «м» части первой и часть восьмую статьи 31 </w:t>
      </w:r>
      <w:hyperlink w:history="1" r:id="rIdlhtcvccwmdagbsejsy-s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не противоречащими пунктам 1 и 2 статьи 6, части 2 статьи 16 и части 1 статьи 20 </w:t>
      </w:r>
      <w:hyperlink w:history="1" r:id="rIdtk7ifv5mmqyu-qz6dpmk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Настоящее решение обязательно для всех государственных органов, органов местного самоуправления, должностных лиц,</w:t>
      </w:r>
    </w:p>
    <w:p>
      <w:pPr>
        <w:spacing w:after="120"/>
        <w:jc w:val="both"/>
      </w:pPr>
      <w:r>
        <w:rPr>
          <w:rFonts w:ascii="Arial" w:cs="Arial" w:eastAsia="Arial" w:hAnsi="Arial"/>
          <w:sz w:val="24"/>
          <w:szCs w:val="24"/>
        </w:rPr>
        <w:t xml:space="preserve">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 Конституционная палате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bqreky8o3najjvdxdex" Type="http://schemas.openxmlformats.org/officeDocument/2006/relationships/hyperlink" Target="http://kodeks.duckdns.org/document/1513" TargetMode="External"/><Relationship Id="rIdjtaasjrjb0ymkbmm4_06f" Type="http://schemas.openxmlformats.org/officeDocument/2006/relationships/hyperlink" Target="http://kodeks.duckdns.org/document/203281" TargetMode="External"/><Relationship Id="rIdmh8xsvbrrun3fpdqwgcbe" Type="http://schemas.openxmlformats.org/officeDocument/2006/relationships/hyperlink" Target="http://kodeks.duckdns.org/document/1513" TargetMode="External"/><Relationship Id="rIdseovwhkoyo95bn7wap_i9" Type="http://schemas.openxmlformats.org/officeDocument/2006/relationships/hyperlink" Target="http://kodeks.duckdns.org/document/1513" TargetMode="External"/><Relationship Id="rIdd59owrymi0pkcrmzb3_pv" Type="http://schemas.openxmlformats.org/officeDocument/2006/relationships/hyperlink" Target="http://kodeks.duckdns.org/document/202913" TargetMode="External"/><Relationship Id="rIdt0-vhqkcf_iz9qcxliuzh" Type="http://schemas.openxmlformats.org/officeDocument/2006/relationships/hyperlink" Target="http://kodeks.duckdns.org/document/1513" TargetMode="External"/><Relationship Id="rIdaspfzipqft-bfeqbfv_kh" Type="http://schemas.openxmlformats.org/officeDocument/2006/relationships/hyperlink" Target="http://kodeks.duckdns.org/document/1513" TargetMode="External"/><Relationship Id="rIdd3nueldwvne6igt48fxfi" Type="http://schemas.openxmlformats.org/officeDocument/2006/relationships/hyperlink" Target="http://kodeks.duckdns.org/document/1513" TargetMode="External"/><Relationship Id="rIdyspcmpqmmqdiapkvnqrgb" Type="http://schemas.openxmlformats.org/officeDocument/2006/relationships/hyperlink" Target="http://kodeks.duckdns.org/document/1513" TargetMode="External"/><Relationship Id="rIdh7jcticf1jksah_2ja0rx" Type="http://schemas.openxmlformats.org/officeDocument/2006/relationships/hyperlink" Target="http://kodeks.duckdns.org/document/202913" TargetMode="External"/><Relationship Id="rId3rnhpmwhsr8kw2yntq9r0" Type="http://schemas.openxmlformats.org/officeDocument/2006/relationships/hyperlink" Target="http://kodeks.duckdns.org/document/203281" TargetMode="External"/><Relationship Id="rIdrjgflkibvbbnuw6mnzu-t" Type="http://schemas.openxmlformats.org/officeDocument/2006/relationships/hyperlink" Target="http://kodeks.duckdns.org/document/1513" TargetMode="External"/><Relationship Id="rIdikk0ghi6jcwgonqejgtlj" Type="http://schemas.openxmlformats.org/officeDocument/2006/relationships/hyperlink" Target="http://kodeks.duckdns.org/document/1513" TargetMode="External"/><Relationship Id="rId9ysgrmi3rgaktfsi0javf" Type="http://schemas.openxmlformats.org/officeDocument/2006/relationships/hyperlink" Target="http://kodeks.duckdns.org/document/202913" TargetMode="External"/><Relationship Id="rIdq0iaqvkiwwml8jsfzuu4k" Type="http://schemas.openxmlformats.org/officeDocument/2006/relationships/hyperlink" Target="http://kodeks.duckdns.org/document/202913" TargetMode="External"/><Relationship Id="rIdgifwsfzvx0uwesoa4ziwd" Type="http://schemas.openxmlformats.org/officeDocument/2006/relationships/hyperlink" Target="http://kodeks.duckdns.org/document/202913" TargetMode="External"/><Relationship Id="rIdswh-noc7ycjvgmcbdwemv" Type="http://schemas.openxmlformats.org/officeDocument/2006/relationships/hyperlink" Target="http://kodeks.duckdns.org/document/1513" TargetMode="External"/><Relationship Id="rId2wyccr8ixsggggtvtpavl" Type="http://schemas.openxmlformats.org/officeDocument/2006/relationships/hyperlink" Target="http://kodeks.duckdns.org/document/202913" TargetMode="External"/><Relationship Id="rIdz6jhcatposomo_yl-votz" Type="http://schemas.openxmlformats.org/officeDocument/2006/relationships/hyperlink" Target="http://kodeks.duckdns.org/document/1513" TargetMode="External"/><Relationship Id="rIduwgak5zdlp9wuhn5m6qmr" Type="http://schemas.openxmlformats.org/officeDocument/2006/relationships/hyperlink" Target="http://kodeks.duckdns.org/document/1513" TargetMode="External"/><Relationship Id="rIdgdfyygcp0kmq2ukqavhb6" Type="http://schemas.openxmlformats.org/officeDocument/2006/relationships/hyperlink" Target="http://kodeks.duckdns.org/document/1513" TargetMode="External"/><Relationship Id="rIdsj_61wwtiom4_kcqctncz" Type="http://schemas.openxmlformats.org/officeDocument/2006/relationships/hyperlink" Target="http://kodeks.duckdns.org/document/1513" TargetMode="External"/><Relationship Id="rIdbu_eqjkxs-docsa8lrcjm" Type="http://schemas.openxmlformats.org/officeDocument/2006/relationships/hyperlink" Target="http://kodeks.duckdns.org/document/202913" TargetMode="External"/><Relationship Id="rIdopp8ma_rjtgsstyqctiyj" Type="http://schemas.openxmlformats.org/officeDocument/2006/relationships/hyperlink" Target="http://kodeks.duckdns.org/document/202913" TargetMode="External"/><Relationship Id="rIdjqknz98zuksb6zhx_9if4" Type="http://schemas.openxmlformats.org/officeDocument/2006/relationships/hyperlink" Target="http://kodeks.duckdns.org/document/320026" TargetMode="External"/><Relationship Id="rId4itha3tf5bkkf0hayowtz" Type="http://schemas.openxmlformats.org/officeDocument/2006/relationships/hyperlink" Target="http://kodeks.duckdns.org/document/1513" TargetMode="External"/><Relationship Id="rIdjabmzh68vkkyj-3m-ol0v" Type="http://schemas.openxmlformats.org/officeDocument/2006/relationships/hyperlink" Target="http://kodeks.duckdns.org/document/1513" TargetMode="External"/><Relationship Id="rIdhhhmnaffcjx6lt7epdtvf" Type="http://schemas.openxmlformats.org/officeDocument/2006/relationships/hyperlink" Target="http://kodeks.duckdns.org/document/320026" TargetMode="External"/><Relationship Id="rIddczelagym6xzh4vrmux5k" Type="http://schemas.openxmlformats.org/officeDocument/2006/relationships/hyperlink" Target="http://kodeks.duckdns.org/document/1513" TargetMode="External"/><Relationship Id="rIdrd9gez4vafvriitk_nwwg" Type="http://schemas.openxmlformats.org/officeDocument/2006/relationships/hyperlink" Target="http://kodeks.duckdns.org/document/202913" TargetMode="External"/><Relationship Id="rIdxkjdpklfuyzob3e5iox__" Type="http://schemas.openxmlformats.org/officeDocument/2006/relationships/hyperlink" Target="http://kodeks.duckdns.org/document/202913" TargetMode="External"/><Relationship Id="rId_kzu6wjpxglb0jgyshg_b" Type="http://schemas.openxmlformats.org/officeDocument/2006/relationships/hyperlink" Target="http://kodeks.duckdns.org/document/203281" TargetMode="External"/><Relationship Id="rIdlhtcvccwmdagbsejsy-sd" Type="http://schemas.openxmlformats.org/officeDocument/2006/relationships/hyperlink" Target="http://kodeks.duckdns.org/document/1513" TargetMode="External"/><Relationship Id="rIdtk7ifv5mmqyu-qz6dpmkq"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2026-09-23T11:50:59.695Z</dcterms:created>
  <dcterms:modified xsi:type="dcterms:W3CDTF">2026-09-23T11:50:59.695Z</dcterms:modified>
</cp:coreProperties>
</file>

<file path=docProps/custom.xml><?xml version="1.0" encoding="utf-8"?>
<Properties xmlns="http://schemas.openxmlformats.org/officeDocument/2006/custom-properties" xmlns:vt="http://schemas.openxmlformats.org/officeDocument/2006/docPropsVTypes"/>
</file>