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статьи 338 Уголовного кодекса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мая 2014 года № 28-р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 при секретаре Толобалдиеве М.Э., с участием:</w:t>
      </w:r>
    </w:p>
    <w:p>
      <w:pPr>
        <w:spacing w:after="120"/>
        <w:jc w:val="both"/>
      </w:pPr>
      <w:r>
        <w:rPr>
          <w:rFonts w:ascii="Arial" w:cs="Arial" w:eastAsia="Arial" w:hAnsi="Arial"/>
          <w:sz w:val="24"/>
          <w:szCs w:val="24"/>
        </w:rPr>
        <w:t xml:space="preserve">обращающейся стороны - Осинцева Е.В., Волосатовой А.П.- представителя Осинцева Е.В. по доверенности;</w:t>
      </w:r>
    </w:p>
    <w:p>
      <w:pPr>
        <w:spacing w:after="120"/>
        <w:jc w:val="both"/>
      </w:pPr>
      <w:r>
        <w:rPr>
          <w:rFonts w:ascii="Arial" w:cs="Arial" w:eastAsia="Arial" w:hAnsi="Arial"/>
          <w:sz w:val="24"/>
          <w:szCs w:val="24"/>
        </w:rPr>
        <w:t xml:space="preserve">стороны - ответчика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Ж.С., представителя Верховного суда Кыргызской Республики по доверенности; Усмановой Л.Ю. и Шукурбекова А.Ш., представителей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k_f6x6eluyvmzm8nvkqj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и 42 </w:t>
      </w:r>
      <w:hyperlink w:history="1" r:id="rId9pcsuq0jy44ol4p3lzbp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338 </w:t>
      </w:r>
      <w:hyperlink w:history="1" r:id="rIdrfk1xf0iehipmn1tugh_9">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(далее -Уголовный кодекс).</w:t>
      </w:r>
    </w:p>
    <w:p>
      <w:pPr>
        <w:spacing w:after="120"/>
        <w:jc w:val="both"/>
      </w:pPr>
      <w:r>
        <w:rPr>
          <w:rFonts w:ascii="Arial" w:cs="Arial" w:eastAsia="Arial" w:hAnsi="Arial"/>
          <w:sz w:val="24"/>
          <w:szCs w:val="24"/>
        </w:rPr>
        <w:t xml:space="preserve">Поводом к рассмотрению дела явилось ходатайство гражданина Осинцева Е.В.</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ldi8phaottgsfwkocv_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нормы статьи 338 </w:t>
      </w:r>
      <w:hyperlink w:history="1" r:id="rIdcnvtoemlzwfring-uz2xc">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конституционность которых оспаривается заявителем.</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 октября 2013 года поступило ходатайство гражданина Осинцева Е.В. о признании статьи 338 Уголовного кодекса неконституционной и противоречащей пункту 5 части 4 статьи 20 Конституции.</w:t>
      </w:r>
    </w:p>
    <w:p>
      <w:pPr>
        <w:spacing w:after="120"/>
        <w:jc w:val="both"/>
      </w:pPr>
      <w:r>
        <w:rPr>
          <w:rFonts w:ascii="Arial" w:cs="Arial" w:eastAsia="Arial" w:hAnsi="Arial"/>
          <w:sz w:val="24"/>
          <w:szCs w:val="24"/>
        </w:rPr>
        <w:t xml:space="preserve">Осинцев Е.В. считает, что статья 338 </w:t>
      </w:r>
      <w:hyperlink w:history="1" r:id="rIdkcfiwpfiua8cji0fdyuvk">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предусматривающая санкцию в виде лишения свободы за 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противоречит пункту 5 части 4 статьи 20 </w:t>
      </w:r>
      <w:hyperlink w:history="1" r:id="rIdeogj1ob-29gjt3xmxhs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части гарантии запрета на лишение свободы на основании неисполнения гражданско-правового обязательства.</w:t>
      </w:r>
    </w:p>
    <w:p>
      <w:pPr>
        <w:spacing w:after="120"/>
        <w:jc w:val="both"/>
      </w:pPr>
      <w:r>
        <w:rPr>
          <w:rFonts w:ascii="Arial" w:cs="Arial" w:eastAsia="Arial" w:hAnsi="Arial"/>
          <w:sz w:val="24"/>
          <w:szCs w:val="24"/>
        </w:rPr>
        <w:t xml:space="preserve">По мнению заявителя, такое противоречие конституционным положениям возникло с внесением изменений в статью 338 </w:t>
      </w:r>
      <w:hyperlink w:history="1" r:id="rIdhrck1tttjus_du0ryrhla">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w:t>
      </w:r>
      <w:hyperlink w:history="1" r:id="rIdfx9z2bxlpcandjyzjx4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дополнений и изменений в Уголовный кодекс Кыргызской Республики и Уголовно-процессуальный кодекс Кыргызской Республики» от 24 июля 2009 года № 246), согласно которым уголовная ответственность за злостное неисполнение решений суда стала распространяться не только на должностных лиц государственных органов, органов местного самоуправления, юридических лиц, но и на граждан.</w:t>
      </w:r>
    </w:p>
    <w:p>
      <w:pPr>
        <w:spacing w:after="120"/>
        <w:jc w:val="both"/>
      </w:pPr>
      <w:r>
        <w:rPr>
          <w:rFonts w:ascii="Arial" w:cs="Arial" w:eastAsia="Arial" w:hAnsi="Arial"/>
          <w:sz w:val="24"/>
          <w:szCs w:val="24"/>
        </w:rPr>
        <w:t xml:space="preserve">По мнению Осинцева Е.В., исполнение решения суда в части взыскания или возмещения долга должно осуществляться в порядке, установленном </w:t>
      </w:r>
      <w:hyperlink w:history="1" r:id="rId7jbmpv6ku5mfi9gq20i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Однако нормы статьи 338 </w:t>
      </w:r>
      <w:hyperlink w:history="1" r:id="rIducip-rsg2xm3bon5mv1_z">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предусматривают возможность привлечения к уголовной ответственности в случае, если у должника отсутствует имущество, денежные суммы, ценные бумаги или доходы, на которые может быть обращено взыскание, и, таким образом, в нарушение норм </w:t>
      </w:r>
      <w:hyperlink w:history="1" r:id="rId6i72xzw-5o8dwgd2g3ml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предусматривают лишение свободы за неисполнение гражданско-правовых обязательств.</w:t>
      </w:r>
    </w:p>
    <w:p>
      <w:pPr>
        <w:spacing w:after="120"/>
        <w:jc w:val="both"/>
      </w:pPr>
      <w:r>
        <w:rPr>
          <w:rFonts w:ascii="Arial" w:cs="Arial" w:eastAsia="Arial" w:hAnsi="Arial"/>
          <w:sz w:val="24"/>
          <w:szCs w:val="24"/>
        </w:rPr>
        <w:t xml:space="preserve">Определением коллегии судей Конституционной палаты от 11 ноября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Осинцевым Е.В. 16 апреля 2014 года внесено дополнение в мотивировочную часть ранее представленного ходатайства, в котором он приводит дополнительные доводы относительно недопустимости несения лицом юридической ответственности за одно и то же преступление дважды. В дополнение к ходатайству Осинцев Е.В. приводит нормы статей 422 </w:t>
      </w:r>
      <w:hyperlink w:history="1" r:id="rIdc0cxxcfookj4bvc2jtpa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338 </w:t>
      </w:r>
      <w:hyperlink w:history="1" r:id="rIdt1ah1vborcuz2nltejc1_">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которые, по мнению заявителя, являются практически идентичными, за исключением слов «невыполнение» и «злостное неисполнение», в связи с чем судебная практика складывается таким образом, что одного и того же гражданина привлекают сначала к административной ответственности, а в последующем, если не исполняется судебный акт, в независимости от каких-либо причин и обстоятельств, возбуждается уголовное дело по статье 338 </w:t>
      </w:r>
      <w:hyperlink w:history="1" r:id="rId80cwsz0ekasutmt9ia7x9">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Указанные доводы, по мнению Осинцева Е.В. не соответствуют Конституции.</w:t>
      </w:r>
    </w:p>
    <w:p>
      <w:pPr>
        <w:spacing w:after="120"/>
        <w:jc w:val="both"/>
      </w:pPr>
      <w:r>
        <w:rPr>
          <w:rFonts w:ascii="Arial" w:cs="Arial" w:eastAsia="Arial" w:hAnsi="Arial"/>
          <w:sz w:val="24"/>
          <w:szCs w:val="24"/>
        </w:rPr>
        <w:t xml:space="preserve">В судебном заседании Осинцев Е.В. поддержал требование о признании неконституционной статьи 338 </w:t>
      </w:r>
      <w:hyperlink w:history="1" r:id="rIdgmgw2w3odbze8mwotft51">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и просит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Садыков К.Р. не согласился с доводами обращающейся стороны и считает, что нормы статьи 338 </w:t>
      </w:r>
      <w:hyperlink w:history="1" r:id="rIdnvcivzvqso1iojzmhauyn">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не противоречат </w:t>
      </w:r>
      <w:hyperlink w:history="1" r:id="rIdhnccc9oxefkypfen1bdh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khnknifv9p_mdm-yzc1t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статьи 338 </w:t>
      </w:r>
      <w:hyperlink w:history="1" r:id="rIdstpcjzpzhhkyhbupynvrj">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338. Неисполнение приговора суда, решения суда или иного судебного акта</w:t>
      </w:r>
    </w:p>
    <w:p>
      <w:pPr>
        <w:spacing w:after="120"/>
        <w:jc w:val="both"/>
      </w:pPr>
      <w:r>
        <w:rPr>
          <w:rFonts w:ascii="Arial" w:cs="Arial" w:eastAsia="Arial" w:hAnsi="Arial"/>
          <w:sz w:val="24"/>
          <w:szCs w:val="24"/>
        </w:rPr>
        <w:t xml:space="preserve">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 наказываются общественными работами на срок от восьмидесяти до двухсот сорока часов либо штрафом в размере от ста до одной тысячи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от одного года до двух лет.».</w:t>
      </w:r>
    </w:p>
    <w:p>
      <w:pPr>
        <w:spacing w:after="120"/>
        <w:jc w:val="both"/>
      </w:pPr>
      <w:hyperlink w:history="1" r:id="rIduskdi5rrppxds-x-88xiq">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от 1 октября 1997 года № 68 принят в соответствии с порядком, установленным законодательством, опубликован в «Ведомостях Жогорку Кенеша Кыргызской Республики» 1998 г., № 7, ст. 229,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5i9-kiqtgzpvve36i1z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 (статья 100).</w:t>
      </w:r>
    </w:p>
    <w:p>
      <w:pPr>
        <w:spacing w:after="120"/>
        <w:jc w:val="both"/>
      </w:pPr>
      <w:r>
        <w:rPr>
          <w:rFonts w:ascii="Arial" w:cs="Arial" w:eastAsia="Arial" w:hAnsi="Arial"/>
          <w:sz w:val="24"/>
          <w:szCs w:val="24"/>
        </w:rPr>
        <w:t xml:space="preserve">Принцип общеобязательности судебных актов, установленный </w:t>
      </w:r>
      <w:hyperlink w:history="1" r:id="rIdeowbrf2delchr-jd8ulb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направлен на сохранение единства судебной системы, повышения авторитета правосудия и веры граждан в справедливость. В рамках вышеуказанной конституционной нормы следует рассматривать судебные акты, вступившие в законную силу. Неисполнение их препятствует реализации задач правосудия, исключает возможность возмещения ущерба, восстановления нарушенного права, влечет освобождение осужденного или ответчика от несения последствий приговора или решения суда.</w:t>
      </w:r>
    </w:p>
    <w:p>
      <w:pPr>
        <w:spacing w:after="120"/>
        <w:jc w:val="both"/>
      </w:pPr>
      <w:r>
        <w:rPr>
          <w:rFonts w:ascii="Arial" w:cs="Arial" w:eastAsia="Arial" w:hAnsi="Arial"/>
          <w:sz w:val="24"/>
          <w:szCs w:val="24"/>
        </w:rPr>
        <w:t xml:space="preserve">Принцип общеобязательности судебных актов, вступивших в законную силу, подкреплен нормами об ответственности за неисполнение судебных решений, так как в противном случае правосудие теряет свою социальную роль, не выполняет правозащитную и правореализующую функции.</w:t>
      </w:r>
    </w:p>
    <w:p>
      <w:pPr>
        <w:spacing w:after="120"/>
        <w:jc w:val="both"/>
      </w:pPr>
      <w:r>
        <w:rPr>
          <w:rFonts w:ascii="Arial" w:cs="Arial" w:eastAsia="Arial" w:hAnsi="Arial"/>
          <w:sz w:val="24"/>
          <w:szCs w:val="24"/>
        </w:rPr>
        <w:t xml:space="preserve">В этой связи </w:t>
      </w:r>
      <w:hyperlink w:history="1" r:id="rId4igfytvlespwvhxislprp">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предусмотрена ответственность за неисполнение судебного акта, которая наступает за злостное его неисполнение (статья 338). Под злостностью, в контексте статьи 338 </w:t>
      </w:r>
      <w:hyperlink w:history="1" r:id="rId6w5s4ruykynb0cdl8_cjk">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следует понимать неисполнение лицом возложенных на него обязанностей, вытекающих из приговора, решения суда или иного судебного акта, после привлечения его к административной ответственности и письменного предупреждения судебным исполнителем об уголовной ответственности в случае дальнейшего уклонения от исполнения судебного акта. При этом в поведении лица, не исполняющего судебный акт, важно установить, что оно игнорирует обязательные для него предписания судебного акта и имеет реальную возможность выполнить эти предписания. Следует отметить, что вопрос о привлечении к ответственности виновных лиц согласно </w:t>
      </w:r>
      <w:hyperlink w:history="1" r:id="rIdctbklhnxmpdipdlkbcin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исполнительном производстве и статусе судебных исполнителей» должен решаться компетентными органами по представлению судебного исполнителя.</w:t>
      </w:r>
    </w:p>
    <w:p>
      <w:pPr>
        <w:spacing w:after="120"/>
        <w:jc w:val="both"/>
      </w:pPr>
      <w:r>
        <w:rPr>
          <w:rFonts w:ascii="Arial" w:cs="Arial" w:eastAsia="Arial" w:hAnsi="Arial"/>
          <w:sz w:val="24"/>
          <w:szCs w:val="24"/>
        </w:rPr>
        <w:t xml:space="preserve">Воспрепятствование исполнению судебного акта выражается в совершении лицом активных действий, препятствующих исполнению судебного акта, которые выражаются в сокрытии заработка и другого имущества, на которое может быть обращено взыскание, непредставлении информации о месте работы, о доходах, заключении сделок по отчуждению имущества с целью уклонения от исполнения обязательств, а также иные действия.</w:t>
      </w:r>
    </w:p>
    <w:p>
      <w:pPr>
        <w:spacing w:after="120"/>
        <w:jc w:val="both"/>
      </w:pPr>
      <w:r>
        <w:rPr>
          <w:rFonts w:ascii="Arial" w:cs="Arial" w:eastAsia="Arial" w:hAnsi="Arial"/>
          <w:sz w:val="24"/>
          <w:szCs w:val="24"/>
        </w:rPr>
        <w:t xml:space="preserve">С субъективной стороны деяние может совершаться только с прямым умыслом: виновный знает о наличии судебного акта, намеренно не содействует или препятствует его исполнению и желает, чтобы решение осталось неисполненным.</w:t>
      </w:r>
    </w:p>
    <w:p>
      <w:pPr>
        <w:spacing w:after="120"/>
        <w:jc w:val="both"/>
      </w:pPr>
      <w:r>
        <w:rPr>
          <w:rFonts w:ascii="Arial" w:cs="Arial" w:eastAsia="Arial" w:hAnsi="Arial"/>
          <w:sz w:val="24"/>
          <w:szCs w:val="24"/>
        </w:rPr>
        <w:t xml:space="preserve">Субъектами статьи 338 </w:t>
      </w:r>
      <w:hyperlink w:history="1" r:id="rIdtvmlyqzpmfkx12xr-ouoj">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могут выступать должностные лица органов государственной власти, органов местного самоуправления, юридических лиц, а также граждане. Такой субъектный состав определен в </w:t>
      </w:r>
      <w:hyperlink w:history="1" r:id="rIdvowpnap9761fxajyynjp1">
        <w:r>
          <w:rPr>
            <w:rFonts w:ascii="Arial" w:cs="Arial" w:eastAsia="Arial" w:hAnsi="Arial"/>
            <w:color w:val="1D4ED8"/>
            <w:sz w:val="24"/>
            <w:szCs w:val="24"/>
            <w:u w:val="single"/>
          </w:rPr>
          <w:t xml:space="preserve">Уголовном кодексе</w:t>
        </w:r>
      </w:hyperlink>
      <w:r>
        <w:rPr>
          <w:rFonts w:ascii="Arial" w:cs="Arial" w:eastAsia="Arial" w:hAnsi="Arial"/>
          <w:sz w:val="24"/>
          <w:szCs w:val="24"/>
        </w:rPr>
        <w:t xml:space="preserve">, исходя из содержания статьи 100 </w:t>
      </w:r>
      <w:hyperlink w:history="1" r:id="rIdyx0scfll5r8yobrxxycn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предусматривает ответственность за неисполнение, ненадлежащее исполнение либо воспрепятствование исполнению судебных актов.</w:t>
      </w:r>
    </w:p>
    <w:p>
      <w:pPr>
        <w:spacing w:after="120"/>
        <w:jc w:val="both"/>
      </w:pPr>
      <w:r>
        <w:rPr>
          <w:rFonts w:ascii="Arial" w:cs="Arial" w:eastAsia="Arial" w:hAnsi="Arial"/>
          <w:sz w:val="24"/>
          <w:szCs w:val="24"/>
        </w:rPr>
        <w:t xml:space="preserve">Таким образом, исходя из конституционного принципа общеобязательности судебных актов, такой субъектный состав преступления, предусмотренный в оспариваемой норме, не противоречит конституционным установлениям и направлен на реализацию прав граждан в доступе к правосудию.</w:t>
      </w:r>
    </w:p>
    <w:p>
      <w:pPr>
        <w:spacing w:after="120"/>
        <w:jc w:val="both"/>
      </w:pPr>
      <w:r>
        <w:rPr>
          <w:rFonts w:ascii="Arial" w:cs="Arial" w:eastAsia="Arial" w:hAnsi="Arial"/>
          <w:sz w:val="24"/>
          <w:szCs w:val="24"/>
        </w:rPr>
        <w:t xml:space="preserve">В качестве санкции за указанные выше действия (бездействие) в рассматриваемой норме уголовного закона предусмотрено, помимо прочего, и лишение свободы сроком от одного года до двух лет. В этой связи у обращающейся стороны возникли сомнения относительно конституционности лишения свободы лица, злостно не исполняющего решение суда, принятого по гражданско-правовому обязательству, в частности, за неуплату денежной задолженности.</w:t>
      </w:r>
    </w:p>
    <w:p>
      <w:pPr>
        <w:spacing w:after="120"/>
        <w:jc w:val="both"/>
      </w:pPr>
      <w:r>
        <w:rPr>
          <w:rFonts w:ascii="Arial" w:cs="Arial" w:eastAsia="Arial" w:hAnsi="Arial"/>
          <w:sz w:val="24"/>
          <w:szCs w:val="24"/>
        </w:rPr>
        <w:t xml:space="preserve">Для правильного понимания вышеуказанных положений закона следует различать предметы этих правоотношений. Так, за неисполнение гражданско-правового обязательства законом (глава 21 </w:t>
      </w:r>
      <w:hyperlink w:history="1" r:id="rIdecbcbpuw8gse2461e9in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предусмотрена гражданско-правовая ответственность, которая, к примеру, в случае невозможности исполнения обязательства, если она вызвана обстоятельством, за которое ни одна из сторон не отвечает, прекращает обязательство. Вместе с тем, рассматривая в плоскости гражданско-правовой ответственности при неисполнении гражданско-правового обязательства, суд выносит решение, которое не лишает свободы должника, но обязывает выплатить определенную сумму или исполнить иное гражданско-правовое обязательство в пределах заявленного иска, что согласуется с пунктом 5 части 4 статьи 20 </w:t>
      </w:r>
      <w:hyperlink w:history="1" r:id="rIdh-u0-fweeb6nbuhb03yw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Данное конституционное положение также подкреплено нормами </w:t>
      </w:r>
      <w:hyperlink w:history="1" r:id="rIdgxfqeef_q_bd88a0optiq">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к которому Кыргызская Республика присоединилась </w:t>
      </w:r>
      <w:hyperlink w:history="1" r:id="rIdu3ixxafknqulzxewhxq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 (далее - Пакт). В соответствие со статьей 11 </w:t>
      </w:r>
      <w:hyperlink w:history="1" r:id="rIddqcsx9onzhv8mjndqibxo">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никто не может быть лишен свободы на том только основании, что он не в состоянии выполнить какое-либо договорное обязательство. Это нормативное положение означает, что государство-участник обязуется применить данное требование в национальном законодательстве и, что суды не вправе вынести подобное решение только лишь на основании того, что соответствующее лицо не может уплатить долг или выполнить какое-либо иное договорное обязательство.</w:t>
      </w:r>
    </w:p>
    <w:p>
      <w:pPr>
        <w:spacing w:after="120"/>
        <w:jc w:val="both"/>
      </w:pPr>
      <w:r>
        <w:rPr>
          <w:rFonts w:ascii="Arial" w:cs="Arial" w:eastAsia="Arial" w:hAnsi="Arial"/>
          <w:sz w:val="24"/>
          <w:szCs w:val="24"/>
        </w:rPr>
        <w:t xml:space="preserve">Однако обстоятельства, указанные в статье 338 </w:t>
      </w:r>
      <w:hyperlink w:history="1" r:id="rIdjxolmj9ojlsnqs6jzo562">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указывают на другой предмет правоотношений, которым к уголовной ответственности привлекаются лица, злостно не исполняющие вступивший в законную силу, а поэтому подлежащий обязательному исполнению приговор суда, решение суда или иной судебный акт, а равно осуществляющие действия (бездействие), препятствующие их исполнению.</w:t>
      </w:r>
    </w:p>
    <w:p>
      <w:pPr>
        <w:spacing w:after="120"/>
        <w:jc w:val="both"/>
      </w:pPr>
      <w:r>
        <w:rPr>
          <w:rFonts w:ascii="Arial" w:cs="Arial" w:eastAsia="Arial" w:hAnsi="Arial"/>
          <w:sz w:val="24"/>
          <w:szCs w:val="24"/>
        </w:rPr>
        <w:t xml:space="preserve">Установленная законодателем уголовная ответственность основана на общественной опасности такого деяния, которое приносит значительный вред интересам правосудия. Негативные последствия неисполнения приговора суда, решения суда или иного судебного акта формируют отрицательное отношение граждан к правосудию, способствуют падению авторитета суда; существенно влияют на важные общественные, государственные процессы и системы. Общественная опасность рассматриваемого деяния заключается, также, в невыполнении законодательного принципа общеобязательности исполнения судебного акта, который заключается в способности гарантировать его исполнение всеми лицами, в том числе и гражданами, от которых оно зависит.</w:t>
      </w:r>
    </w:p>
    <w:p>
      <w:pPr>
        <w:spacing w:after="120"/>
        <w:jc w:val="both"/>
      </w:pPr>
      <w:r>
        <w:rPr>
          <w:rFonts w:ascii="Arial" w:cs="Arial" w:eastAsia="Arial" w:hAnsi="Arial"/>
          <w:sz w:val="24"/>
          <w:szCs w:val="24"/>
        </w:rPr>
        <w:t xml:space="preserve">Необходимость существования состава преступления, предусматривающего уголовную ответственность за неисполнение приговора суда, решения суда или иного судебного акта, определяется и качественным своеобразием нарушаемых этим посягательством общественных отношений, поскольку правосудие выступает важным регулятором, устраняющим конфликты, неизбежно возникающие в обществе между участниками правоотношений, и нуждается в охране уголовно-правовыми средствами.</w:t>
      </w:r>
    </w:p>
    <w:p>
      <w:pPr>
        <w:spacing w:after="120"/>
        <w:jc w:val="both"/>
      </w:pPr>
      <w:r>
        <w:rPr>
          <w:rFonts w:ascii="Arial" w:cs="Arial" w:eastAsia="Arial" w:hAnsi="Arial"/>
          <w:sz w:val="24"/>
          <w:szCs w:val="24"/>
        </w:rPr>
        <w:t xml:space="preserve">Таким образом, анализ предпосылок уголовно-правового запрета, предусмотренного статьей 338 </w:t>
      </w:r>
      <w:hyperlink w:history="1" r:id="rIdgmf44x2iiqxgg1v0ph3qt">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позволяет говорить о его необходимости и целесообразности.</w:t>
      </w:r>
    </w:p>
    <w:p>
      <w:pPr>
        <w:spacing w:after="120"/>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 (часть 3 статьи 27 </w:t>
      </w:r>
      <w:hyperlink w:history="1" r:id="rIdqmtudtxjpvpjl3biqn7j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Данный конституционный принцип применяется лишь в том случае, если лицо было привлечено к юридической ответственности и правовой акт суда или иного уполномоченного органа приобрел окончательный характер. Данный вывод согласуется с нормами </w:t>
      </w:r>
      <w:hyperlink w:history="1" r:id="rIdkzbz_x_bnadklgnhgeayi">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где указано, что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(часть 7 статьи 14). Указанное положение </w:t>
      </w:r>
      <w:hyperlink w:history="1" r:id="rIda1gr_eiiwbjjropmxi-ca">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рассматривается не только как формальный запрет повторения уголовной процедуры по тому же делу, но и как важнейшее право осужденного.</w:t>
      </w:r>
    </w:p>
    <w:p>
      <w:pPr>
        <w:spacing w:after="120"/>
        <w:jc w:val="both"/>
      </w:pPr>
      <w:r>
        <w:rPr>
          <w:rFonts w:ascii="Arial" w:cs="Arial" w:eastAsia="Arial" w:hAnsi="Arial"/>
          <w:sz w:val="24"/>
          <w:szCs w:val="24"/>
        </w:rPr>
        <w:t xml:space="preserve">По данному принципу, прежде всего, обеспечивается невозможность пересмотра судебного акта в отношении осужденного, что он не будет подвергаться новому уголовному преследованию, признанию виновным и осуждению за одно и то же деяние. Такой подход позволяет расширить сферу действия данного права, охватив им, в определенной степени, и административное судопроизводство.</w:t>
      </w:r>
    </w:p>
    <w:p>
      <w:pPr>
        <w:spacing w:after="120"/>
        <w:jc w:val="both"/>
      </w:pPr>
      <w:r>
        <w:rPr>
          <w:rFonts w:ascii="Arial" w:cs="Arial" w:eastAsia="Arial" w:hAnsi="Arial"/>
          <w:sz w:val="24"/>
          <w:szCs w:val="24"/>
        </w:rPr>
        <w:t xml:space="preserve">Основным условием реализации права не подвергаться повторному осуждению за одно и то же преступление является тождественность вновь вменяемого лицу преступления с тем деянием, за которое оно уже было оправдано или осуждено. При этом следует отметить, что при оценке двух преступлений, как тождественных, необходимо различать их не только по наименованию правонарушений, но также, что наиболее важно – по их сущности и цели, и имеют ли эти правонарушения одни и те же существенные элементы.</w:t>
      </w:r>
    </w:p>
    <w:p>
      <w:pPr>
        <w:spacing w:after="120"/>
        <w:jc w:val="both"/>
      </w:pPr>
      <w:r>
        <w:rPr>
          <w:rFonts w:ascii="Arial" w:cs="Arial" w:eastAsia="Arial" w:hAnsi="Arial"/>
          <w:sz w:val="24"/>
          <w:szCs w:val="24"/>
        </w:rPr>
        <w:t xml:space="preserve">В этой связи часть 3 статьи 27 </w:t>
      </w:r>
      <w:hyperlink w:history="1" r:id="rIdordyv9vyiznuxexlm1ko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предусматривающей невозможность привлечения лица к повторной юридической ответственности за одно и то же правонарушение, следует рассматривать только в рамках одного вида юридической ответственности.</w:t>
      </w:r>
    </w:p>
    <w:p>
      <w:pPr>
        <w:spacing w:after="120"/>
        <w:jc w:val="both"/>
      </w:pPr>
      <w:r>
        <w:rPr>
          <w:rFonts w:ascii="Arial" w:cs="Arial" w:eastAsia="Arial" w:hAnsi="Arial"/>
          <w:sz w:val="24"/>
          <w:szCs w:val="24"/>
        </w:rPr>
        <w:t xml:space="preserve">Таким образом, привлечение лица к уголовной ответственности и административной ответственности не противоречит конституционным установлениям о невозможности привлечения лица к юридической ответственности за одно и то же правонарушение ввиду не тождественности признаков указанных правонарушений.</w:t>
      </w:r>
    </w:p>
    <w:p>
      <w:pPr>
        <w:spacing w:after="120"/>
        <w:jc w:val="both"/>
      </w:pPr>
      <w:r>
        <w:rPr>
          <w:rFonts w:ascii="Arial" w:cs="Arial" w:eastAsia="Arial" w:hAnsi="Arial"/>
          <w:sz w:val="24"/>
          <w:szCs w:val="24"/>
        </w:rPr>
        <w:t xml:space="preserve">На основании изложенного и руководствуясь пунктом 1 частей 6, 8 и 9 статьи 97 </w:t>
      </w:r>
      <w:hyperlink w:history="1" r:id="rIduhaaq9vsovvcb4pfyev8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vdmbnxzhqgqzj6kwt9_r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нормы статьи 338 </w:t>
      </w:r>
      <w:hyperlink w:history="1" r:id="rIdp2sok0wkbxehjhxs2fwwj">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непротиворечащими пункту 5 части 4 статьи 20, части 3 статьи 27 </w:t>
      </w:r>
      <w:hyperlink w:history="1" r:id="rIdv0omd6du_i2sy3-wp38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_f6x6eluyvmzm8nvkqjv" Type="http://schemas.openxmlformats.org/officeDocument/2006/relationships/hyperlink" Target="http://kodeks.duckdns.org/document/202913" TargetMode="External"/><Relationship Id="rId9pcsuq0jy44ol4p3lzbpz" Type="http://schemas.openxmlformats.org/officeDocument/2006/relationships/hyperlink" Target="http://kodeks.duckdns.org/document/203281" TargetMode="External"/><Relationship Id="rIdrfk1xf0iehipmn1tugh_9" Type="http://schemas.openxmlformats.org/officeDocument/2006/relationships/hyperlink" Target="http://kodeks.duckdns.org/document/568" TargetMode="External"/><Relationship Id="rIdldi8phaottgsfwkocv_ka" Type="http://schemas.openxmlformats.org/officeDocument/2006/relationships/hyperlink" Target="http://kodeks.duckdns.org/document/202913" TargetMode="External"/><Relationship Id="rIdcnvtoemlzwfring-uz2xc" Type="http://schemas.openxmlformats.org/officeDocument/2006/relationships/hyperlink" Target="http://kodeks.duckdns.org/document/568" TargetMode="External"/><Relationship Id="rIdkcfiwpfiua8cji0fdyuvk" Type="http://schemas.openxmlformats.org/officeDocument/2006/relationships/hyperlink" Target="http://kodeks.duckdns.org/document/568" TargetMode="External"/><Relationship Id="rIdeogj1ob-29gjt3xmxhsud" Type="http://schemas.openxmlformats.org/officeDocument/2006/relationships/hyperlink" Target="http://kodeks.duckdns.org/document/202913" TargetMode="External"/><Relationship Id="rIdhrck1tttjus_du0ryrhla" Type="http://schemas.openxmlformats.org/officeDocument/2006/relationships/hyperlink" Target="http://kodeks.duckdns.org/document/568" TargetMode="External"/><Relationship Id="rIdfx9z2bxlpcandjyzjx4ok" Type="http://schemas.openxmlformats.org/officeDocument/2006/relationships/hyperlink" Target="http://kodeks.duckdns.org/document/203196" TargetMode="External"/><Relationship Id="rId7jbmpv6ku5mfi9gq20iud" Type="http://schemas.openxmlformats.org/officeDocument/2006/relationships/hyperlink" Target="http://kodeks.duckdns.org/document/994" TargetMode="External"/><Relationship Id="rIducip-rsg2xm3bon5mv1_z" Type="http://schemas.openxmlformats.org/officeDocument/2006/relationships/hyperlink" Target="http://kodeks.duckdns.org/document/568" TargetMode="External"/><Relationship Id="rId6i72xzw-5o8dwgd2g3mlt" Type="http://schemas.openxmlformats.org/officeDocument/2006/relationships/hyperlink" Target="http://kodeks.duckdns.org/document/202913" TargetMode="External"/><Relationship Id="rIdc0cxxcfookj4bvc2jtpaa" Type="http://schemas.openxmlformats.org/officeDocument/2006/relationships/hyperlink" Target="http://kodeks.duckdns.org/document/6" TargetMode="External"/><Relationship Id="rIdt1ah1vborcuz2nltejc1_" Type="http://schemas.openxmlformats.org/officeDocument/2006/relationships/hyperlink" Target="http://kodeks.duckdns.org/document/568" TargetMode="External"/><Relationship Id="rId80cwsz0ekasutmt9ia7x9" Type="http://schemas.openxmlformats.org/officeDocument/2006/relationships/hyperlink" Target="http://kodeks.duckdns.org/document/568" TargetMode="External"/><Relationship Id="rIdgmgw2w3odbze8mwotft51" Type="http://schemas.openxmlformats.org/officeDocument/2006/relationships/hyperlink" Target="http://kodeks.duckdns.org/document/568" TargetMode="External"/><Relationship Id="rIdnvcivzvqso1iojzmhauyn" Type="http://schemas.openxmlformats.org/officeDocument/2006/relationships/hyperlink" Target="http://kodeks.duckdns.org/document/568" TargetMode="External"/><Relationship Id="rIdhnccc9oxefkypfen1bdht" Type="http://schemas.openxmlformats.org/officeDocument/2006/relationships/hyperlink" Target="http://kodeks.duckdns.org/document/202913" TargetMode="External"/><Relationship Id="rIdkhnknifv9p_mdm-yzc1tu" Type="http://schemas.openxmlformats.org/officeDocument/2006/relationships/hyperlink" Target="http://kodeks.duckdns.org/document/203281" TargetMode="External"/><Relationship Id="rIdstpcjzpzhhkyhbupynvrj" Type="http://schemas.openxmlformats.org/officeDocument/2006/relationships/hyperlink" Target="http://kodeks.duckdns.org/document/568" TargetMode="External"/><Relationship Id="rIduskdi5rrppxds-x-88xiq" Type="http://schemas.openxmlformats.org/officeDocument/2006/relationships/hyperlink" Target="http://kodeks.duckdns.org/document/568" TargetMode="External"/><Relationship Id="rId-5i9-kiqtgzpvve36i1zg" Type="http://schemas.openxmlformats.org/officeDocument/2006/relationships/hyperlink" Target="http://kodeks.duckdns.org/document/202913" TargetMode="External"/><Relationship Id="rIdeowbrf2delchr-jd8ulbr" Type="http://schemas.openxmlformats.org/officeDocument/2006/relationships/hyperlink" Target="http://kodeks.duckdns.org/document/202913" TargetMode="External"/><Relationship Id="rId4igfytvlespwvhxislprp" Type="http://schemas.openxmlformats.org/officeDocument/2006/relationships/hyperlink" Target="http://kodeks.duckdns.org/document/568" TargetMode="External"/><Relationship Id="rId6w5s4ruykynb0cdl8_cjk" Type="http://schemas.openxmlformats.org/officeDocument/2006/relationships/hyperlink" Target="http://kodeks.duckdns.org/document/568" TargetMode="External"/><Relationship Id="rIdctbklhnxmpdipdlkbcink" Type="http://schemas.openxmlformats.org/officeDocument/2006/relationships/hyperlink" Target="http://kodeks.duckdns.org/document/994" TargetMode="External"/><Relationship Id="rIdtvmlyqzpmfkx12xr-ouoj" Type="http://schemas.openxmlformats.org/officeDocument/2006/relationships/hyperlink" Target="http://kodeks.duckdns.org/document/568" TargetMode="External"/><Relationship Id="rIdvowpnap9761fxajyynjp1" Type="http://schemas.openxmlformats.org/officeDocument/2006/relationships/hyperlink" Target="http://kodeks.duckdns.org/document/568" TargetMode="External"/><Relationship Id="rIdyx0scfll5r8yobrxxycnd" Type="http://schemas.openxmlformats.org/officeDocument/2006/relationships/hyperlink" Target="http://kodeks.duckdns.org/document/202913" TargetMode="External"/><Relationship Id="rIdecbcbpuw8gse2461e9int" Type="http://schemas.openxmlformats.org/officeDocument/2006/relationships/hyperlink" Target="http://kodeks.duckdns.org/document/4" TargetMode="External"/><Relationship Id="rIdh-u0-fweeb6nbuhb03ywe" Type="http://schemas.openxmlformats.org/officeDocument/2006/relationships/hyperlink" Target="http://kodeks.duckdns.org/document/202913" TargetMode="External"/><Relationship Id="rIdgxfqeef_q_bd88a0optiq" Type="http://schemas.openxmlformats.org/officeDocument/2006/relationships/hyperlink" Target="http://kodeks.duckdns.org/document/17581" TargetMode="External"/><Relationship Id="rIdu3ixxafknqulzxewhxqks" Type="http://schemas.openxmlformats.org/officeDocument/2006/relationships/hyperlink" Target="http://kodeks.duckdns.org/document/50679" TargetMode="External"/><Relationship Id="rIddqcsx9onzhv8mjndqibxo" Type="http://schemas.openxmlformats.org/officeDocument/2006/relationships/hyperlink" Target="http://kodeks.duckdns.org/document/17581" TargetMode="External"/><Relationship Id="rIdjxolmj9ojlsnqs6jzo562" Type="http://schemas.openxmlformats.org/officeDocument/2006/relationships/hyperlink" Target="http://kodeks.duckdns.org/document/568" TargetMode="External"/><Relationship Id="rIdgmf44x2iiqxgg1v0ph3qt" Type="http://schemas.openxmlformats.org/officeDocument/2006/relationships/hyperlink" Target="http://kodeks.duckdns.org/document/568" TargetMode="External"/><Relationship Id="rIdqmtudtxjpvpjl3biqn7j2" Type="http://schemas.openxmlformats.org/officeDocument/2006/relationships/hyperlink" Target="http://kodeks.duckdns.org/document/202913" TargetMode="External"/><Relationship Id="rIdkzbz_x_bnadklgnhgeayi" Type="http://schemas.openxmlformats.org/officeDocument/2006/relationships/hyperlink" Target="http://kodeks.duckdns.org/document/17581" TargetMode="External"/><Relationship Id="rIda1gr_eiiwbjjropmxi-ca" Type="http://schemas.openxmlformats.org/officeDocument/2006/relationships/hyperlink" Target="http://kodeks.duckdns.org/document/17581" TargetMode="External"/><Relationship Id="rIdordyv9vyiznuxexlm1kox" Type="http://schemas.openxmlformats.org/officeDocument/2006/relationships/hyperlink" Target="http://kodeks.duckdns.org/document/202913" TargetMode="External"/><Relationship Id="rIduhaaq9vsovvcb4pfyev8o" Type="http://schemas.openxmlformats.org/officeDocument/2006/relationships/hyperlink" Target="http://kodeks.duckdns.org/document/202913" TargetMode="External"/><Relationship Id="rIdvdmbnxzhqgqzj6kwt9_rd" Type="http://schemas.openxmlformats.org/officeDocument/2006/relationships/hyperlink" Target="http://kodeks.duckdns.org/document/203281" TargetMode="External"/><Relationship Id="rIdp2sok0wkbxehjhxs2fwwj" Type="http://schemas.openxmlformats.org/officeDocument/2006/relationships/hyperlink" Target="http://kodeks.duckdns.org/document/568" TargetMode="External"/><Relationship Id="rIdv0omd6du_i2sy3-wp38wo"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2026-09-23T14:53:54.347Z</dcterms:created>
  <dcterms:modified xsi:type="dcterms:W3CDTF">2026-09-23T14:53:54.347Z</dcterms:modified>
</cp:coreProperties>
</file>

<file path=docProps/custom.xml><?xml version="1.0" encoding="utf-8"?>
<Properties xmlns="http://schemas.openxmlformats.org/officeDocument/2006/custom-properties" xmlns:vt="http://schemas.openxmlformats.org/officeDocument/2006/docPropsVTypes"/>
</file>