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8 апреля 2015 года № 5-р</w:t>
      </w:r>
    </w:p>
    <w:p>
      <w:pPr>
        <w:spacing w:after="120"/>
        <w:jc w:val="both"/>
      </w:pPr>
      <w:r>
        <w:rPr>
          <w:rFonts w:ascii="Arial" w:cs="Arial" w:eastAsia="Arial" w:hAnsi="Arial"/>
          <w:i/>
          <w:iCs/>
          <w:sz w:val="24"/>
          <w:szCs w:val="24"/>
        </w:rPr>
        <w:t xml:space="preserve">по делу о проверке конституционности примечания к статье 228 </w:t>
      </w:r>
      <w:hyperlink w:history="1" r:id="rId9zevpuooh_pgjnoycwn53">
        <w:r>
          <w:rPr>
            <w:rFonts w:ascii="Arial" w:cs="Arial" w:eastAsia="Arial" w:hAnsi="Arial"/>
            <w:i/>
            <w:iCs/>
            <w:color w:val="1D4ED8"/>
            <w:sz w:val="24"/>
            <w:szCs w:val="24"/>
            <w:u w:val="single"/>
          </w:rPr>
          <w:t xml:space="preserve">Кодекса</w:t>
        </w:r>
      </w:hyperlink>
      <w:r>
        <w:rPr>
          <w:rFonts w:ascii="Arial" w:cs="Arial" w:eastAsia="Arial" w:hAnsi="Arial"/>
          <w:i/>
          <w:iCs/>
          <w:sz w:val="24"/>
          <w:szCs w:val="24"/>
        </w:rPr>
        <w:t xml:space="preserve"> Кыргызской Республики об административной ответственности и постановления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в связи с обращением граждан Бекешова Дастана Далабаевича и Турдубекова Улукбека Бактыбековича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гражданина Турдубекова У.Б., представляющий также интересы Бекешова Д.Д. по доверенности;</w:t>
      </w:r>
    </w:p>
    <w:p>
      <w:pPr>
        <w:spacing w:after="120"/>
        <w:jc w:val="both"/>
      </w:pPr>
      <w:r>
        <w:rPr>
          <w:rFonts w:ascii="Arial" w:cs="Arial" w:eastAsia="Arial" w:hAnsi="Arial"/>
          <w:sz w:val="24"/>
          <w:szCs w:val="24"/>
        </w:rPr>
        <w:t xml:space="preserve">- стороны-ответчика - Джорупбековой А.А, представляющей интересы Жогорку Кенеша Кыргызской Республики по доверенности, Гульжигитова М.Г., Саркулова Ы.К., представляющих интересы Правительства Кыргызской Республики по доверенности;</w:t>
      </w:r>
    </w:p>
    <w:p>
      <w:pPr>
        <w:spacing w:after="120"/>
        <w:jc w:val="both"/>
      </w:pPr>
      <w:r>
        <w:rPr>
          <w:rFonts w:ascii="Arial" w:cs="Arial" w:eastAsia="Arial" w:hAnsi="Arial"/>
          <w:sz w:val="24"/>
          <w:szCs w:val="24"/>
        </w:rPr>
        <w:t xml:space="preserve">- иного лица - представителей Государственного комитета национальной безопасности Кыргызской Республики Жээмбаева С.Р., Жусупбекова М.К., действующих по доверенности,</w:t>
      </w:r>
    </w:p>
    <w:p>
      <w:pPr>
        <w:spacing w:after="120"/>
        <w:jc w:val="both"/>
      </w:pPr>
      <w:r>
        <w:rPr>
          <w:rFonts w:ascii="Arial" w:cs="Arial" w:eastAsia="Arial" w:hAnsi="Arial"/>
          <w:sz w:val="24"/>
          <w:szCs w:val="24"/>
        </w:rPr>
        <w:t xml:space="preserve">руководствуясь частями 1, 6, 8, 9, 10 статьи 97</w:t>
      </w:r>
    </w:p>
    <w:p>
      <w:pPr>
        <w:spacing w:after="120"/>
        <w:jc w:val="both"/>
      </w:pPr>
      <w:r>
        <w:rPr>
          <w:rFonts w:ascii="Arial" w:cs="Arial" w:eastAsia="Arial" w:hAnsi="Arial"/>
          <w:sz w:val="24"/>
          <w:szCs w:val="24"/>
        </w:rPr>
        <w:t xml:space="preserve"> Конституции Кыргызской Республики, статьями 4, 18, 19, 37, 42 конституционного </w:t>
      </w:r>
      <w:hyperlink w:history="1" r:id="rIdsjcgmkkk9hec-060ak3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примечания к статье 228 </w:t>
      </w:r>
      <w:hyperlink w:history="1" r:id="rIdaixritq5iby5hhikquj3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постановления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w:t>
      </w:r>
    </w:p>
    <w:p>
      <w:pPr>
        <w:spacing w:after="120"/>
        <w:jc w:val="both"/>
      </w:pPr>
      <w:r>
        <w:rPr>
          <w:rFonts w:ascii="Arial" w:cs="Arial" w:eastAsia="Arial" w:hAnsi="Arial"/>
          <w:sz w:val="24"/>
          <w:szCs w:val="24"/>
        </w:rPr>
        <w:t xml:space="preserve">Поводом к рассмотрению дела явилось ходатайство граждан Бекешова Д.Д. и Турдубекова У.Б.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примечание к статье 228 </w:t>
      </w:r>
      <w:hyperlink w:history="1" r:id="rIdzrm51-lo2mtghtu6jsmm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постановление Правительства Кыргызской Республики от 21 февраля 2011 года № 59.</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15 октября 2014 года поступило ходатайство граждан Бекешова Д.Д. и Турдубекова У.Б. о признании части 4 статьи 228, примечания к указанной статье </w:t>
      </w:r>
      <w:hyperlink w:history="1" r:id="rId9lb44vtqihc6jgc9lzhb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постановления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неконституционными и противоречащими части 3 статьи 16 </w:t>
      </w:r>
      <w:hyperlink w:history="1" r:id="rIdvniiujhiuv1_a1vnhoo_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Заявители в своем ходатайстве отмечают, что часть 4 статьи 228 </w:t>
      </w:r>
      <w:hyperlink w:history="1" r:id="rIddtslv08ap25cgoa015wy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предусматривает ответственность за управление водителем транспортного средства с нанесенным на лобовое, боковое стекло передней двери тонирующим покрытием либо использованием на них шторок, а также наличием на стекле задней боковой двери и заднем стекле зеркального тонирующего покрытия. Тем самым, нанесение тонирующего покрытия на стекла автомашин законом запрещено. Однако примечание к указанной статье не распространяет этот запрет на специальные автомашины, перечень которых устанавливается Правительством Кыргызской Республики.</w:t>
      </w:r>
    </w:p>
    <w:p>
      <w:pPr>
        <w:spacing w:after="120"/>
        <w:jc w:val="both"/>
      </w:pPr>
      <w:r>
        <w:rPr>
          <w:rFonts w:ascii="Arial" w:cs="Arial" w:eastAsia="Arial" w:hAnsi="Arial"/>
          <w:sz w:val="24"/>
          <w:szCs w:val="24"/>
        </w:rPr>
        <w:t xml:space="preserve">Таким образом, по мнению заявителей, оспариваемые нормы, которыми лица разграничиваются на имеющих право на тонировку и не наделенных таким правом, противоречат Конституции Кыргызской Республики, в которой установлено равенство всех перед законом, вне зависимости от статуса, рода деятельности и профессии.</w:t>
      </w:r>
    </w:p>
    <w:p>
      <w:pPr>
        <w:spacing w:after="120"/>
        <w:jc w:val="both"/>
      </w:pPr>
      <w:r>
        <w:rPr>
          <w:rFonts w:ascii="Arial" w:cs="Arial" w:eastAsia="Arial" w:hAnsi="Arial"/>
          <w:sz w:val="24"/>
          <w:szCs w:val="24"/>
        </w:rPr>
        <w:t xml:space="preserve">Заявители указывают, что законодатель при введении запрета на тонирование стекол автомобилей исходил из необходимости обеспечения безопасности дорожного движения. Однако, с предоставлением отдельным лицам права тонирования передних боковых стекол, перечень которых определен постановлением Правительства Кыргызской Республики от 21 февраля 2011 года № 59, нивелируется принцип равенства всех участников дорожного движения. Также субъекты обращения указывают на неясность принципа формирования этого перечня, когда одним министрам разрешается тонировка, а другим нет. В связи с чем, заявители считают, что такой подход является еще и дискриминирующим по роду деятельности, что противоречит части 2 статьи 16 </w:t>
      </w:r>
      <w:hyperlink w:history="1" r:id="rIdaogdfqicz5pkasabsb7w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20 ноября 2014 года ходатайство заявителей было принято к производству.</w:t>
      </w:r>
    </w:p>
    <w:p>
      <w:pPr>
        <w:spacing w:after="120"/>
        <w:jc w:val="both"/>
      </w:pPr>
      <w:r>
        <w:rPr>
          <w:rFonts w:ascii="Arial" w:cs="Arial" w:eastAsia="Arial" w:hAnsi="Arial"/>
          <w:sz w:val="24"/>
          <w:szCs w:val="24"/>
        </w:rPr>
        <w:t xml:space="preserve">В последующем, в ходе подготовки дела к рассмотрению, субъекты обращения уточнили объем своих требований и просили признать неконституционными примечание к статье 228 </w:t>
      </w:r>
      <w:hyperlink w:history="1" r:id="rIdaavymcha7vklvdkeo55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постановление Правительства Кыргызской Республики от 21 февраля 2011 года № 59.</w:t>
      </w:r>
    </w:p>
    <w:p>
      <w:pPr>
        <w:spacing w:after="120"/>
        <w:jc w:val="both"/>
      </w:pPr>
      <w:r>
        <w:rPr>
          <w:rFonts w:ascii="Arial" w:cs="Arial" w:eastAsia="Arial" w:hAnsi="Arial"/>
          <w:sz w:val="24"/>
          <w:szCs w:val="24"/>
        </w:rPr>
        <w:t xml:space="preserve">В судебном заседании обращающаяся сторона поддержала свое ходатайство и просила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Джорупбекова А.А. и Правительства Кыргызской Республики Гульжигитов М.Г., Саркулов Ы.К. не согласились с доводами обращающейся стороны и считают, что оспариваемая норма Кодекса Кыргызской Республики об административной ответственности и постановление Правительства Республики от 21 февраля 2011 года № 59 не противоречат </w:t>
      </w:r>
      <w:hyperlink w:history="1" r:id="rIdcqw2hit3s7y3kqucyj6h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пояснения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ppqkwe5aiwcoi55-eieg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примечание к статье 228 </w:t>
      </w:r>
      <w:hyperlink w:history="1" r:id="rIdo4rctep3nxyfphcnmd_q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следующего содержания:</w:t>
      </w:r>
    </w:p>
    <w:p>
      <w:pPr>
        <w:spacing w:after="120"/>
        <w:jc w:val="both"/>
      </w:pPr>
      <w:r>
        <w:rPr>
          <w:rFonts w:ascii="Arial" w:cs="Arial" w:eastAsia="Arial" w:hAnsi="Arial"/>
          <w:sz w:val="24"/>
          <w:szCs w:val="24"/>
        </w:rPr>
        <w:t xml:space="preserve">"Статья 228. Управление водителями транспортными средствами, переоборудованными без соответствующего разрешения, а также с нанесенными тонирующими покрытиями</w:t>
      </w:r>
    </w:p>
    <w:p>
      <w:pPr>
        <w:spacing w:after="120"/>
        <w:jc w:val="both"/>
      </w:pPr>
      <w:r>
        <w:rPr>
          <w:rFonts w:ascii="Arial" w:cs="Arial" w:eastAsia="Arial" w:hAnsi="Arial"/>
          <w:sz w:val="24"/>
          <w:szCs w:val="24"/>
        </w:rPr>
        <w:t xml:space="preserve">Примечание. 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120"/>
        <w:jc w:val="both"/>
      </w:pPr>
      <w:r>
        <w:rPr>
          <w:rFonts w:ascii="Arial" w:cs="Arial" w:eastAsia="Arial" w:hAnsi="Arial"/>
          <w:sz w:val="24"/>
          <w:szCs w:val="24"/>
        </w:rPr>
        <w:t xml:space="preserve">и постановление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w:t>
      </w:r>
    </w:p>
    <w:p>
      <w:pPr>
        <w:spacing w:after="120"/>
        <w:jc w:val="both"/>
      </w:pPr>
      <w:r>
        <w:rPr>
          <w:rFonts w:ascii="Arial" w:cs="Arial" w:eastAsia="Arial" w:hAnsi="Arial"/>
          <w:sz w:val="24"/>
          <w:szCs w:val="24"/>
        </w:rPr>
        <w:t xml:space="preserve">Оспариваемые нормативные правовые акты приняты в порядке, установленном законодательством, опубликованы в газете "Эркин Тоо" от 9 сентября 1998 года № 59-60, 25 февраля 2011 года № 13, внесены в Государственный реестр нормативных правовых актов Кыргызской Республики и являются действующими.</w:t>
      </w:r>
    </w:p>
    <w:p>
      <w:pPr>
        <w:spacing w:after="120"/>
        <w:jc w:val="both"/>
      </w:pPr>
      <w:r>
        <w:rPr>
          <w:rFonts w:ascii="Arial" w:cs="Arial" w:eastAsia="Arial" w:hAnsi="Arial"/>
          <w:sz w:val="24"/>
          <w:szCs w:val="24"/>
        </w:rPr>
        <w:t xml:space="preserve">2. Одним из основополагающих принципов института конституционных прав и свобод личности является принцип равенства перед законом и судом, предусмотренный частью 3 статьи 16 </w:t>
      </w:r>
      <w:hyperlink w:history="1" r:id="rIdk__ev8lrmqxfdxv1khj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Указанный принцип соответствует международным правовым актам, в частности положениям Всеобщей декларации прав человека (статья 7), Международного </w:t>
      </w:r>
      <w:hyperlink w:history="1" r:id="rIdld9khzatoemuhdoguccvz">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(статья 14, часть 2 статьи 20), закрепившим, что все люди равны перед законом и имеют право на равную защиту закона.</w:t>
      </w:r>
    </w:p>
    <w:p>
      <w:pPr>
        <w:spacing w:after="120"/>
        <w:jc w:val="both"/>
      </w:pPr>
      <w:r>
        <w:rPr>
          <w:rFonts w:ascii="Arial" w:cs="Arial" w:eastAsia="Arial" w:hAnsi="Arial"/>
          <w:sz w:val="24"/>
          <w:szCs w:val="24"/>
        </w:rPr>
        <w:t xml:space="preserve">Конституционный принцип равенства всех перед законом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Соблюдение принципа равенства, гарантирующего защиту от всех форм дискриминации,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обусловливает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Соответственно законодатель вправе устанавливать определенные изъятия и облегчения из общего порядка для определенных субъектов в зависимости от выполняемых функций, защищаемого интереса и других обстоятельств, которые должны быть правомерными и соразмерными общезначимым конституционным целям.</w:t>
      </w:r>
    </w:p>
    <w:p>
      <w:pPr>
        <w:spacing w:after="120"/>
        <w:jc w:val="both"/>
      </w:pPr>
      <w:r>
        <w:rPr>
          <w:rFonts w:ascii="Arial" w:cs="Arial" w:eastAsia="Arial" w:hAnsi="Arial"/>
          <w:sz w:val="24"/>
          <w:szCs w:val="24"/>
        </w:rPr>
        <w:t xml:space="preserve">Правомерное изъятие в сфере юридической ответственности, устанавливаемое в специальных нормах в целях повышенной правовой защиты строго определенного круга лиц для обеспечения эффективности их деятельности по выполнению государственно и общественно значимых функций, должно соответствовать роли этих лиц в жизни общества и не должен превращаться в личные привилегии.</w:t>
      </w:r>
    </w:p>
    <w:p>
      <w:pPr>
        <w:spacing w:after="120"/>
        <w:jc w:val="both"/>
      </w:pPr>
      <w:r>
        <w:rPr>
          <w:rFonts w:ascii="Arial" w:cs="Arial" w:eastAsia="Arial" w:hAnsi="Arial"/>
          <w:sz w:val="24"/>
          <w:szCs w:val="24"/>
        </w:rPr>
        <w:t xml:space="preserve">3. Законодатель в рамках предоставленных ему дискреций предусмотрел в статье 228 </w:t>
      </w:r>
      <w:hyperlink w:history="1" r:id="rIdqsllg9n8klgzkzyxbqjd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административную ответственность водителей за управление транспортным средством с нанесенным на лобовое, боковое стекло передней двери тонирующим покрытием.</w:t>
      </w:r>
    </w:p>
    <w:p>
      <w:pPr>
        <w:spacing w:after="120"/>
        <w:jc w:val="both"/>
      </w:pPr>
      <w:r>
        <w:rPr>
          <w:rFonts w:ascii="Arial" w:cs="Arial" w:eastAsia="Arial" w:hAnsi="Arial"/>
          <w:sz w:val="24"/>
          <w:szCs w:val="24"/>
        </w:rPr>
        <w:t xml:space="preserve">Введение запрета на нанесение тонирующего покрытия на лобовое и боковые стекла передней двери направлено на обеспечение безопасности дорожного движения, поскольку при условии недостаточной видимости и в темное время суток ограниченный обзор может стать причиной дорожно-транспортных происшествий. Более того, наличие тонировки на автотранспортных средствах не позволит сотрудникам дорожно-патрульной службы выявлять и фиксировать другие виды административных правонарушений (непристегнутый ремень безопасности, использование мобильного телефона водителем во время движения автомобиля и другие) ввиду ограниченной видимости лиц, находящихся в салоне автомашины.</w:t>
      </w:r>
    </w:p>
    <w:p>
      <w:pPr>
        <w:spacing w:after="120"/>
        <w:jc w:val="both"/>
      </w:pPr>
      <w:r>
        <w:rPr>
          <w:rFonts w:ascii="Arial" w:cs="Arial" w:eastAsia="Arial" w:hAnsi="Arial"/>
          <w:sz w:val="24"/>
          <w:szCs w:val="24"/>
        </w:rPr>
        <w:t xml:space="preserve">Таким образом введение законодателем такого запрета не выходит за рамки конституционных установлений и не может рассматриваться как ущемление прав и свобод человека и гражданина.</w:t>
      </w:r>
    </w:p>
    <w:p>
      <w:pPr>
        <w:spacing w:after="120"/>
        <w:jc w:val="both"/>
      </w:pPr>
      <w:r>
        <w:rPr>
          <w:rFonts w:ascii="Arial" w:cs="Arial" w:eastAsia="Arial" w:hAnsi="Arial"/>
          <w:sz w:val="24"/>
          <w:szCs w:val="24"/>
        </w:rPr>
        <w:t xml:space="preserve">Вместе с тем законодатель в примечании к статье 228 </w:t>
      </w:r>
      <w:hyperlink w:history="1" r:id="rIdaejjrk39ewx-td03fc_k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предусмотрел изъятие из установленного требования о запрете на нанесение тонирующего покрытия на лобовое и боковые стекла передней двери для специальных автомашин, перечень которых должен быть установлен Правительством Кыргызской Республики.</w:t>
      </w:r>
    </w:p>
    <w:p>
      <w:pPr>
        <w:spacing w:after="120"/>
        <w:jc w:val="both"/>
      </w:pPr>
      <w:r>
        <w:rPr>
          <w:rFonts w:ascii="Arial" w:cs="Arial" w:eastAsia="Arial" w:hAnsi="Arial"/>
          <w:sz w:val="24"/>
          <w:szCs w:val="24"/>
        </w:rPr>
        <w:t xml:space="preserve">Установление законодателем правового иммунитета от административной ответственности водителей специальных автомашин представляет собой законное правовое средство, с помощью которого государство обеспечивает защиту лица, выполняющего важные для государства функции. Такого рода исключения из общего правила следует рассматривать как часть регулирующего воздействия конституционного принципа равноправия, направленного на достижение общественно значимого результата, так как равенство перед законом не исключает фактических различий и необходимости их учета законодателем. При этом правовой иммунитет, установленный в примечании к статье 228 </w:t>
      </w:r>
      <w:hyperlink w:history="1" r:id="rIdifbmhkdc9twu7desxeha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является не личной привилегией водителя специальной автомашины, а средством защиты публичных интересов.</w:t>
      </w:r>
    </w:p>
    <w:p>
      <w:pPr>
        <w:spacing w:after="120"/>
        <w:jc w:val="both"/>
      </w:pPr>
      <w:r>
        <w:rPr>
          <w:rFonts w:ascii="Arial" w:cs="Arial" w:eastAsia="Arial" w:hAnsi="Arial"/>
          <w:sz w:val="24"/>
          <w:szCs w:val="24"/>
        </w:rPr>
        <w:t xml:space="preserve">Однако отсутствие в примечании к статье 228 </w:t>
      </w:r>
      <w:hyperlink w:history="1" r:id="rIdmqovonheqozvvwfvvrmi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каких-либо критериев отнесения автомашин к категории специальных дало Правительству Кыргызской Республики право по своему усмотрению устанавливать этот перечень, вследствие чего у субъектов обращения возникли сомнения относительно конституционности не только постановления Правительства Кыргызской Республики от 21 февраля 2011 года № 59, но и самого примечания к статье 228 </w:t>
      </w:r>
      <w:hyperlink w:history="1" r:id="rIdbcrsh_lmupv_mz41-yvg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4. Правительством Кыргызской Республики во исполнение примечания к статье 228 </w:t>
      </w:r>
      <w:hyperlink w:history="1" r:id="rIdogj-l5lqamf1pbvsnab1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21 февраля 2011 года принято постановление за № 59, которым утвержден Перечень специальных автотранспортных средств, требующих наличия ограниченного обзора - тонирования (покрытия) передних боковых стекол автомобиля, а также Порядок получения разрешения на тонирование (покрытие) передних боковых стекол специальных автотранспортных средств.</w:t>
      </w:r>
    </w:p>
    <w:p>
      <w:pPr>
        <w:spacing w:after="120"/>
        <w:jc w:val="both"/>
      </w:pPr>
      <w:r>
        <w:rPr>
          <w:rFonts w:ascii="Arial" w:cs="Arial" w:eastAsia="Arial" w:hAnsi="Arial"/>
          <w:sz w:val="24"/>
          <w:szCs w:val="24"/>
        </w:rPr>
        <w:t xml:space="preserve">Указанный Перечень согласно преамбуле оспариваемого постановления, принят в соответствии со статьей 228 </w:t>
      </w:r>
      <w:hyperlink w:history="1" r:id="rIdq8orratzjszbmxg8gezh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 целях личной безопасности охраняемых лиц, а также обеспечения безопасности при сопровождении (эскортировании) специальных автоколонн.</w:t>
      </w:r>
    </w:p>
    <w:p>
      <w:pPr>
        <w:spacing w:after="120"/>
        <w:jc w:val="both"/>
      </w:pPr>
      <w:r>
        <w:rPr>
          <w:rFonts w:ascii="Arial" w:cs="Arial" w:eastAsia="Arial" w:hAnsi="Arial"/>
          <w:sz w:val="24"/>
          <w:szCs w:val="24"/>
        </w:rPr>
        <w:t xml:space="preserve">Таким образом, в качестве критерия отнесения автомашин к специальным Правительство Кыргызской Республики определило автотранспортные средства, обслуживающие должностных лиц, являющихся объектами государственной охраны. Применение данного критерия для составления Перечня специальных автомашин, на которые не распространяется требование статьи 228 </w:t>
      </w:r>
      <w:hyperlink w:history="1" r:id="rIdi5o6re4jsqbuafxzpjt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является правомерным, поскольку круг лиц, находящихся под государственной охраной, четко определен </w:t>
      </w:r>
      <w:hyperlink w:history="1" r:id="rIdksy9s0vzke-tsuabvz2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охране". При этом, для обеспечения безопасности объекта государственной охраны согласно данному </w:t>
      </w:r>
      <w:hyperlink w:history="1" r:id="rId6j_iumtquz7gq6ka7xob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применяется совокупность правовых, организационных, охранных, режимных, технических и иных мер, направленных на предупреждение и пресечение возможных угроз безопасности лица, подлежащего государственной охране.</w:t>
      </w:r>
    </w:p>
    <w:p>
      <w:pPr>
        <w:spacing w:after="120"/>
        <w:jc w:val="both"/>
      </w:pPr>
      <w:r>
        <w:rPr>
          <w:rFonts w:ascii="Arial" w:cs="Arial" w:eastAsia="Arial" w:hAnsi="Arial"/>
          <w:sz w:val="24"/>
          <w:szCs w:val="24"/>
        </w:rPr>
        <w:t xml:space="preserve">Тонировка стекол автомобиля относится к организационно-техническим мероприятиям, которые исключают визуальное наблюдение и определение месторасположения объекта государственной охраны в салоне автомашины и способствуют, в определенной мере, его безопасности при передвижении.</w:t>
      </w:r>
    </w:p>
    <w:p>
      <w:pPr>
        <w:spacing w:after="120"/>
        <w:jc w:val="both"/>
      </w:pPr>
      <w:r>
        <w:rPr>
          <w:rFonts w:ascii="Arial" w:cs="Arial" w:eastAsia="Arial" w:hAnsi="Arial"/>
          <w:sz w:val="24"/>
          <w:szCs w:val="24"/>
        </w:rPr>
        <w:t xml:space="preserve">Однако утвержденный Правительством Кыргызской Республики Перечень является не исчерпывающим и допускает возможность его расширения посредством выдачи разрешения на тонировку передних боковых стекол автомашины в соответствии с Порядком, утвержденным оспариваемым постановлением. Выдача разрешений на ограничение обзора - тонирование (покрытие) передних боковых стекол специальных автотранспортных средств должна осуществляться согласно Перечню специальных автотранспортных средств, требующих наличия ограниченного обзора - тонирования (покрытия) передних боковых стекол автомобиля.</w:t>
      </w:r>
    </w:p>
    <w:p>
      <w:pPr>
        <w:spacing w:after="120"/>
        <w:jc w:val="both"/>
      </w:pPr>
      <w:r>
        <w:rPr>
          <w:rFonts w:ascii="Arial" w:cs="Arial" w:eastAsia="Arial" w:hAnsi="Arial"/>
          <w:sz w:val="24"/>
          <w:szCs w:val="24"/>
        </w:rPr>
        <w:t xml:space="preserve">Как было отмечено выше, в качестве критерия составления Перечня Правительство Кыргызской Республики в преамбуле оспариваемого на предмет конституционности постановления указало, необходимость личной безопасности охраняемых лиц, а также обеспечение безопасности при сопровождении (эскортировании) специальных автоколонн.</w:t>
      </w:r>
    </w:p>
    <w:p>
      <w:pPr>
        <w:spacing w:after="120"/>
        <w:jc w:val="both"/>
      </w:pPr>
      <w:r>
        <w:rPr>
          <w:rFonts w:ascii="Arial" w:cs="Arial" w:eastAsia="Arial" w:hAnsi="Arial"/>
          <w:sz w:val="24"/>
          <w:szCs w:val="24"/>
        </w:rPr>
        <w:t xml:space="preserve">В связи с чем, Конституционная палата отмечает, что оспариваемое постановление Правительства Кыргызской Республики предусмотревший Перечнем специальных автотранспортных средств, требующих наличия ограниченного обзора - тонирования (покрытия) передних боковых стекол автомобиля необоснованно широкий круг субъектов, наделенных правовым иммунитетом от административной ответственности, и допускающий возможность выдачи Главным управлением безопасности дорожного движения Министерства внутренних дел Кыргызской Республики разрешения на тонирование передних боковых стекол на основании Порядка получения разрешения на тонирование (покрытие) передних боковых стекол специальных автотранспортных средств, не соответствует задачам законодательства об административной ответственности, противоречит принципу личной ответственности и неотвратимости наказания за совершенное административное правонарушение (статьи 2, 3 </w:t>
      </w:r>
      <w:hyperlink w:history="1" r:id="rIdhlcynw9jw58n--drliy4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нарушает конституционный принцип равенства всех перед законом, установленный частью 3 статьи 16 </w:t>
      </w:r>
      <w:hyperlink w:history="1" r:id="rId1dauw24quqsiocu3x7o_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Правовое регулирование, в силу конституционных принципов правового государства, верховенства закона и юридического равенства, должно отвечать требованиям определенности, ясности и непротиворечивости, а механизм его действия должен быть понятен субъектам соответствующих правоотношений, поскольку конституционное равноправие может быть обеспечено лишь при условии единообразного понимания и толкования правовой нормы всеми правоприменителями.</w:t>
      </w:r>
    </w:p>
    <w:p>
      <w:pPr>
        <w:spacing w:after="120"/>
        <w:jc w:val="both"/>
      </w:pPr>
      <w:r>
        <w:rPr>
          <w:rFonts w:ascii="Arial" w:cs="Arial" w:eastAsia="Arial" w:hAnsi="Arial"/>
          <w:sz w:val="24"/>
          <w:szCs w:val="24"/>
        </w:rPr>
        <w:t xml:space="preserve">В связи с чем, законодателю следует в статье 228 </w:t>
      </w:r>
      <w:hyperlink w:history="1" r:id="rIdk0igoz_y17tuse5s2jj9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установить критерии, на основании которых Правительством Кыргызской Республики должен быть определен исчерпывающий перечень специальных автотранспортных средств, без возможности его расширения каким-либо иным государственным органом.</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и 9 статьи 97 </w:t>
      </w:r>
      <w:hyperlink w:history="1" r:id="rIdouimgnpwtnkwzwb8lxdl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19k1ryck11sqyrd-6ns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примечание к статье 228 </w:t>
      </w:r>
      <w:hyperlink w:history="1" r:id="rIdy9s7sgn7n1mcwnr1lwvg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не противоречащим части 3 статьи 16 </w:t>
      </w:r>
      <w:hyperlink w:history="1" r:id="rIdwr9vogk5qqko6xlurwma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Перечень специальных автотранспортных средств, требующих наличия ограниченного обзора - тонирования (покрытия) передних боковых стекол автомобиля, утвержденный постановлением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не противоречащим части 3 статьи 16 </w:t>
      </w:r>
      <w:hyperlink w:history="1" r:id="rIdm22uw5pnr8tienn46tb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допускает тонировку автотранспортных средств должностных лиц, являющихся объектами государственной охраны, а также автотранспортных средств, обеспечивающие сопровождение (эскортирование). В остальной части Перечень специальных автотранспортных средств, требующих наличия ограниченного обзора - тонирования (покрытия) передних боковых стекол автомобиля действует до внесения Жогорку Кенешем Кыргызской Республики соответствующих изменений в статью 228 </w:t>
      </w:r>
      <w:hyperlink w:history="1" r:id="rIdwfsxzhjdeemqczzrhfcn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вытекающих из мотивировочной части настоящего решения и утверждения Правительством Кыргызской Республики нового Перечня в соответствии с критериями, определенными Жогорку Кенешем Кыргызской Республики.</w:t>
      </w:r>
    </w:p>
    <w:p>
      <w:pPr>
        <w:spacing w:after="120"/>
        <w:jc w:val="both"/>
      </w:pPr>
      <w:r>
        <w:rPr>
          <w:rFonts w:ascii="Arial" w:cs="Arial" w:eastAsia="Arial" w:hAnsi="Arial"/>
          <w:sz w:val="24"/>
          <w:szCs w:val="24"/>
        </w:rPr>
        <w:t xml:space="preserve">Установить, что Порядок получения разрешения на тонирование передних боковых стекол специальных автотранспортных средств, утвержденный постановлением Правительства Кыргызской Республики "Об утверждении Перечня специальных автотранспортных средств, требующих наличия ограниченного обзора - тонирования (покрытия) передних боковых стекол автомобиля" от 21 февраля 2011 года № 59, действует до принятия Правительством Кыргызской Республики нового Перечня.</w:t>
      </w:r>
    </w:p>
    <w:p>
      <w:pPr>
        <w:spacing w:after="120"/>
        <w:jc w:val="both"/>
      </w:pPr>
      <w:r>
        <w:rPr>
          <w:rFonts w:ascii="Arial" w:cs="Arial" w:eastAsia="Arial" w:hAnsi="Arial"/>
          <w:sz w:val="24"/>
          <w:szCs w:val="24"/>
        </w:rPr>
        <w:t xml:space="preserve">3. Жогорку Кенешу Кыргызской Республики внести дополнения в статью 228 </w:t>
      </w:r>
      <w:hyperlink w:history="1" r:id="rIdafjrvacs64uikuvp1gd1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вытекающие из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lpr5r63tulshskcj95t">
      <w:r>
        <w:rPr>
          <w:rFonts w:ascii="Arial" w:cs="Arial" w:eastAsia="Arial" w:hAnsi="Arial"/>
          <w:color w:val="132D3F"/>
          <w:sz w:val="16"/>
          <w:szCs w:val="16"/>
          <w:u w:val="single"/>
        </w:rPr>
        <w:t xml:space="preserve">dalil.kg/document/9661</w:t>
      </w:r>
    </w:hyperlink>
  </w:p>
  <w:p>
    <w:pPr>
      <w:spacing w:after="0" w:before="40"/>
      <w:jc w:val="center"/>
    </w:pPr>
    <w:hyperlink w:history="1" r:id="rId4eabal9wpuxqstoxnhk2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zevpuooh_pgjnoycwn53" Type="http://schemas.openxmlformats.org/officeDocument/2006/relationships/hyperlink" Target="https://dalil.kg/document/6" TargetMode="External"/><Relationship Id="rIdsjcgmkkk9hec-060ak3ez" Type="http://schemas.openxmlformats.org/officeDocument/2006/relationships/hyperlink" Target="https://dalil.kg/document/203281" TargetMode="External"/><Relationship Id="rIdaixritq5iby5hhikquj34" Type="http://schemas.openxmlformats.org/officeDocument/2006/relationships/hyperlink" Target="https://dalil.kg/document/6" TargetMode="External"/><Relationship Id="rIdzrm51-lo2mtghtu6jsmmn" Type="http://schemas.openxmlformats.org/officeDocument/2006/relationships/hyperlink" Target="https://dalil.kg/document/6" TargetMode="External"/><Relationship Id="rId9lb44vtqihc6jgc9lzhbs" Type="http://schemas.openxmlformats.org/officeDocument/2006/relationships/hyperlink" Target="https://dalil.kg/document/6" TargetMode="External"/><Relationship Id="rIdvniiujhiuv1_a1vnhoo_s" Type="http://schemas.openxmlformats.org/officeDocument/2006/relationships/hyperlink" Target="https://dalil.kg/document/202913" TargetMode="External"/><Relationship Id="rIddtslv08ap25cgoa015wyv" Type="http://schemas.openxmlformats.org/officeDocument/2006/relationships/hyperlink" Target="https://dalil.kg/document/6" TargetMode="External"/><Relationship Id="rIdaogdfqicz5pkasabsb7wi" Type="http://schemas.openxmlformats.org/officeDocument/2006/relationships/hyperlink" Target="https://dalil.kg/document/202913" TargetMode="External"/><Relationship Id="rIdaavymcha7vklvdkeo555-" Type="http://schemas.openxmlformats.org/officeDocument/2006/relationships/hyperlink" Target="https://dalil.kg/document/6" TargetMode="External"/><Relationship Id="rIdcqw2hit3s7y3kqucyj6hc" Type="http://schemas.openxmlformats.org/officeDocument/2006/relationships/hyperlink" Target="https://dalil.kg/document/202913" TargetMode="External"/><Relationship Id="rIdppqkwe5aiwcoi55-eiegz" Type="http://schemas.openxmlformats.org/officeDocument/2006/relationships/hyperlink" Target="https://dalil.kg/document/203281" TargetMode="External"/><Relationship Id="rIdo4rctep3nxyfphcnmd_qj" Type="http://schemas.openxmlformats.org/officeDocument/2006/relationships/hyperlink" Target="https://dalil.kg/document/203281" TargetMode="External"/><Relationship Id="rIdk__ev8lrmqxfdxv1khja-" Type="http://schemas.openxmlformats.org/officeDocument/2006/relationships/hyperlink" Target="https://dalil.kg/document/202913" TargetMode="External"/><Relationship Id="rIdld9khzatoemuhdoguccvz" Type="http://schemas.openxmlformats.org/officeDocument/2006/relationships/hyperlink" Target="https://dalil.kg/document/17581" TargetMode="External"/><Relationship Id="rIdqsllg9n8klgzkzyxbqjdn" Type="http://schemas.openxmlformats.org/officeDocument/2006/relationships/hyperlink" Target="https://dalil.kg/document/6" TargetMode="External"/><Relationship Id="rIdaejjrk39ewx-td03fc_k2" Type="http://schemas.openxmlformats.org/officeDocument/2006/relationships/hyperlink" Target="https://dalil.kg/document/6" TargetMode="External"/><Relationship Id="rIdifbmhkdc9twu7desxehav" Type="http://schemas.openxmlformats.org/officeDocument/2006/relationships/hyperlink" Target="https://dalil.kg/document/6" TargetMode="External"/><Relationship Id="rIdmqovonheqozvvwfvvrmil" Type="http://schemas.openxmlformats.org/officeDocument/2006/relationships/hyperlink" Target="https://dalil.kg/document/6" TargetMode="External"/><Relationship Id="rIdbcrsh_lmupv_mz41-yvgm" Type="http://schemas.openxmlformats.org/officeDocument/2006/relationships/hyperlink" Target="https://dalil.kg/document/6" TargetMode="External"/><Relationship Id="rIdogj-l5lqamf1pbvsnab13" Type="http://schemas.openxmlformats.org/officeDocument/2006/relationships/hyperlink" Target="https://dalil.kg/document/6" TargetMode="External"/><Relationship Id="rIdq8orratzjszbmxg8gezht" Type="http://schemas.openxmlformats.org/officeDocument/2006/relationships/hyperlink" Target="https://dalil.kg/document/6" TargetMode="External"/><Relationship Id="rIdi5o6re4jsqbuafxzpjtlo" Type="http://schemas.openxmlformats.org/officeDocument/2006/relationships/hyperlink" Target="https://dalil.kg/document/6" TargetMode="External"/><Relationship Id="rIdksy9s0vzke-tsuabvz2xq" Type="http://schemas.openxmlformats.org/officeDocument/2006/relationships/hyperlink" Target="https://dalil.kg/document/605" TargetMode="External"/><Relationship Id="rId6j_iumtquz7gq6ka7xobq" Type="http://schemas.openxmlformats.org/officeDocument/2006/relationships/hyperlink" Target="https://dalil.kg/document/605" TargetMode="External"/><Relationship Id="rIdhlcynw9jw58n--drliy40" Type="http://schemas.openxmlformats.org/officeDocument/2006/relationships/hyperlink" Target="https://dalil.kg/document/6" TargetMode="External"/><Relationship Id="rId1dauw24quqsiocu3x7o_9" Type="http://schemas.openxmlformats.org/officeDocument/2006/relationships/hyperlink" Target="https://dalil.kg/document/202913" TargetMode="External"/><Relationship Id="rIdk0igoz_y17tuse5s2jj90" Type="http://schemas.openxmlformats.org/officeDocument/2006/relationships/hyperlink" Target="https://dalil.kg/document/6" TargetMode="External"/><Relationship Id="rIdouimgnpwtnkwzwb8lxdlj" Type="http://schemas.openxmlformats.org/officeDocument/2006/relationships/hyperlink" Target="https://dalil.kg/document/202913" TargetMode="External"/><Relationship Id="rId19k1ryck11sqyrd-6nsiq" Type="http://schemas.openxmlformats.org/officeDocument/2006/relationships/hyperlink" Target="https://dalil.kg/document/203281" TargetMode="External"/><Relationship Id="rIdy9s7sgn7n1mcwnr1lwvgt" Type="http://schemas.openxmlformats.org/officeDocument/2006/relationships/hyperlink" Target="https://dalil.kg/document/6" TargetMode="External"/><Relationship Id="rIdwr9vogk5qqko6xlurwma2" Type="http://schemas.openxmlformats.org/officeDocument/2006/relationships/hyperlink" Target="https://dalil.kg/document/202913" TargetMode="External"/><Relationship Id="rIdm22uw5pnr8tienn46tbip" Type="http://schemas.openxmlformats.org/officeDocument/2006/relationships/hyperlink" Target="https://dalil.kg/document/202913" TargetMode="External"/><Relationship Id="rIdwfsxzhjdeemqczzrhfcnu" Type="http://schemas.openxmlformats.org/officeDocument/2006/relationships/hyperlink" Target="https://dalil.kg/document/6" TargetMode="External"/><Relationship Id="rIdafjrvacs64uikuvp1gd1o"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lpr5r63tulshskcj95t" Type="http://schemas.openxmlformats.org/officeDocument/2006/relationships/hyperlink" Target="https://dalil.kg/document/9661" TargetMode="External"/><Relationship Id="rId4eabal9wpuxqstoxnhk2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2026-09-24T03:41:03.109Z</dcterms:created>
  <dcterms:modified xsi:type="dcterms:W3CDTF">2026-09-24T03:41:03.109Z</dcterms:modified>
</cp:coreProperties>
</file>

<file path=docProps/custom.xml><?xml version="1.0" encoding="utf-8"?>
<Properties xmlns="http://schemas.openxmlformats.org/officeDocument/2006/custom-properties" xmlns:vt="http://schemas.openxmlformats.org/officeDocument/2006/docPropsVTypes"/>
</file>