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ИМЕНЕМ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КОНСТИТУЦИОННОЙ ПАЛАТЫ ВЕРХОВНОГО СУДА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2015 года № 6-р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 делу о проверке конституционности пункта 1 части 9 статьи 15 и пункта 1 части 3 статьи 17 конституционного </w:t>
      </w:r>
      <w:hyperlink w:history="1" r:id="rIdyvlhohhohj-fktkc_sc7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"О статусе судей Кыргызской Республики" в связи с обращением гражданина Катаганова Немата Максутовича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Касымалиева М.Ш., судей Айдарбековой Ч.А., Бобукеевой М.Р., Мамырова Э.Т., Нарынбековой А.О., Осконбаева Э.Ж., Осмоновой Ч.О., Сооронкуловой К.С.,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Толобалдиеве М.Э.,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обращающейся стороны - гражданина Катаганова Н.М.; его представителей по доверенности Асанова Т.М., Камбаралиева 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стороны-ответчика - Карабековой К.С., представляющей интересы Жогорку Кенеша Кыргызской Республики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иного лица - Ниязалиева С.А., представителя Верховного суда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 статьи 97 </w:t>
      </w:r>
      <w:hyperlink w:history="1" r:id="rIdmxe7v1mdclt61gmbce5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1, 4, 18, 19, 24, 37, 42 конституционного Закона Кыргызской Республики "О Конституционной палате Верховного суда Кыргызской Республики", рассмотрела в открытом судебном заседании дело о проверке конституционности пункта 1 части 9 статьи 15 и пункта 1 части 3 статьи 17 </w:t>
      </w:r>
      <w:hyperlink w:history="1" r:id="rIdwy9tjxm1r87yjqb_nxo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судей Кыргызской Республики", в связи с обращением гражданина Катаганова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Катаганова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соответствует ли Конституции Кыргызской Республики пункт 1 части 9 статьи 15 и пункт 1 части 3 статьи 17 конституционного </w:t>
      </w:r>
      <w:hyperlink w:history="1" r:id="rIdjmz8vuz570epd1m8q6o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предусматривающие в качестве требования к должностям судей Верховного суда Кыргызской Республики, Конституционной палаты Верховного суда Кыргызской Республики и местных судов Кыргызской Республики - отсутствие судимости, в том числе снятой или погашенной.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выступление судьи-докладчика Осмоновой Ч.О.,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Республики, 5 ноября 2014 года поступило ходатайство гражданина Катаганова Н.М. о признании пункта 1 части 9 статьи 15 и пункта 1 части 3 статьи 17 конституционного </w:t>
      </w:r>
      <w:hyperlink w:history="1" r:id="rId0-jjrgnskimfbgivhae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неконституционными и противоречащими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полагает, что оспариваемые нормы, ограничивая лицо, в отношении которого судимость погашена или снята, занимать должность судьи, ущемляют гарантированное частью 3 статьи 42 Конституции Кыргызской Республики право человека на труд и противоречат части 1 статьи 16, статье 17, части 1 статьи 20 </w:t>
      </w:r>
      <w:hyperlink w:history="1" r:id="rId6hg2b6zyod8qmrh2t6i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заявителя, установленные оспариваемыми нормами ограничения на свободный выбор труда противоречат общепризнанным принципам и нормам международного права, в частности, статье 23 Всеобщей декларации прав человека, согласно которой каждый человек имеет право на труд, на свободный выбор работы, на справедливые и благоприятные условия труда, на защиту от безработицы; каждый работающий имеет право на справедливое и удовлетворительное вознаграждение, обеспечивающее достойное человека существование для него и его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считает, что в соответствии с частью 6 статьи 76 Уголовного </w:t>
      </w:r>
      <w:hyperlink w:history="1" r:id="rIdd9nbbognmixilsjnpbq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погашение или снятие судимости аннулирует правовые последствия, связанные с судимостью, а именно, с того момента, как погашена или снята судимость лицо признается несудимым, при этом ликвидируются все правовые последствия, которые были связаны с наличием судимости.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Верховного суда Кыргызской Республики от 18 декабря 2014 года ходатайство Катаганова Н.М.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обращающаяся сторона поддержала свои требования и просит их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Карабекова К.С. не соглашаясь с доводами обращающейся стороны, считает, что оспариваемая норма не противоречит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обсудив доводы сторон, пояснения иного лица, исследовав материалы дела, пришла к следующим выводам: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конституционного </w:t>
      </w:r>
      <w:hyperlink w:history="1" r:id="rIdgc1dviuxdszg9pa6tap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Верховного суда Кыргызской Республики по данному делу являются пункт 1 части 9 статьи 15 и пункт 1 части 3 статьи 17 конституционного </w:t>
      </w:r>
      <w:hyperlink w:history="1" r:id="rIdodkz89omn49tgumbhji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Требования, предъявляемые к судьям Верховного суда, Конституционной палаты Верховного суда, порядок их избрания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Судьями Верховного суда, Конституционной палаты Верховного суда не могут быть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судимость, в том числе снятую или погашенную;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Требования, предъявляемые к судьям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Судьями местных судов не могут быть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судимость, в том числе погашенную или снятую;".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</w:t>
      </w:r>
      <w:hyperlink w:history="1" r:id="rId3owytuxtuuid-qanku9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от 9 июля 2008 года № 141 опубликован в газете "Эркин Тоо" от 15 июля 2008 года № 51, принят в порядке, установленном законодательством,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Кыргызская Республика, являясь социальным государством, гарантирует каждому право на свободу труда (статьи 1, 42 </w:t>
      </w:r>
      <w:hyperlink w:history="1" r:id="rIdpofkwyjtl-onmfaq9dz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 является неотчуждаемым благом человека, признание, соблюдение и защита, которого - обязанность государства. Государство стремится обеспечить достойный уровень жизни и свободное развитие человека и именно в этих целях создает правовые, организационные, экономические и иные условия, с тем чтобы реализовать свою политику социальной направленности.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свободу труда как субъективное право каждой личности предопределено особенностями конституционно-правового развития и выражает определенную степень свободы, гарантируемую государством. Фундаментальную основу данного права составляют конституционно значимые принципы, выражающие демократическую сущность государственности и способствующие утверждению экономической свободы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свободу труда затрагивает основные сферы жизнедеятельности личности, является формой реализации правомочий и интересов граждан, а также универсальным средством гарантии всех других конституционных прав человека в области труда. В частности, распоряжаться своими способностями к труду, на выбор профессии и рода занятий, охрану и условия труда, а также право на вознаграждение за труд не ниже установленного законом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смысла и содержания части 3 статьи 42 </w:t>
      </w:r>
      <w:hyperlink w:history="1" r:id="rIddoqsppokjknim9jwx-h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каждый имеет возможность зарабатывать себе на жизнь трудом, который он свободно избирает или на который свободно соглашается. Именно поэтому в особую категорию конституционных гарантий выделяется свобода выбора труда. Так, право на свободу труда означает предоставление гражданам возможности выбрать по своему волеизъявлению трудовую деятельность, условия которой удовлетворяют его финансовые, социальные, духовные и иные потребности.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государство создает условия для полного осуществления гражданами права на труд, гарантируя тем самым равные возможности в выборе профессии и рода трудовой деятельности. Однако право каждого свободно распоряжаться своими способностями к труду, выбирать род деятельности и профессии, не предполагает обязанность государства обеспечить занятие гражданином конкретной должности и не исключает возможность закрепления в законе специального порядка замещения тех или иных должностей в органах государственной власти. Такую правовую позицию Конституционная палата Верховного суда Кыргызской Республики изложила в своих Решениях от 30 апреля 2014 года № 27-Р, от 18 февраля 2015 года № 02-Р.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Кыргызская Республика, являясь правовым государством, строит свою правовую систему на основе принципов верховенства права и признания высшей ценностью прав и свобод человека, их соблюдения и защиты как обязанности государства (статьи 1, 16 </w:t>
      </w:r>
      <w:hyperlink w:history="1" r:id="rIdrnrkpmdxq6xob05skra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Охрана, соблюдение и восстановление прав и свобод человека от нарушений и посягательств обеспечиваются в рамках конституционного права на судебную защиту, предполагающего обеспечение всем субъектам права свободного и равного доступа к правосудию, осуществляемому только судом на основе принципов справедливости, независимости, законности и равенства.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Обязанность государства обеспечить осуществление права на компетентную и действенную судебную защиту посредством справедливого разбирательства независимым беспристрастным судом вытекает также из являющихся составной частью правовой системы Кыргызской Республики Всеобщей декларации прав человека (статьи 8, 10), Международного </w:t>
      </w:r>
      <w:hyperlink w:history="1" r:id="rIdpkmxb4dpqvhhvd9tneo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пакта</w:t>
        </w:r>
      </w:hyperlink>
      <w:r>
        <w:rPr>
          <w:rFonts w:ascii="Arial" w:cs="Arial" w:eastAsia="Arial" w:hAnsi="Arial"/>
          <w:sz w:val="24"/>
          <w:szCs w:val="24"/>
        </w:rPr>
        <w:t xml:space="preserve"> о гражданских и политических правах (статьи 2, 14), </w:t>
      </w:r>
      <w:hyperlink w:history="1" r:id="rId0ufryrkqa7afpyuiblb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Содружества Независимых Государств "О правах и основных свободах человека" (статьи 6, 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Конституцией Кыргызской Республики исключительного полномочия осуществлять правосудие за судом позволяет государству исполнить свою социальную роль, выраженную в правозащитной и правореализующей функциях. Именно суду принадлежит ведущая роль в утверждении принципа верховенства права. Посредством правосудия как вида правоохранительной и правоприменительной государственной деятельности реализуется судебная власть, которая призвана охранять право, правовые устои государственной и общественной жизни от любых нарушений, кто бы их не совершал.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Публично-правовые цели правосудия реализуются судьями, как носителями судебной власти, что предопределяет их особый конституционно-правовой статус.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судьи, осуществляющего важную функцию государства, непосредственно зависит защита и восстановление прав и свобод человека, а также законных интересов граждан и юридических лиц; обеспечение исполнения законов и иных нормативных правовых актов; привлечение субъекта права к юридической ответственности и применения мер государственного воздействия и принуждения.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специфики задач и характера деятельности, круга обязанностей и степени ответственности перед законом и обществом, должность судьи выделяется в особую категорию. Поэтому к должности судьи предъявляются повышенные требования, которые выражаются в установлении высоких стандартов к личности обладателя, квалификации и поведению, и усилением ответственности за ненадлежащее исполнение судейских полномочий. Именно в связи с этим требования к судьям установлены как самой Конституцией Кыргызской Республики, так и конституционным </w:t>
      </w:r>
      <w:hyperlink w:history="1" r:id="rId_bcqeshitqudtxj1bx0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Республики", принятие которого обусловлено частью 9 статьи 94 </w:t>
      </w:r>
      <w:hyperlink w:history="1" r:id="rIdlqcwmm58oozn50g_coe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числу требований, предъявляемых к судье в соответствии с его статусом, относятся обязанности неукоснительно соблюдать Конституцию и законы Кыргызской Республики, требования Кодекса чести судей Кыргызской Республики, этику государственных служащих и избегать всего, что могло бы опорочить авторитет и достоинство судьи. В свою очередь, авторитет и достоинство судьи могут быть подорваны в силу наличия у судьи судимости, вне зависимости от того снята она или погашена.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Говоря о безупречности поведения судей, </w:t>
      </w:r>
      <w:hyperlink w:history="1" r:id="rIdrp8byfl0fu3mkv5lfic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установила, что судья занимает и сохраняет свои полномочия до тех пор, пока его поведение является безупречным, а нарушение этого требования является основанием для привлечения судьи к ответственности в порядке, определяемом конституционным </w:t>
      </w:r>
      <w:hyperlink w:history="1" r:id="rIdhcad_khoux2qkocr8aw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 (часть 1 статьи 95). Данное конституционное требование согласуется с общепризнанными принципами и нормами международного права, а также нормами международных договоров, являющихся в соответствии с частью 3 статьи 6 </w:t>
      </w:r>
      <w:hyperlink w:history="1" r:id="rIdzggxyxuh2gdxfrzwphm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составной частью правовой системы Кыргызской Республики. Так, лица, отобранные на судебные должности, должны иметь высокие моральные качества и способности, а также соответствующую подготовку и квалификацию в области права (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 Конвенции Международной Организации Труда от 1958 года № 111 "О дискриминации в области труда и занятий" установлено, что любое различие, недопущение или предпочтение в отношении определенной работы, основанной на специфических требованиях, не считается дискриминацией.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неоднократно отмечала Конституционная палата Верховного суда Кыргызской Республики в своих решениях (от 26 ноября 2013 года № 18-Р, от 30 апреля 2014 года № 27-Р, от 14 мая 2014 года № 31-Р, от 11 июня 2014 года № 33-Р, от 18 февраля 2015 года № 02-Р) установление особых требований для определенной категории лиц, выполняющих конституционно значимые функции государства (гражданская и специальная государственная служба, военная служба, государственные административные и политические должности), признано допустимым в силу специального правового статуса этих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нормами Конституции Кыргызской Республики и нормами международных договоров допускается установление особых требований как к судьям, так и к лицам, претендующим на должность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оспариваемые нормы, устанавливающие такое требование к должности судьи как отсутствие судимости, в том числе снятой или погашенной, в силу особого правового статуса судьи не могут рассматриваться как отменяющие или умаляющие права и свободы граждан, нарушающие право на свободу труда, а также не носят дискриминационный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Доводы субъекта обращения о том, что выявление судимости после назначения на должность судьи не может служить основанием для освобождения судьи от должности, являются безосновательными. Наличие судимости у судьи вне зависимости от того, снята она или погашена, и безотносительно от времени ее выявления, должно расцениваться как несоблюдение установленных особых требований к репутации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6, частями 8, 9 статьи 97 </w:t>
      </w:r>
      <w:hyperlink w:history="1" r:id="rIdy9bbfqho8a88wngi2km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41, 46, 47, 48, 51, 52 конституционного </w:t>
      </w:r>
      <w:hyperlink w:history="1" r:id="rIdiw9lexnapd7lyhx8qoo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пункт 1 части 9 статьи 15 и пункт 1 части 3 статьи 17 конституционного </w:t>
      </w:r>
      <w:hyperlink w:history="1" r:id="rIdlhyllqhiwwq_rs8djte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не противоречащими части 1 статьи 16, статье 17, части 1 статьи 20, части 3 статьи 42 </w:t>
      </w:r>
      <w:hyperlink w:history="1" r:id="rIdf4sqncfbteggok4kxup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Верховного суда Кыргызской Республики и в "Вестнике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1oel2khoxlqxtjfgkf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dalil.kg/document/9662</w:t>
      </w:r>
    </w:hyperlink>
  </w:p>
  <w:p>
    <w:pPr>
      <w:spacing w:after="0" w:before="40"/>
      <w:jc w:val="center"/>
    </w:pPr>
    <w:hyperlink w:history="1" r:id="rIdf3n-ag4fbbxexcnqjam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lhohhohj-fktkc_sc70" Type="http://schemas.openxmlformats.org/officeDocument/2006/relationships/hyperlink" Target="https://dalil.kg/document/202352" TargetMode="External"/><Relationship Id="rIdmxe7v1mdclt61gmbce5xp" Type="http://schemas.openxmlformats.org/officeDocument/2006/relationships/hyperlink" Target="https://dalil.kg/document/202913" TargetMode="External"/><Relationship Id="rIdwy9tjxm1r87yjqb_nxoq3" Type="http://schemas.openxmlformats.org/officeDocument/2006/relationships/hyperlink" Target="https://dalil.kg/document/202352" TargetMode="External"/><Relationship Id="rIdjmz8vuz570epd1m8q6oaw" Type="http://schemas.openxmlformats.org/officeDocument/2006/relationships/hyperlink" Target="https://dalil.kg/document/202352" TargetMode="External"/><Relationship Id="rId0-jjrgnskimfbgivhae8n" Type="http://schemas.openxmlformats.org/officeDocument/2006/relationships/hyperlink" Target="https://dalil.kg/document/202352" TargetMode="External"/><Relationship Id="rId6hg2b6zyod8qmrh2t6ip2" Type="http://schemas.openxmlformats.org/officeDocument/2006/relationships/hyperlink" Target="https://dalil.kg/document/202913" TargetMode="External"/><Relationship Id="rIdd9nbbognmixilsjnpbqmt" Type="http://schemas.openxmlformats.org/officeDocument/2006/relationships/hyperlink" Target="https://dalil.kg/document/568" TargetMode="External"/><Relationship Id="rIdgc1dviuxdszg9pa6tapoy" Type="http://schemas.openxmlformats.org/officeDocument/2006/relationships/hyperlink" Target="https://dalil.kg/document/203281" TargetMode="External"/><Relationship Id="rIdodkz89omn49tgumbhji7y" Type="http://schemas.openxmlformats.org/officeDocument/2006/relationships/hyperlink" Target="https://dalil.kg/document/202352" TargetMode="External"/><Relationship Id="rId3owytuxtuuid-qanku9zo" Type="http://schemas.openxmlformats.org/officeDocument/2006/relationships/hyperlink" Target="https://dalil.kg/document/202352" TargetMode="External"/><Relationship Id="rIdpofkwyjtl-onmfaq9dzjm" Type="http://schemas.openxmlformats.org/officeDocument/2006/relationships/hyperlink" Target="https://dalil.kg/document/202913" TargetMode="External"/><Relationship Id="rIddoqsppokjknim9jwx-hs1" Type="http://schemas.openxmlformats.org/officeDocument/2006/relationships/hyperlink" Target="https://dalil.kg/document/202913" TargetMode="External"/><Relationship Id="rIdrnrkpmdxq6xob05skrask" Type="http://schemas.openxmlformats.org/officeDocument/2006/relationships/hyperlink" Target="https://dalil.kg/document/202913" TargetMode="External"/><Relationship Id="rIdpkmxb4dpqvhhvd9tneoru" Type="http://schemas.openxmlformats.org/officeDocument/2006/relationships/hyperlink" Target="https://dalil.kg/document/17581" TargetMode="External"/><Relationship Id="rId0ufryrkqa7afpyuiblb0p" Type="http://schemas.openxmlformats.org/officeDocument/2006/relationships/hyperlink" Target="https://dalil.kg/document/17309" TargetMode="External"/><Relationship Id="rId_bcqeshitqudtxj1bx0nc" Type="http://schemas.openxmlformats.org/officeDocument/2006/relationships/hyperlink" Target="https://dalil.kg/document/202352" TargetMode="External"/><Relationship Id="rIdlqcwmm58oozn50g_coekk" Type="http://schemas.openxmlformats.org/officeDocument/2006/relationships/hyperlink" Target="https://dalil.kg/document/202913" TargetMode="External"/><Relationship Id="rIdrp8byfl0fu3mkv5lficvj" Type="http://schemas.openxmlformats.org/officeDocument/2006/relationships/hyperlink" Target="https://dalil.kg/document/202352" TargetMode="External"/><Relationship Id="rIdhcad_khoux2qkocr8awoy" Type="http://schemas.openxmlformats.org/officeDocument/2006/relationships/hyperlink" Target="https://dalil.kg/document/202352" TargetMode="External"/><Relationship Id="rIdzggxyxuh2gdxfrzwphmnx" Type="http://schemas.openxmlformats.org/officeDocument/2006/relationships/hyperlink" Target="https://dalil.kg/document/202913" TargetMode="External"/><Relationship Id="rIdy9bbfqho8a88wngi2km0z" Type="http://schemas.openxmlformats.org/officeDocument/2006/relationships/hyperlink" Target="https://dalil.kg/document/202913" TargetMode="External"/><Relationship Id="rIdiw9lexnapd7lyhx8qooqc" Type="http://schemas.openxmlformats.org/officeDocument/2006/relationships/hyperlink" Target="https://dalil.kg/document/203281" TargetMode="External"/><Relationship Id="rIdlhyllqhiwwq_rs8djtepz" Type="http://schemas.openxmlformats.org/officeDocument/2006/relationships/hyperlink" Target="https://dalil.kg/document/202352" TargetMode="External"/><Relationship Id="rIdf4sqncfbteggok4kxupu4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1oel2khoxlqxtjfgkf79" Type="http://schemas.openxmlformats.org/officeDocument/2006/relationships/hyperlink" Target="https://dalil.kg/document/9662" TargetMode="External"/><Relationship Id="rIdf3n-ag4fbbxexcnqjam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2026-09-24T03:43:03.938Z</dcterms:created>
  <dcterms:modified xsi:type="dcterms:W3CDTF">2026-09-24T03:43:03.938Z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