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3fbjvdc5vv5_zx69fes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апреля 2022 года № 236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 июля 2014 года № 365</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мерах по реализации требований норм Налогового кодекса Кыргызской Республики» </w:t>
      </w:r>
    </w:p>
    <w:p>
      <w:pPr>
        <w:spacing w:after="240" w:before="200"/>
        <w:jc w:val="center"/>
      </w:pPr>
      <w:r>
        <w:rPr>
          <w:rFonts w:ascii="Arial" w:cs="Arial" w:eastAsia="Arial" w:hAnsi="Arial"/>
          <w:b/>
          <w:bCs/>
          <w:sz w:val="28"/>
          <w:szCs w:val="28"/>
        </w:rPr>
        <w:t xml:space="preserve">от 19 марта 2010 года № 163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совершенствования налогового администрирования, в соответствии со статьей 332 Налогового </w:t>
      </w:r>
      <w:hyperlink w:history="1" r:id="rIdl3rfcicaleolykw9wnlz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fhznco3sdk7qbt_ad62o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норм Налогового кодекса Кыргызской Республики» от 19 марта 2010 года № 163 следующие изменения:</w:t>
      </w:r>
    </w:p>
    <w:p>
      <w:pPr>
        <w:spacing w:after="120"/>
        <w:ind w:firstLine="397"/>
        <w:jc w:val="both"/>
      </w:pPr>
      <w:r>
        <w:rPr>
          <w:rFonts w:ascii="Arial" w:cs="Arial" w:eastAsia="Arial" w:hAnsi="Arial"/>
          <w:sz w:val="24"/>
          <w:szCs w:val="24"/>
        </w:rPr>
        <w:t xml:space="preserve">- форму информационного расчета по налогу на имущество по объектам имущества 1 группы (FORM STI-086), утвержденную вышеуказанным постановлением, изложить в редакции согласно приложению 1 к настоящему постановлению;</w:t>
      </w:r>
    </w:p>
    <w:p>
      <w:pPr>
        <w:spacing w:after="120"/>
        <w:ind w:firstLine="397"/>
        <w:jc w:val="both"/>
      </w:pPr>
      <w:r>
        <w:rPr>
          <w:rFonts w:ascii="Arial" w:cs="Arial" w:eastAsia="Arial" w:hAnsi="Arial"/>
          <w:sz w:val="24"/>
          <w:szCs w:val="24"/>
        </w:rPr>
        <w:t xml:space="preserve">- в Порядке заполнения и представления информационного расчета по налогу на имущество, утвержденном вышеуказанным постановлением:</w:t>
      </w:r>
    </w:p>
    <w:p>
      <w:pPr>
        <w:spacing w:after="120"/>
        <w:ind w:firstLine="397"/>
        <w:jc w:val="both"/>
      </w:pPr>
      <w:r>
        <w:rPr>
          <w:rFonts w:ascii="Arial" w:cs="Arial" w:eastAsia="Arial" w:hAnsi="Arial"/>
          <w:sz w:val="24"/>
          <w:szCs w:val="24"/>
        </w:rPr>
        <w:t xml:space="preserve">раздел 2 изложить в следующей редакции:</w:t>
      </w:r>
    </w:p>
    <w:p>
      <w:pPr>
        <w:spacing w:after="120"/>
        <w:ind w:firstLine="397"/>
        <w:jc w:val="both"/>
      </w:pPr>
      <w:r>
        <w:rPr>
          <w:rFonts w:ascii="Arial" w:cs="Arial" w:eastAsia="Arial" w:hAnsi="Arial"/>
          <w:sz w:val="24"/>
          <w:szCs w:val="24"/>
        </w:rPr>
        <w:t xml:space="preserve">«2. Информационный расчет по налогу на имущество по объектам имущества 1 группы (FORM STI-086)</w:t>
      </w:r>
    </w:p>
    <w:p>
      <w:pPr>
        <w:spacing w:after="120"/>
        <w:ind w:firstLine="397"/>
        <w:jc w:val="both"/>
      </w:pPr>
      <w:r>
        <w:rPr>
          <w:rFonts w:ascii="Arial" w:cs="Arial" w:eastAsia="Arial" w:hAnsi="Arial"/>
          <w:sz w:val="24"/>
          <w:szCs w:val="24"/>
        </w:rPr>
        <w:t xml:space="preserve">5. В ячейках 300, 317, 334, 351, 368, 385, 402, 419, 436 графы 1 указывается наименование видов имущества в соответствии с кодом имущества, отраженным в таблице 1.</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имущества</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имущества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001</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Жилой дом</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002</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Квартира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003</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Дачный дом</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случае, если налогоплательщик имеет несколько объектов имущества, в информационный расчет включаются все объекты имущества. Например, физическое лицо владеет домом и квартирой. В этом случае в расчет включаются: дом – «001» и квартира – «002».</w:t>
      </w:r>
    </w:p>
    <w:p>
      <w:pPr>
        <w:spacing w:after="120"/>
        <w:ind w:firstLine="397"/>
        <w:jc w:val="both"/>
      </w:pPr>
      <w:r>
        <w:rPr>
          <w:rFonts w:ascii="Arial" w:cs="Arial" w:eastAsia="Arial" w:hAnsi="Arial"/>
          <w:sz w:val="24"/>
          <w:szCs w:val="24"/>
        </w:rPr>
        <w:t xml:space="preserve">6. В ячейках 301, 318, 335, 352, 369, 386, 403, 420, 437 графы 2 указывается адрес местонахождения имущества, указанный в техническом паспорте, выданном органом государственной регистрации прав на недвижимое имущество. Например, город Бишкек, ул. Манаса, д.25, кв.5. В случае отсутствия регистрации прав на имущество указывается фактический адрес места нахождения имущества.</w:t>
      </w:r>
    </w:p>
    <w:p>
      <w:pPr>
        <w:spacing w:after="120"/>
        <w:ind w:firstLine="397"/>
        <w:jc w:val="both"/>
      </w:pPr>
      <w:r>
        <w:rPr>
          <w:rFonts w:ascii="Arial" w:cs="Arial" w:eastAsia="Arial" w:hAnsi="Arial"/>
          <w:sz w:val="24"/>
          <w:szCs w:val="24"/>
        </w:rPr>
        <w:t xml:space="preserve">7. В ячейках 302, 319, 336, 353, 370, 387, 404, 421, 438 графы 3 указывается идентификационный код имущества, присвоенный органами государственной регистрации прав на недвижимое имущество. В случае отсутствия регистрации прав на имущество проставляется значение «0».</w:t>
      </w:r>
    </w:p>
    <w:p>
      <w:pPr>
        <w:spacing w:after="120"/>
        <w:ind w:firstLine="397"/>
        <w:jc w:val="both"/>
      </w:pPr>
      <w:r>
        <w:rPr>
          <w:rFonts w:ascii="Arial" w:cs="Arial" w:eastAsia="Arial" w:hAnsi="Arial"/>
          <w:sz w:val="24"/>
          <w:szCs w:val="24"/>
        </w:rPr>
        <w:t xml:space="preserve">8. В ячейках 303, 320, 337, 354, 371, 388, 405, 422, 439 графы 4 указывается информация о праве обладания имуществом: собственник, долевой собственник, не собственник - по кодам пользователей имущества согласно таблице 2.</w:t>
      </w:r>
    </w:p>
    <w:p>
      <w:pPr>
        <w:spacing w:after="120"/>
        <w:ind w:firstLine="397"/>
        <w:jc w:val="right"/>
      </w:pPr>
      <w:r>
        <w:rPr>
          <w:rFonts w:ascii="Arial" w:cs="Arial" w:eastAsia="Arial" w:hAnsi="Arial"/>
          <w:sz w:val="24"/>
          <w:szCs w:val="24"/>
        </w:rPr>
        <w:t xml:space="preserve">Таблица 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Пользователь имущества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Собственник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Долевой собственник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НС</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собственник</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В ячейках 304, 321, 338, 355, 372, 389, 406, 423, 440 графы 5 указывается количество месяцев владения/пользования объектом имущества. Например, 12, 6, 3.</w:t>
      </w:r>
    </w:p>
    <w:p>
      <w:pPr>
        <w:spacing w:after="120"/>
        <w:ind w:firstLine="397"/>
        <w:jc w:val="both"/>
      </w:pPr>
      <w:r>
        <w:rPr>
          <w:rFonts w:ascii="Arial" w:cs="Arial" w:eastAsia="Arial" w:hAnsi="Arial"/>
          <w:sz w:val="24"/>
          <w:szCs w:val="24"/>
        </w:rPr>
        <w:t xml:space="preserve">10. В ячейках 305, 322, 339, 356, 373, 390, 407, 424, 441 графы 6 указывается код материала стен, в соответствии с кодом материала, отраженным в таблице 3.</w:t>
      </w:r>
    </w:p>
    <w:p>
      <w:pPr>
        <w:spacing w:after="120"/>
        <w:ind w:firstLine="397"/>
        <w:jc w:val="right"/>
      </w:pPr>
      <w:r>
        <w:rPr>
          <w:rFonts w:ascii="Arial" w:cs="Arial" w:eastAsia="Arial" w:hAnsi="Arial"/>
          <w:sz w:val="24"/>
          <w:szCs w:val="24"/>
        </w:rPr>
        <w:t xml:space="preserve">Таблица 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71"/>
        <w:gridCol w:w="6807"/>
      </w:tblGrid>
      <w:tr>
        <w:tc>
          <w:tcPr>
            <w:tcW w:type="dxa" w:w="337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Код материала</w:t>
            </w:r>
          </w:p>
        </w:tc>
        <w:tc>
          <w:tcPr>
            <w:tcW w:type="dxa" w:w="68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материала</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Кирпич</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Дерево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Металл</w:t>
            </w:r>
          </w:p>
        </w:tc>
      </w:tr>
      <w:tr>
        <w:tc>
          <w:tcPr>
            <w:tcW w:type="dxa" w:w="337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700</w:t>
            </w:r>
          </w:p>
        </w:tc>
        <w:tc>
          <w:tcPr>
            <w:tcW w:type="dxa" w:w="68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В ячейках 306, 323, 340, 357, 374, 391, 408, 425, 442 графы 7 указывается год ввода в эксплуатацию объекта имущества. Например, 1995.</w:t>
      </w:r>
    </w:p>
    <w:p>
      <w:pPr>
        <w:spacing w:after="120"/>
        <w:ind w:firstLine="397"/>
        <w:jc w:val="both"/>
      </w:pPr>
      <w:r>
        <w:rPr>
          <w:rFonts w:ascii="Arial" w:cs="Arial" w:eastAsia="Arial" w:hAnsi="Arial"/>
          <w:sz w:val="24"/>
          <w:szCs w:val="24"/>
        </w:rPr>
        <w:t xml:space="preserve">12. В ячейках 307, 324, 341, 358, 375, 392, 409, 426, 443 графы 8 указывается общая площадь объекта имущества (кв. м) по данным технического паспорта единицы недвижимого имущества налогоплательщика, выдаваемого государственным органом, осуществляющим регистрацию прав на недвижимое имущество. В случае отсутствия в техническом паспорте единицы недвижимого имущества данных о размере общей площади объекта имущества по внутреннему замеру, общая площадь определяется по наружному замеру.</w:t>
      </w:r>
    </w:p>
    <w:p>
      <w:pPr>
        <w:spacing w:after="120"/>
        <w:ind w:firstLine="397"/>
        <w:jc w:val="both"/>
      </w:pPr>
      <w:r>
        <w:rPr>
          <w:rFonts w:ascii="Arial" w:cs="Arial" w:eastAsia="Arial" w:hAnsi="Arial"/>
          <w:sz w:val="24"/>
          <w:szCs w:val="24"/>
        </w:rPr>
        <w:t xml:space="preserve">В случае отсутствия регистрации прав на имущество указывается общая площадь объекта имущества согласно акту, подготовленному комиссией в составе представителей соответствующего органа налоговой службы, уполномоченного государственного органа по регистрации прав на недвижимое имущество и местного органа самоуправления.</w:t>
      </w:r>
    </w:p>
    <w:p>
      <w:pPr>
        <w:spacing w:after="120"/>
        <w:ind w:firstLine="397"/>
        <w:jc w:val="both"/>
      </w:pPr>
      <w:r>
        <w:rPr>
          <w:rFonts w:ascii="Arial" w:cs="Arial" w:eastAsia="Arial" w:hAnsi="Arial"/>
          <w:sz w:val="24"/>
          <w:szCs w:val="24"/>
        </w:rPr>
        <w:t xml:space="preserve">13. В ячейках 308, 325, 342, 359, 376, 393, 410, 427, 444 графы 9 указывается не облагаемая налогом площадь согласно пункту 2 части 1 статьи 330 Налогового кодекса Кыргызской Республики (далее – Налоговый кодекс). Например, трехкомнатная квартира общей площадью 120 кв. м, расположенная в городе Бишкек. В данном случае не облагаемая налогом площадь составляет 80 кв. м.</w:t>
      </w:r>
    </w:p>
    <w:p>
      <w:pPr>
        <w:spacing w:after="120"/>
        <w:ind w:firstLine="397"/>
        <w:jc w:val="both"/>
      </w:pPr>
      <w:r>
        <w:rPr>
          <w:rFonts w:ascii="Arial" w:cs="Arial" w:eastAsia="Arial" w:hAnsi="Arial"/>
          <w:sz w:val="24"/>
          <w:szCs w:val="24"/>
        </w:rPr>
        <w:t xml:space="preserve">14. В ячейках 309, 326, 343, 360, 377, 394, 411, 428, 445 графы 10 указывается разность данных, указанных в ячейках 307, 324, 341, 358, 375, 392, 409, 426, 443 графы 8 и ячейках 308, 325, 342, 359, 376, 393, 410, 427, 444 графы 9. Например, общая площадь трехкомнатной квартиры составляет 120 кв. м минус не облагаемая налогом площадь жилья по городу Бишкек - 80 кв. м, таким образом, в графе 10 указывается налогооблагаемая площадь - 40 кв. м (120 кв. м - 80 кв. м).</w:t>
      </w:r>
    </w:p>
    <w:p>
      <w:pPr>
        <w:spacing w:after="120"/>
        <w:ind w:firstLine="397"/>
        <w:jc w:val="both"/>
      </w:pPr>
      <w:r>
        <w:rPr>
          <w:rFonts w:ascii="Arial" w:cs="Arial" w:eastAsia="Arial" w:hAnsi="Arial"/>
          <w:sz w:val="24"/>
          <w:szCs w:val="24"/>
        </w:rPr>
        <w:t xml:space="preserve">15. В ячейках 310, 327, 344, 361, 378, 395, 412, 429, 446 графы 11 указывается оценочная стоимость объекта имущества (1 кв. м, сом.) в зависимости от срока эксплуатации и материала стен согласно части 2 статьи 327 Налогового кодекса, отраженная в таблице 4.</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Таблица 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25"/>
        <w:gridCol w:w="2253"/>
        <w:gridCol w:w="4199"/>
      </w:tblGrid>
      <w:tr>
        <w:tc>
          <w:tcPr>
            <w:tcW w:type="dxa" w:w="37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 стен</w:t>
            </w:r>
          </w:p>
        </w:tc>
        <w:tc>
          <w:tcPr>
            <w:tcW w:type="dxa" w:w="22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эксплуатации</w:t>
            </w:r>
          </w:p>
        </w:tc>
        <w:tc>
          <w:tcPr>
            <w:tcW w:type="dxa" w:w="41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w:t>
            </w:r>
          </w:p>
          <w:p>
            <w:pPr>
              <w:jc w:val="both"/>
            </w:pPr>
            <w:r>
              <w:rPr>
                <w:rFonts w:ascii="Arial" w:cs="Arial" w:eastAsia="Arial" w:hAnsi="Arial"/>
                <w:sz w:val="24"/>
                <w:szCs w:val="24"/>
              </w:rPr>
              <w:t xml:space="preserve">1 кв. м, сом.</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Кирпич</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w:t>
            </w:r>
          </w:p>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10000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Дерево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Сборный и монолитный бетон и железобетон, бетонные блоки, пескоблок, пеноблок, пенобетон, стекло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p>
            <w:pPr>
              <w:jc w:val="both"/>
            </w:pPr>
            <w:r>
              <w:rPr>
                <w:rFonts w:ascii="Arial" w:cs="Arial" w:eastAsia="Arial" w:hAnsi="Arial"/>
                <w:sz w:val="24"/>
                <w:szCs w:val="24"/>
              </w:rPr>
              <w:t xml:space="preserve">13000</w:t>
            </w:r>
          </w:p>
          <w:p>
            <w:pPr>
              <w:jc w:val="both"/>
            </w:pPr>
            <w:r>
              <w:rPr>
                <w:rFonts w:ascii="Arial" w:cs="Arial" w:eastAsia="Arial" w:hAnsi="Arial"/>
                <w:sz w:val="24"/>
                <w:szCs w:val="24"/>
              </w:rPr>
              <w:t xml:space="preserve">12000</w:t>
            </w:r>
          </w:p>
          <w:p>
            <w:pPr>
              <w:jc w:val="both"/>
            </w:pPr>
            <w:r>
              <w:rPr>
                <w:rFonts w:ascii="Arial" w:cs="Arial" w:eastAsia="Arial" w:hAnsi="Arial"/>
                <w:sz w:val="24"/>
                <w:szCs w:val="24"/>
              </w:rPr>
              <w:t xml:space="preserve">11000</w:t>
            </w:r>
          </w:p>
          <w:p>
            <w:pPr>
              <w:jc w:val="both"/>
            </w:pPr>
            <w:r>
              <w:rPr>
                <w:rFonts w:ascii="Arial" w:cs="Arial" w:eastAsia="Arial" w:hAnsi="Arial"/>
                <w:sz w:val="24"/>
                <w:szCs w:val="24"/>
              </w:rPr>
              <w:t xml:space="preserve">10000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Сырцовая глина (саман, гуваляк, сокмо)</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Шлакоблок, полистирольный строительный блок</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5 лет</w:t>
            </w:r>
          </w:p>
          <w:p>
            <w:pPr>
              <w:jc w:val="both"/>
            </w:pPr>
            <w:r>
              <w:rPr>
                <w:rFonts w:ascii="Arial" w:cs="Arial" w:eastAsia="Arial" w:hAnsi="Arial"/>
                <w:sz w:val="24"/>
                <w:szCs w:val="24"/>
              </w:rPr>
              <w:t xml:space="preserve">5-15 лет</w:t>
            </w:r>
          </w:p>
          <w:p>
            <w:pPr>
              <w:jc w:val="both"/>
            </w:pPr>
            <w:r>
              <w:rPr>
                <w:rFonts w:ascii="Arial" w:cs="Arial" w:eastAsia="Arial" w:hAnsi="Arial"/>
                <w:sz w:val="24"/>
                <w:szCs w:val="24"/>
              </w:rPr>
              <w:t xml:space="preserve">15-30 лет</w:t>
            </w:r>
          </w:p>
          <w:p>
            <w:pPr>
              <w:jc w:val="both"/>
            </w:pPr>
            <w:r>
              <w:rPr>
                <w:rFonts w:ascii="Arial" w:cs="Arial" w:eastAsia="Arial" w:hAnsi="Arial"/>
                <w:sz w:val="24"/>
                <w:szCs w:val="24"/>
              </w:rPr>
              <w:t xml:space="preserve">30-45 лет</w:t>
            </w:r>
          </w:p>
          <w:p>
            <w:pPr>
              <w:jc w:val="both"/>
            </w:pPr>
            <w:r>
              <w:rPr>
                <w:rFonts w:ascii="Arial" w:cs="Arial" w:eastAsia="Arial" w:hAnsi="Arial"/>
                <w:sz w:val="24"/>
                <w:szCs w:val="24"/>
              </w:rPr>
              <w:t xml:space="preserve">Более 45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w:t>
            </w:r>
          </w:p>
          <w:p>
            <w:pPr>
              <w:jc w:val="both"/>
            </w:pPr>
            <w:r>
              <w:rPr>
                <w:rFonts w:ascii="Arial" w:cs="Arial" w:eastAsia="Arial" w:hAnsi="Arial"/>
                <w:sz w:val="24"/>
                <w:szCs w:val="24"/>
              </w:rPr>
              <w:t xml:space="preserve">8000</w:t>
            </w:r>
          </w:p>
          <w:p>
            <w:pPr>
              <w:jc w:val="both"/>
            </w:pPr>
            <w:r>
              <w:rPr>
                <w:rFonts w:ascii="Arial" w:cs="Arial" w:eastAsia="Arial" w:hAnsi="Arial"/>
                <w:sz w:val="24"/>
                <w:szCs w:val="24"/>
              </w:rPr>
              <w:t xml:space="preserve">7000</w:t>
            </w:r>
          </w:p>
          <w:p>
            <w:pPr>
              <w:jc w:val="both"/>
            </w:pPr>
            <w:r>
              <w:rPr>
                <w:rFonts w:ascii="Arial" w:cs="Arial" w:eastAsia="Arial" w:hAnsi="Arial"/>
                <w:sz w:val="24"/>
                <w:szCs w:val="24"/>
              </w:rPr>
              <w:t xml:space="preserve">6000</w:t>
            </w:r>
          </w:p>
          <w:p>
            <w:pPr>
              <w:jc w:val="both"/>
            </w:pPr>
            <w:r>
              <w:rPr>
                <w:rFonts w:ascii="Arial" w:cs="Arial" w:eastAsia="Arial" w:hAnsi="Arial"/>
                <w:sz w:val="24"/>
                <w:szCs w:val="24"/>
              </w:rPr>
              <w:t xml:space="preserve">5000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Металл</w:t>
            </w:r>
          </w:p>
        </w:tc>
        <w:tc>
          <w:tcPr>
            <w:tcW w:type="dxa" w:w="225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 30 лет</w:t>
            </w:r>
          </w:p>
          <w:p>
            <w:pPr>
              <w:jc w:val="both"/>
            </w:pPr>
            <w:r>
              <w:rPr>
                <w:rFonts w:ascii="Arial" w:cs="Arial" w:eastAsia="Arial" w:hAnsi="Arial"/>
                <w:sz w:val="24"/>
                <w:szCs w:val="24"/>
              </w:rPr>
              <w:t xml:space="preserve">Более 30 лет</w:t>
            </w:r>
          </w:p>
        </w:tc>
        <w:tc>
          <w:tcPr>
            <w:tcW w:type="dxa" w:w="4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10000</w:t>
            </w:r>
          </w:p>
          <w:p>
            <w:pPr>
              <w:jc w:val="both"/>
            </w:pPr>
            <w:r>
              <w:rPr>
                <w:rFonts w:ascii="Arial" w:cs="Arial" w:eastAsia="Arial" w:hAnsi="Arial"/>
                <w:sz w:val="24"/>
                <w:szCs w:val="24"/>
              </w:rPr>
              <w:t xml:space="preserve">8000</w:t>
            </w:r>
          </w:p>
        </w:tc>
      </w:tr>
      <w:tr>
        <w:tc>
          <w:tcPr>
            <w:tcW w:type="dxa" w:w="372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материалы и материалы для временных помещений</w:t>
            </w:r>
          </w:p>
        </w:tc>
        <w:tc>
          <w:tcPr>
            <w:tcW w:type="dxa" w:w="6452"/>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Например, если материал стен здания - кирпич, срок эксплуатации - 18 лет, то оценочная стоимость объекта имущества составляет 13000 сомов за 1 кв. м.</w:t>
      </w:r>
    </w:p>
    <w:p>
      <w:pPr>
        <w:spacing w:after="120"/>
        <w:ind w:firstLine="397"/>
        <w:jc w:val="both"/>
      </w:pPr>
      <w:r>
        <w:rPr>
          <w:rFonts w:ascii="Arial" w:cs="Arial" w:eastAsia="Arial" w:hAnsi="Arial"/>
          <w:sz w:val="24"/>
          <w:szCs w:val="24"/>
        </w:rPr>
        <w:t xml:space="preserve">16. В ячейках 311, 328, 345, 362, 379, 396, 413, 430, 447 графы 12 указывается региональный коэффициент Кр, учитывающий изменение налогооблагаемой стоимости объекта в зависимости от его местонахождения на территории Кыргызской Республики, согласно частям 7 и 11 статьи 327 Налогового кодекса. В случае, если региональный коэффициент не установлен, то его значение принимается равным 1.</w:t>
      </w:r>
    </w:p>
    <w:p>
      <w:pPr>
        <w:spacing w:after="120"/>
        <w:ind w:firstLine="397"/>
        <w:jc w:val="both"/>
      </w:pPr>
      <w:r>
        <w:rPr>
          <w:rFonts w:ascii="Arial" w:cs="Arial" w:eastAsia="Arial" w:hAnsi="Arial"/>
          <w:sz w:val="24"/>
          <w:szCs w:val="24"/>
        </w:rPr>
        <w:t xml:space="preserve">17. В ячейках 312, 329, 346, 363, 380, 397, 414, 431, 448 графы 13 указывается зональный коэффициент Кз, учитывающий изменение налогооблагаемой стоимости объекта в зависимости от его местонахождения в населенном пункте, согласно части 8 статьи 327 Налогового кодекса. В случае, если зональный коэффициент не установлен, его значение принимается равным 1.</w:t>
      </w:r>
    </w:p>
    <w:p>
      <w:pPr>
        <w:spacing w:after="120"/>
        <w:ind w:firstLine="397"/>
        <w:jc w:val="both"/>
      </w:pPr>
      <w:r>
        <w:rPr>
          <w:rFonts w:ascii="Arial" w:cs="Arial" w:eastAsia="Arial" w:hAnsi="Arial"/>
          <w:sz w:val="24"/>
          <w:szCs w:val="24"/>
        </w:rPr>
        <w:t xml:space="preserve">18. В ячейках 313, 330, 347, 364, 381, 398, 415, 432, 449 графы 14 указывается отраслевой коэффициент Ко, применяемый для объектов имущества, согласно части 9 статьи 327 Налогового кодекса. В случае, если отраслевой коэффициент не установлен, его значение принимается равным 1.</w:t>
      </w:r>
    </w:p>
    <w:p>
      <w:pPr>
        <w:spacing w:after="120"/>
        <w:ind w:firstLine="397"/>
        <w:jc w:val="both"/>
      </w:pPr>
      <w:r>
        <w:rPr>
          <w:rFonts w:ascii="Arial" w:cs="Arial" w:eastAsia="Arial" w:hAnsi="Arial"/>
          <w:sz w:val="24"/>
          <w:szCs w:val="24"/>
        </w:rPr>
        <w:t xml:space="preserve">19. В ячейках 314, 331, 348, 365, 382, 399, 416, 433, 450 графы 15 указывается ставка налога в размере 0,35 процента от налогооблагаемой базы, установленная в пункте 1 статьи 328 Налогового кодекса.</w:t>
      </w:r>
    </w:p>
    <w:p>
      <w:pPr>
        <w:spacing w:after="120"/>
        <w:ind w:firstLine="397"/>
        <w:jc w:val="both"/>
      </w:pPr>
      <w:r>
        <w:rPr>
          <w:rFonts w:ascii="Arial" w:cs="Arial" w:eastAsia="Arial" w:hAnsi="Arial"/>
          <w:sz w:val="24"/>
          <w:szCs w:val="24"/>
        </w:rPr>
        <w:t xml:space="preserve">20. В ячейках 315, 332, 349, 366, 383, 400, 417, 434, 451 графы 16 указывается сумма налога (сом.) (графа 10 х графу 11 х графу 12 х графу 13 х графу 14 х графу15), где значение ячеек 309, 326, 343, 360, 377, 394, 411, 428, 445 графы 10 умножается на значение ячеек 310, 327, 344, 361, 378, 395, 412, 429, 446 графы 11, умножается на значение ячеек 311, 328, 345, 362, 379, 396, 413, 430, 447 графы 12, умножается на значение ячеек 312, 329, 346, 363, 380, 397, 414, 431, 448 графы 13, умножается на значение ячеек 313, 330, 347, 364, 381, 398, 415, 432, 449 графы 14, умножается на значение ячеек 314, 331, 348, 365, 382, 399, 416, 433, 450 графы 15.</w:t>
      </w:r>
    </w:p>
    <w:p>
      <w:pPr>
        <w:spacing w:after="120"/>
        <w:ind w:firstLine="397"/>
        <w:jc w:val="both"/>
      </w:pPr>
      <w:r>
        <w:rPr>
          <w:rFonts w:ascii="Arial" w:cs="Arial" w:eastAsia="Arial" w:hAnsi="Arial"/>
          <w:sz w:val="24"/>
          <w:szCs w:val="24"/>
        </w:rPr>
        <w:t xml:space="preserve">21. В ячейках 316, 333, 350, 367, 384, 401, 418, 435, 452 графы 17 указывается сумма земельного налога, уплаченного или подлежащего уплате за земельный участок, расположенный непосредственно под объектом имущества, но не выше суммы налога на имущество, рассчитанного в отношении данного объекта имущества. В случае отсутствия регистрации прав на земельный участок, в указанных ячейках проставляется значение «0».</w:t>
      </w:r>
    </w:p>
    <w:p>
      <w:pPr>
        <w:spacing w:after="120"/>
        <w:ind w:firstLine="397"/>
        <w:jc w:val="both"/>
      </w:pPr>
      <w:r>
        <w:rPr>
          <w:rFonts w:ascii="Arial" w:cs="Arial" w:eastAsia="Arial" w:hAnsi="Arial"/>
          <w:sz w:val="24"/>
          <w:szCs w:val="24"/>
        </w:rPr>
        <w:t xml:space="preserve">22. Ячейки с 500 по 511 «Примечания» заполняются в случае предоставления уточненного расчета, связанного с перерасчетом налога, где проставляются суммы налога по месяцам, с учетом изменений налогового обязательства. При этом, в ячейке «001» ставится знак «Х» напротив слова «уточненный». </w:t>
      </w:r>
    </w:p>
    <w:p>
      <w:pPr>
        <w:spacing w:after="120"/>
        <w:ind w:firstLine="397"/>
        <w:jc w:val="both"/>
      </w:pPr>
      <w:r>
        <w:rPr>
          <w:rFonts w:ascii="Arial" w:cs="Arial" w:eastAsia="Arial" w:hAnsi="Arial"/>
          <w:sz w:val="24"/>
          <w:szCs w:val="24"/>
        </w:rPr>
        <w:t xml:space="preserve">221. В ячейках 453 и 454 указываются итоговые суммы.</w:t>
      </w:r>
    </w:p>
    <w:p>
      <w:pPr>
        <w:spacing w:after="120"/>
        <w:ind w:firstLine="397"/>
        <w:jc w:val="both"/>
      </w:pPr>
      <w:r>
        <w:rPr>
          <w:rFonts w:ascii="Arial" w:cs="Arial" w:eastAsia="Arial" w:hAnsi="Arial"/>
          <w:sz w:val="24"/>
          <w:szCs w:val="24"/>
        </w:rPr>
        <w:t xml:space="preserve">222. В ячейке 455 указывается сумма льготы согласно частям 2 и 4 статьи 330 Налогового кодекса. Например, вследствие стихийного бедствия решением местного кенеша предоставляется освобождение от уплаты налога на имущество по объекту имущества. В случае отсутствия льготы проставляется значение «0».</w:t>
      </w:r>
    </w:p>
    <w:p>
      <w:pPr>
        <w:spacing w:after="120"/>
        <w:ind w:firstLine="397"/>
        <w:jc w:val="both"/>
      </w:pPr>
      <w:r>
        <w:rPr>
          <w:rFonts w:ascii="Arial" w:cs="Arial" w:eastAsia="Arial" w:hAnsi="Arial"/>
          <w:sz w:val="24"/>
          <w:szCs w:val="24"/>
        </w:rPr>
        <w:t xml:space="preserve">223. В ячейке 456 указывается разность значений ячеек 453, 454 и 455, которая является суммой налога, подлежащей к уплате.</w:t>
      </w:r>
    </w:p>
    <w:p>
      <w:pPr>
        <w:spacing w:after="120"/>
        <w:ind w:firstLine="397"/>
        <w:jc w:val="both"/>
      </w:pPr>
      <w:r>
        <w:rPr>
          <w:rFonts w:ascii="Arial" w:cs="Arial" w:eastAsia="Arial" w:hAnsi="Arial"/>
          <w:sz w:val="24"/>
          <w:szCs w:val="24"/>
        </w:rPr>
        <w:t xml:space="preserve">Пример 1. </w:t>
      </w:r>
    </w:p>
    <w:p>
      <w:pPr>
        <w:spacing w:after="120"/>
        <w:ind w:firstLine="397"/>
        <w:jc w:val="both"/>
      </w:pPr>
      <w:r>
        <w:rPr>
          <w:rFonts w:ascii="Arial" w:cs="Arial" w:eastAsia="Arial" w:hAnsi="Arial"/>
          <w:sz w:val="24"/>
          <w:szCs w:val="24"/>
        </w:rPr>
        <w:t xml:space="preserve">Сумма налога с трехкомнатной квартиры общей площадью 150 кв. м, расположенной в центре города Бишкек, построенной из кирпича и введенной в эксплуатацию в 1995 году, исчисляется следующим образом.</w:t>
      </w:r>
    </w:p>
    <w:p>
      <w:pPr>
        <w:spacing w:after="120"/>
        <w:ind w:firstLine="397"/>
        <w:jc w:val="both"/>
      </w:pPr>
      <w:r>
        <w:rPr>
          <w:rFonts w:ascii="Arial" w:cs="Arial" w:eastAsia="Arial" w:hAnsi="Arial"/>
          <w:sz w:val="24"/>
          <w:szCs w:val="24"/>
        </w:rPr>
        <w:t xml:space="preserve">Региональный, зональный и отраслевой коэффициенты установлены в размерах 1, 1,2 и 1.</w:t>
      </w:r>
    </w:p>
    <w:p>
      <w:pPr>
        <w:spacing w:after="120"/>
        <w:ind w:firstLine="397"/>
        <w:jc w:val="both"/>
      </w:pPr>
      <w:r>
        <w:rPr>
          <w:rFonts w:ascii="Arial" w:cs="Arial" w:eastAsia="Arial" w:hAnsi="Arial"/>
          <w:sz w:val="24"/>
          <w:szCs w:val="24"/>
        </w:rPr>
        <w:t xml:space="preserve">Налогооблагаемая стоимость: 13 000 х 70 х 1 х 1,2 х 1 = 1 092 000 сом.</w:t>
      </w:r>
    </w:p>
    <w:p>
      <w:pPr>
        <w:spacing w:after="120"/>
        <w:ind w:firstLine="397"/>
        <w:jc w:val="both"/>
      </w:pPr>
      <w:r>
        <w:rPr>
          <w:rFonts w:ascii="Arial" w:cs="Arial" w:eastAsia="Arial" w:hAnsi="Arial"/>
          <w:sz w:val="24"/>
          <w:szCs w:val="24"/>
        </w:rPr>
        <w:t xml:space="preserve">Сумма налога на имущество: 1 092 000 сом. х 0,35 % = 3 822 сом.</w:t>
      </w:r>
    </w:p>
    <w:p>
      <w:pPr>
        <w:spacing w:after="120"/>
        <w:ind w:firstLine="397"/>
        <w:jc w:val="both"/>
      </w:pPr>
      <w:r>
        <w:rPr>
          <w:rFonts w:ascii="Arial" w:cs="Arial" w:eastAsia="Arial" w:hAnsi="Arial"/>
          <w:sz w:val="24"/>
          <w:szCs w:val="24"/>
        </w:rPr>
        <w:t xml:space="preserve">Сумма земельного налога на земельный участок, расположенный непосредственно под объектом: 0 сом.</w:t>
      </w:r>
    </w:p>
    <w:p>
      <w:pPr>
        <w:spacing w:after="120"/>
        <w:ind w:firstLine="397"/>
        <w:jc w:val="both"/>
      </w:pPr>
      <w:r>
        <w:rPr>
          <w:rFonts w:ascii="Arial" w:cs="Arial" w:eastAsia="Arial" w:hAnsi="Arial"/>
          <w:sz w:val="24"/>
          <w:szCs w:val="24"/>
        </w:rPr>
        <w:t xml:space="preserve">Сумма налога на имущество к уплате: 3 822 сом.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1859"/>
        <w:gridCol w:w="1686"/>
        <w:gridCol w:w="1712"/>
        <w:gridCol w:w="1401"/>
        <w:gridCol w:w="615"/>
        <w:gridCol w:w="625"/>
        <w:gridCol w:w="615"/>
      </w:tblGrid>
      <w:tr>
        <w:tc>
          <w:tcPr>
            <w:tcW w:type="dxa" w:w="166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Информа-ционный расчет</w:t>
            </w:r>
          </w:p>
        </w:tc>
        <w:tc>
          <w:tcPr>
            <w:tcW w:type="dxa" w:w="18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не облагаемая налогом </w:t>
            </w:r>
          </w:p>
          <w:p>
            <w:pPr>
              <w:jc w:val="both"/>
            </w:pPr>
            <w:r>
              <w:rPr>
                <w:rFonts w:ascii="Arial" w:cs="Arial" w:eastAsia="Arial" w:hAnsi="Arial"/>
                <w:sz w:val="24"/>
                <w:szCs w:val="24"/>
              </w:rPr>
              <w:t xml:space="preserve">(кв. м)</w:t>
            </w:r>
          </w:p>
        </w:tc>
        <w:tc>
          <w:tcPr>
            <w:tcW w:type="dxa" w:w="16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месяцев владения</w:t>
            </w:r>
          </w:p>
        </w:tc>
        <w:tc>
          <w:tcPr>
            <w:tcW w:type="dxa" w:w="17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(сом.)</w:t>
            </w:r>
          </w:p>
        </w:tc>
        <w:tc>
          <w:tcPr>
            <w:tcW w:type="dxa" w:w="14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площадь (кв. м)</w:t>
            </w:r>
          </w:p>
        </w:tc>
        <w:tc>
          <w:tcPr>
            <w:tcW w:type="dxa" w:w="6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w:t>
            </w:r>
          </w:p>
        </w:tc>
        <w:tc>
          <w:tcPr>
            <w:tcW w:type="dxa" w:w="6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Кз</w:t>
            </w:r>
          </w:p>
        </w:tc>
        <w:tc>
          <w:tcPr>
            <w:tcW w:type="dxa" w:w="6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w:t>
            </w:r>
          </w:p>
        </w:tc>
      </w:tr>
      <w:tr>
        <w:tc>
          <w:tcPr>
            <w:tcW w:type="dxa" w:w="16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Первона-чальный</w:t>
            </w:r>
          </w:p>
        </w:tc>
        <w:tc>
          <w:tcPr>
            <w:tcW w:type="dxa" w:w="185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w:t>
            </w:r>
          </w:p>
        </w:tc>
        <w:tc>
          <w:tcPr>
            <w:tcW w:type="dxa" w:w="168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71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13000</w:t>
            </w:r>
          </w:p>
        </w:tc>
        <w:tc>
          <w:tcPr>
            <w:tcW w:type="dxa" w:w="140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6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62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1"/>
        <w:gridCol w:w="2514"/>
        <w:gridCol w:w="2358"/>
        <w:gridCol w:w="2514"/>
      </w:tblGrid>
      <w:tr>
        <w:tc>
          <w:tcPr>
            <w:tcW w:type="dxa" w:w="27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w:t>
            </w:r>
          </w:p>
          <w:p>
            <w:pPr>
              <w:jc w:val="both"/>
            </w:pPr>
            <w:r>
              <w:rPr>
                <w:rFonts w:ascii="Arial" w:cs="Arial" w:eastAsia="Arial" w:hAnsi="Arial"/>
                <w:sz w:val="24"/>
                <w:szCs w:val="24"/>
              </w:rPr>
              <w:t xml:space="preserve">налога</w:t>
            </w:r>
          </w:p>
        </w:tc>
        <w:tc>
          <w:tcPr>
            <w:tcW w:type="dxa" w:w="2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w:t>
            </w:r>
          </w:p>
          <w:p>
            <w:pPr>
              <w:jc w:val="both"/>
            </w:pPr>
            <w:r>
              <w:rPr>
                <w:rFonts w:ascii="Arial" w:cs="Arial" w:eastAsia="Arial" w:hAnsi="Arial"/>
                <w:sz w:val="24"/>
                <w:szCs w:val="24"/>
              </w:rPr>
              <w:t xml:space="preserve">налога</w:t>
            </w:r>
          </w:p>
        </w:tc>
        <w:tc>
          <w:tcPr>
            <w:tcW w:type="dxa" w:w="23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земельного налога участка под объектом</w:t>
            </w:r>
          </w:p>
        </w:tc>
        <w:tc>
          <w:tcPr>
            <w:tcW w:type="dxa" w:w="2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 подлежащая к уплате</w:t>
            </w:r>
          </w:p>
        </w:tc>
      </w:tr>
      <w:tr>
        <w:tc>
          <w:tcPr>
            <w:tcW w:type="dxa" w:w="279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0,35</w:t>
            </w:r>
          </w:p>
        </w:tc>
        <w:tc>
          <w:tcPr>
            <w:tcW w:type="dxa" w:w="25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3822</w:t>
            </w:r>
          </w:p>
        </w:tc>
        <w:tc>
          <w:tcPr>
            <w:tcW w:type="dxa" w:w="235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w:t>
            </w:r>
          </w:p>
        </w:tc>
        <w:tc>
          <w:tcPr>
            <w:tcW w:type="dxa" w:w="25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3822</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информационном расчете, представляемом налогоплательщиком:</w:t>
      </w:r>
    </w:p>
    <w:p>
      <w:pPr>
        <w:spacing w:after="120"/>
        <w:ind w:firstLine="397"/>
        <w:jc w:val="both"/>
      </w:pPr>
      <w:r>
        <w:rPr>
          <w:rFonts w:ascii="Arial" w:cs="Arial" w:eastAsia="Arial" w:hAnsi="Arial"/>
          <w:sz w:val="24"/>
          <w:szCs w:val="24"/>
        </w:rPr>
        <w:t xml:space="preserve">- в ячейке 001 ставится знак «Х» напротив слова «первоначальный»;</w:t>
      </w:r>
    </w:p>
    <w:p>
      <w:pPr>
        <w:spacing w:after="120"/>
        <w:ind w:firstLine="397"/>
        <w:jc w:val="both"/>
      </w:pPr>
      <w:r>
        <w:rPr>
          <w:rFonts w:ascii="Arial" w:cs="Arial" w:eastAsia="Arial" w:hAnsi="Arial"/>
          <w:sz w:val="24"/>
          <w:szCs w:val="24"/>
        </w:rPr>
        <w:t xml:space="preserve">- в графе «Общая площадь» указывается значение «150», площадь квартиры, всего;</w:t>
      </w:r>
    </w:p>
    <w:p>
      <w:pPr>
        <w:spacing w:after="120"/>
        <w:ind w:firstLine="397"/>
        <w:jc w:val="both"/>
      </w:pPr>
      <w:r>
        <w:rPr>
          <w:rFonts w:ascii="Arial" w:cs="Arial" w:eastAsia="Arial" w:hAnsi="Arial"/>
          <w:sz w:val="24"/>
          <w:szCs w:val="24"/>
        </w:rPr>
        <w:t xml:space="preserve">- в графе «Необлагаемая площадь согласно статье 330 Налогового кодекса (НК КР)» указывается значение «80», так как квартира находится в населенном пункте с численностью населения 500 тыс. человек и выше;</w:t>
      </w:r>
    </w:p>
    <w:p>
      <w:pPr>
        <w:spacing w:after="120"/>
        <w:ind w:firstLine="397"/>
        <w:jc w:val="both"/>
      </w:pPr>
      <w:r>
        <w:rPr>
          <w:rFonts w:ascii="Arial" w:cs="Arial" w:eastAsia="Arial" w:hAnsi="Arial"/>
          <w:sz w:val="24"/>
          <w:szCs w:val="24"/>
        </w:rPr>
        <w:t xml:space="preserve">- в графе «Облагаемая площадь» указывается значение «70», т.е. разница (150 - 80);</w:t>
      </w:r>
    </w:p>
    <w:p>
      <w:pPr>
        <w:spacing w:after="120"/>
        <w:ind w:firstLine="397"/>
        <w:jc w:val="both"/>
      </w:pPr>
      <w:r>
        <w:rPr>
          <w:rFonts w:ascii="Arial" w:cs="Arial" w:eastAsia="Arial" w:hAnsi="Arial"/>
          <w:sz w:val="24"/>
          <w:szCs w:val="24"/>
        </w:rPr>
        <w:t xml:space="preserve">- в графе «Оценочная стоимость (кв. м)» указывается значение «13 000» применительно к объекту имущества со сроком эксплуатации от 15 до 30 лет (год ввода в эксплуатацию – 1995 год);</w:t>
      </w:r>
    </w:p>
    <w:p>
      <w:pPr>
        <w:spacing w:after="120"/>
        <w:ind w:firstLine="397"/>
        <w:jc w:val="both"/>
      </w:pPr>
      <w:r>
        <w:rPr>
          <w:rFonts w:ascii="Arial" w:cs="Arial" w:eastAsia="Arial" w:hAnsi="Arial"/>
          <w:sz w:val="24"/>
          <w:szCs w:val="24"/>
        </w:rPr>
        <w:t xml:space="preserve">- в графах «Кр», «Кз» и «Ко» указываются значения коэффициентов (региональный, зональный и отраслевой);</w:t>
      </w:r>
    </w:p>
    <w:p>
      <w:pPr>
        <w:spacing w:after="120"/>
        <w:ind w:firstLine="397"/>
        <w:jc w:val="both"/>
      </w:pPr>
      <w:r>
        <w:rPr>
          <w:rFonts w:ascii="Arial" w:cs="Arial" w:eastAsia="Arial" w:hAnsi="Arial"/>
          <w:sz w:val="24"/>
          <w:szCs w:val="24"/>
        </w:rPr>
        <w:t xml:space="preserve">- в графе «Ставка налога» указывается значение «0,35»;</w:t>
      </w:r>
    </w:p>
    <w:p>
      <w:pPr>
        <w:spacing w:after="120"/>
        <w:ind w:firstLine="397"/>
        <w:jc w:val="both"/>
      </w:pPr>
      <w:r>
        <w:rPr>
          <w:rFonts w:ascii="Arial" w:cs="Arial" w:eastAsia="Arial" w:hAnsi="Arial"/>
          <w:sz w:val="24"/>
          <w:szCs w:val="24"/>
        </w:rPr>
        <w:t xml:space="preserve">- в графе «Сумма налога» указывается результат умножения «налогооблагаемой стоимости» на «ставку налога», т.е. на 0,35 %;</w:t>
      </w:r>
    </w:p>
    <w:p>
      <w:pPr>
        <w:spacing w:after="120"/>
        <w:ind w:firstLine="397"/>
        <w:jc w:val="both"/>
      </w:pPr>
      <w:r>
        <w:rPr>
          <w:rFonts w:ascii="Arial" w:cs="Arial" w:eastAsia="Arial" w:hAnsi="Arial"/>
          <w:sz w:val="24"/>
          <w:szCs w:val="24"/>
        </w:rPr>
        <w:t xml:space="preserve">- в графе «Сумма земельного налога участка, расположенного под объектом имущества» указывается значение «0», поскольку отсутствует регистрация прав на земельный участок.</w:t>
      </w:r>
    </w:p>
    <w:p>
      <w:pPr>
        <w:spacing w:after="120"/>
        <w:ind w:firstLine="397"/>
        <w:jc w:val="both"/>
      </w:pPr>
      <w:r>
        <w:rPr>
          <w:rFonts w:ascii="Arial" w:cs="Arial" w:eastAsia="Arial" w:hAnsi="Arial"/>
          <w:sz w:val="24"/>
          <w:szCs w:val="24"/>
        </w:rPr>
        <w:t xml:space="preserve">224. В случае владения объектом имущества сроком менее календарного года, сумма налога, подлежащая уплате за фактический период владения объектом имущества, рассчитывается согласно части 3 статьи 332 Налогового кодекса, т.е. годовая сумма налога делится на 12 месяцев, после чего полученное значение умножается на фактическое количество месяцев владения.</w:t>
      </w:r>
    </w:p>
    <w:p>
      <w:pPr>
        <w:spacing w:after="120"/>
        <w:ind w:firstLine="397"/>
        <w:jc w:val="both"/>
      </w:pPr>
      <w:r>
        <w:rPr>
          <w:rFonts w:ascii="Arial" w:cs="Arial" w:eastAsia="Arial" w:hAnsi="Arial"/>
          <w:sz w:val="24"/>
          <w:szCs w:val="24"/>
        </w:rPr>
        <w:t xml:space="preserve">Пример 2.</w:t>
      </w:r>
    </w:p>
    <w:p>
      <w:pPr>
        <w:spacing w:after="120"/>
        <w:ind w:firstLine="397"/>
        <w:jc w:val="both"/>
      </w:pPr>
      <w:r>
        <w:rPr>
          <w:rFonts w:ascii="Arial" w:cs="Arial" w:eastAsia="Arial" w:hAnsi="Arial"/>
          <w:sz w:val="24"/>
          <w:szCs w:val="24"/>
        </w:rPr>
        <w:t xml:space="preserve">Сумма налога с трехкомнатной квартиры общей площадью 150 кв. м, находящейся в центре города Бишкек, построенной из кирпича, введенной в эксплуатацию в 1995 году и находящейся в собственности до 10 июня 2014 года, определяется следующим образом.</w:t>
      </w:r>
    </w:p>
    <w:p>
      <w:pPr>
        <w:spacing w:after="120"/>
        <w:ind w:firstLine="397"/>
        <w:jc w:val="both"/>
      </w:pPr>
      <w:r>
        <w:rPr>
          <w:rFonts w:ascii="Arial" w:cs="Arial" w:eastAsia="Arial" w:hAnsi="Arial"/>
          <w:sz w:val="24"/>
          <w:szCs w:val="24"/>
        </w:rPr>
        <w:t xml:space="preserve">Налог на имущество за период отчуждения имущества = Годовая сумма налога на имущество / 12 месяцев х 5 месяцев, где сумма налога составит 1 592,5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 (продавец):</w:t>
      </w:r>
    </w:p>
    <w:p>
      <w:pPr>
        <w:spacing w:after="120"/>
        <w:ind w:firstLine="397"/>
        <w:jc w:val="both"/>
      </w:pPr>
      <w:r>
        <w:rPr>
          <w:rFonts w:ascii="Arial" w:cs="Arial" w:eastAsia="Arial" w:hAnsi="Arial"/>
          <w:sz w:val="24"/>
          <w:szCs w:val="24"/>
        </w:rPr>
        <w:t xml:space="preserve">- в ячейке 001 ставится знак «Х» напротив слова «дополнительный»;</w:t>
      </w:r>
    </w:p>
    <w:p>
      <w:pPr>
        <w:spacing w:after="120"/>
        <w:ind w:firstLine="397"/>
        <w:jc w:val="both"/>
      </w:pPr>
      <w:r>
        <w:rPr>
          <w:rFonts w:ascii="Arial" w:cs="Arial" w:eastAsia="Arial" w:hAnsi="Arial"/>
          <w:sz w:val="24"/>
          <w:szCs w:val="24"/>
        </w:rPr>
        <w:t xml:space="preserve">- в ячейке 900 указывается дата продажи имущества - 10.06.2014;</w:t>
      </w:r>
    </w:p>
    <w:p>
      <w:pPr>
        <w:spacing w:after="120"/>
        <w:ind w:firstLine="39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«5»;</w:t>
      </w:r>
    </w:p>
    <w:p>
      <w:pPr>
        <w:spacing w:after="120"/>
        <w:ind w:firstLine="397"/>
        <w:jc w:val="both"/>
      </w:pPr>
      <w:r>
        <w:rPr>
          <w:rFonts w:ascii="Arial" w:cs="Arial" w:eastAsia="Arial" w:hAnsi="Arial"/>
          <w:sz w:val="24"/>
          <w:szCs w:val="24"/>
        </w:rPr>
        <w:t xml:space="preserve">- в графе «Общая площадь» указывается размер проданной площади, т.е. значение «150»;</w:t>
      </w:r>
    </w:p>
    <w:p>
      <w:pPr>
        <w:spacing w:after="120"/>
        <w:ind w:firstLine="397"/>
        <w:jc w:val="both"/>
      </w:pPr>
      <w:r>
        <w:rPr>
          <w:rFonts w:ascii="Arial" w:cs="Arial" w:eastAsia="Arial" w:hAnsi="Arial"/>
          <w:sz w:val="24"/>
          <w:szCs w:val="24"/>
        </w:rPr>
        <w:t xml:space="preserve">- в графе «Сумма налога к уплате» указывается налоговое обязательство, т.е. значение «1 592,5 сом.».</w:t>
      </w:r>
    </w:p>
    <w:p>
      <w:pPr>
        <w:spacing w:after="120"/>
        <w:ind w:firstLine="397"/>
        <w:jc w:val="both"/>
      </w:pPr>
      <w:r>
        <w:rPr>
          <w:rFonts w:ascii="Arial" w:cs="Arial" w:eastAsia="Arial" w:hAnsi="Arial"/>
          <w:sz w:val="24"/>
          <w:szCs w:val="24"/>
        </w:rPr>
        <w:t xml:space="preserve">При этом, последующий налогоплательщик (покупатель) исчисляет сумму налога на имущество следующим образом.</w:t>
      </w:r>
    </w:p>
    <w:p>
      <w:pPr>
        <w:spacing w:after="120"/>
        <w:ind w:firstLine="397"/>
        <w:jc w:val="both"/>
      </w:pPr>
      <w:r>
        <w:rPr>
          <w:rFonts w:ascii="Arial" w:cs="Arial" w:eastAsia="Arial" w:hAnsi="Arial"/>
          <w:sz w:val="24"/>
          <w:szCs w:val="24"/>
        </w:rPr>
        <w:t xml:space="preserve">Налог на имущество за период фактического владения имущества = годовая сумма налога на имущество / 12 месяцев х 7 месяцев (3 822 сом./12 х 7 = 2 229,50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 дополнительно:</w:t>
      </w:r>
    </w:p>
    <w:p>
      <w:pPr>
        <w:spacing w:after="120"/>
        <w:ind w:firstLine="397"/>
        <w:jc w:val="both"/>
      </w:pPr>
      <w:r>
        <w:rPr>
          <w:rFonts w:ascii="Arial" w:cs="Arial" w:eastAsia="Arial" w:hAnsi="Arial"/>
          <w:sz w:val="24"/>
          <w:szCs w:val="24"/>
        </w:rPr>
        <w:t xml:space="preserve">- в ячейке 001 ставится знак «Х» напротив слова «дополнительный» в случае, если последующий налогоплательщик ранее представлял первоначальный информационный расчет по другому объекту имущества;</w:t>
      </w:r>
    </w:p>
    <w:p>
      <w:pPr>
        <w:spacing w:after="120"/>
        <w:ind w:firstLine="397"/>
        <w:jc w:val="both"/>
      </w:pPr>
      <w:r>
        <w:rPr>
          <w:rFonts w:ascii="Arial" w:cs="Arial" w:eastAsia="Arial" w:hAnsi="Arial"/>
          <w:sz w:val="24"/>
          <w:szCs w:val="24"/>
        </w:rPr>
        <w:t xml:space="preserve">- в ячейке 900 указывается дата приобретения имущества – 10.06.2014;</w:t>
      </w:r>
    </w:p>
    <w:p>
      <w:pPr>
        <w:spacing w:after="120"/>
        <w:ind w:firstLine="397"/>
        <w:jc w:val="both"/>
      </w:pPr>
      <w:r>
        <w:rPr>
          <w:rFonts w:ascii="Arial" w:cs="Arial" w:eastAsia="Arial" w:hAnsi="Arial"/>
          <w:sz w:val="24"/>
          <w:szCs w:val="24"/>
        </w:rPr>
        <w:t xml:space="preserve">- в графе «Количество месяцев владения» указывается количество месяцев фактического владения объектом имущества, т.е. значение «7»;</w:t>
      </w:r>
    </w:p>
    <w:p>
      <w:pPr>
        <w:spacing w:after="120"/>
        <w:ind w:firstLine="397"/>
        <w:jc w:val="both"/>
      </w:pPr>
      <w:r>
        <w:rPr>
          <w:rFonts w:ascii="Arial" w:cs="Arial" w:eastAsia="Arial" w:hAnsi="Arial"/>
          <w:sz w:val="24"/>
          <w:szCs w:val="24"/>
        </w:rPr>
        <w:t xml:space="preserve">- в графе «Общая площадь» указывается размер приобретенной площади, т.е. значение «150»;</w:t>
      </w:r>
    </w:p>
    <w:p>
      <w:pPr>
        <w:spacing w:after="120"/>
        <w:ind w:firstLine="397"/>
        <w:jc w:val="both"/>
      </w:pPr>
      <w:r>
        <w:rPr>
          <w:rFonts w:ascii="Arial" w:cs="Arial" w:eastAsia="Arial" w:hAnsi="Arial"/>
          <w:sz w:val="24"/>
          <w:szCs w:val="24"/>
        </w:rPr>
        <w:t xml:space="preserve">- в графе «Сумма налога к уплате» указывается положительное значение налогового обязательства, т.е. значение «2 229,50 сом.».</w:t>
      </w:r>
    </w:p>
    <w:p>
      <w:pPr>
        <w:spacing w:after="120"/>
        <w:ind w:firstLine="397"/>
        <w:jc w:val="both"/>
      </w:pPr>
      <w:r>
        <w:rPr>
          <w:rFonts w:ascii="Arial" w:cs="Arial" w:eastAsia="Arial" w:hAnsi="Arial"/>
          <w:sz w:val="24"/>
          <w:szCs w:val="24"/>
        </w:rPr>
        <w:t xml:space="preserve">225. В случае предоставления информационного расчета, связанного с перерасчетом налога, заполняется «Примечание», где проставляется сумма налога по месяцам, с учетом изменений налогового обязательства.</w:t>
      </w:r>
    </w:p>
    <w:p>
      <w:pPr>
        <w:spacing w:after="120"/>
        <w:ind w:firstLine="397"/>
        <w:jc w:val="both"/>
      </w:pPr>
      <w:r>
        <w:rPr>
          <w:rFonts w:ascii="Arial" w:cs="Arial" w:eastAsia="Arial" w:hAnsi="Arial"/>
          <w:sz w:val="24"/>
          <w:szCs w:val="24"/>
        </w:rPr>
        <w:t xml:space="preserve">Пример 3.</w:t>
      </w:r>
    </w:p>
    <w:p>
      <w:pPr>
        <w:spacing w:after="120"/>
        <w:ind w:firstLine="397"/>
        <w:jc w:val="both"/>
      </w:pPr>
      <w:r>
        <w:rPr>
          <w:rFonts w:ascii="Arial" w:cs="Arial" w:eastAsia="Arial" w:hAnsi="Arial"/>
          <w:sz w:val="24"/>
          <w:szCs w:val="24"/>
        </w:rPr>
        <w:t xml:space="preserve">Перерасчет суммы налога с трехкомнатной квартиры общей площадью 150 кв. м, находящейся на окраине города Бишкек, построенной из кирпича и введенной в эксплуатацию в 1995 году, производится следующим образом.</w:t>
      </w:r>
    </w:p>
    <w:p>
      <w:pPr>
        <w:spacing w:after="120"/>
        <w:ind w:firstLine="397"/>
        <w:jc w:val="both"/>
      </w:pPr>
      <w:r>
        <w:rPr>
          <w:rFonts w:ascii="Arial" w:cs="Arial" w:eastAsia="Arial" w:hAnsi="Arial"/>
          <w:sz w:val="24"/>
          <w:szCs w:val="24"/>
        </w:rPr>
        <w:t xml:space="preserve">Значение зонального коэффициента в размере 0,8 утверждено решением мэрии города Бишкек в мае 2014 года, вступившим в силу с 1 июня 2014 года.</w:t>
      </w:r>
    </w:p>
    <w:p>
      <w:pPr>
        <w:spacing w:after="120"/>
        <w:ind w:firstLine="39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13 000 х 70 х 1 х 1 х 1 = 910 000 сом.</w:t>
      </w:r>
    </w:p>
    <w:p>
      <w:pPr>
        <w:spacing w:after="120"/>
        <w:ind w:firstLine="39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910 000 сом. х 0,35 % = 3 185 сом.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728"/>
        <w:gridCol w:w="1685"/>
        <w:gridCol w:w="1620"/>
        <w:gridCol w:w="1400"/>
        <w:gridCol w:w="739"/>
        <w:gridCol w:w="735"/>
        <w:gridCol w:w="739"/>
      </w:tblGrid>
      <w:tr>
        <w:tc>
          <w:tcPr>
            <w:tcW w:type="dxa" w:w="1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Информа-ционный расчет</w:t>
            </w:r>
          </w:p>
        </w:tc>
        <w:tc>
          <w:tcPr>
            <w:tcW w:type="dxa" w:w="17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Площадь, не облагаемая налогом </w:t>
            </w:r>
          </w:p>
          <w:p>
            <w:pPr>
              <w:jc w:val="both"/>
            </w:pPr>
            <w:r>
              <w:rPr>
                <w:rFonts w:ascii="Arial" w:cs="Arial" w:eastAsia="Arial" w:hAnsi="Arial"/>
                <w:sz w:val="24"/>
                <w:szCs w:val="24"/>
              </w:rPr>
              <w:t xml:space="preserve">(кв. м)</w:t>
            </w:r>
          </w:p>
        </w:tc>
        <w:tc>
          <w:tcPr>
            <w:tcW w:type="dxa" w:w="1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месяцев владения</w:t>
            </w:r>
          </w:p>
        </w:tc>
        <w:tc>
          <w:tcPr>
            <w:tcW w:type="dxa" w:w="16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Оценочная стоимость (сом.)</w:t>
            </w:r>
          </w:p>
        </w:tc>
        <w:tc>
          <w:tcPr>
            <w:tcW w:type="dxa" w:w="14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Общая площадь (кв. м)</w:t>
            </w:r>
          </w:p>
        </w:tc>
        <w:tc>
          <w:tcPr>
            <w:tcW w:type="dxa" w:w="7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w:t>
            </w:r>
          </w:p>
        </w:tc>
        <w:tc>
          <w:tcPr>
            <w:tcW w:type="dxa" w:w="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Кз</w:t>
            </w:r>
          </w:p>
        </w:tc>
        <w:tc>
          <w:tcPr>
            <w:tcW w:type="dxa" w:w="73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w:t>
            </w:r>
          </w:p>
        </w:tc>
      </w:tr>
      <w:tr>
        <w:tc>
          <w:tcPr>
            <w:tcW w:type="dxa" w:w="15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Первона-чальный</w:t>
            </w:r>
          </w:p>
        </w:tc>
        <w:tc>
          <w:tcPr>
            <w:tcW w:type="dxa" w:w="172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80</w:t>
            </w:r>
          </w:p>
        </w:tc>
        <w:tc>
          <w:tcPr>
            <w:tcW w:type="dxa" w:w="16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12</w:t>
            </w:r>
          </w:p>
        </w:tc>
        <w:tc>
          <w:tcPr>
            <w:tcW w:type="dxa" w:w="162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13000</w:t>
            </w:r>
          </w:p>
        </w:tc>
        <w:tc>
          <w:tcPr>
            <w:tcW w:type="dxa" w:w="1400"/>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150</w:t>
            </w:r>
          </w:p>
        </w:tc>
        <w:tc>
          <w:tcPr>
            <w:tcW w:type="dxa" w:w="73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c>
          <w:tcPr>
            <w:tcW w:type="dxa" w:w="73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1</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77"/>
        <w:gridCol w:w="2357"/>
        <w:gridCol w:w="2673"/>
        <w:gridCol w:w="2671"/>
      </w:tblGrid>
      <w:tr>
        <w:tc>
          <w:tcPr>
            <w:tcW w:type="dxa" w:w="247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Ставка налога</w:t>
            </w:r>
          </w:p>
        </w:tc>
        <w:tc>
          <w:tcPr>
            <w:tcW w:type="dxa" w:w="2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w:t>
            </w:r>
          </w:p>
        </w:tc>
        <w:tc>
          <w:tcPr>
            <w:tcW w:type="dxa" w:w="26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земельного налога участка под объектом</w:t>
            </w:r>
          </w:p>
        </w:tc>
        <w:tc>
          <w:tcPr>
            <w:tcW w:type="dxa" w:w="26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Сумма налога </w:t>
            </w:r>
          </w:p>
          <w:p>
            <w:pPr>
              <w:jc w:val="both"/>
            </w:pPr>
            <w:r>
              <w:rPr>
                <w:rFonts w:ascii="Arial" w:cs="Arial" w:eastAsia="Arial" w:hAnsi="Arial"/>
                <w:sz w:val="24"/>
                <w:szCs w:val="24"/>
              </w:rPr>
              <w:t xml:space="preserve">к уплате</w:t>
            </w:r>
          </w:p>
        </w:tc>
      </w:tr>
      <w:tr>
        <w:tc>
          <w:tcPr>
            <w:tcW w:type="dxa" w:w="247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0,35</w:t>
            </w:r>
          </w:p>
        </w:tc>
        <w:tc>
          <w:tcPr>
            <w:tcW w:type="dxa" w:w="235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3185</w:t>
            </w:r>
          </w:p>
        </w:tc>
        <w:tc>
          <w:tcPr>
            <w:tcW w:type="dxa" w:w="267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0</w:t>
            </w:r>
          </w:p>
        </w:tc>
        <w:tc>
          <w:tcPr>
            <w:tcW w:type="dxa" w:w="267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3185</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Налогооблагаемая стоимость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13 000 х 70 х 1 х 0,8 х 1 = 728 000 сом.</w:t>
      </w:r>
    </w:p>
    <w:p>
      <w:pPr>
        <w:spacing w:after="120"/>
        <w:ind w:firstLine="397"/>
        <w:jc w:val="both"/>
      </w:pPr>
      <w:r>
        <w:rPr>
          <w:rFonts w:ascii="Arial" w:cs="Arial" w:eastAsia="Arial" w:hAnsi="Arial"/>
          <w:sz w:val="24"/>
          <w:szCs w:val="24"/>
        </w:rPr>
        <w:t xml:space="preserve">Годовая сумма налога на имущество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728 000 сом. х 0,35 % = 2 548 сом.</w:t>
      </w:r>
    </w:p>
    <w:p>
      <w:pPr>
        <w:spacing w:after="120"/>
        <w:ind w:firstLine="397"/>
        <w:jc w:val="both"/>
      </w:pPr>
      <w:r>
        <w:rPr>
          <w:rFonts w:ascii="Arial" w:cs="Arial" w:eastAsia="Arial" w:hAnsi="Arial"/>
          <w:sz w:val="24"/>
          <w:szCs w:val="24"/>
        </w:rPr>
        <w:t xml:space="preserve">Сумма налога в месяц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3 185 / 12 месяцев = 265,4 сом.</w:t>
      </w:r>
    </w:p>
    <w:p>
      <w:pPr>
        <w:spacing w:after="120"/>
        <w:ind w:firstLine="397"/>
        <w:jc w:val="both"/>
      </w:pPr>
      <w:r>
        <w:rPr>
          <w:rFonts w:ascii="Arial" w:cs="Arial" w:eastAsia="Arial" w:hAnsi="Arial"/>
          <w:sz w:val="24"/>
          <w:szCs w:val="24"/>
        </w:rPr>
        <w:t xml:space="preserve">Сумма налога в месяц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2 548 / 12 месяцев = 212,3 сом.</w:t>
      </w:r>
    </w:p>
    <w:p>
      <w:pPr>
        <w:spacing w:after="120"/>
        <w:ind w:firstLine="397"/>
        <w:jc w:val="both"/>
      </w:pPr>
      <w:r>
        <w:rPr>
          <w:rFonts w:ascii="Arial" w:cs="Arial" w:eastAsia="Arial" w:hAnsi="Arial"/>
          <w:sz w:val="24"/>
          <w:szCs w:val="24"/>
        </w:rPr>
        <w:t xml:space="preserve">Сумма налога за период с января по май, с применением значения зонального коэффициента в размере 1:</w:t>
      </w:r>
    </w:p>
    <w:p>
      <w:pPr>
        <w:spacing w:after="120"/>
        <w:ind w:firstLine="397"/>
        <w:jc w:val="both"/>
      </w:pPr>
      <w:r>
        <w:rPr>
          <w:rFonts w:ascii="Arial" w:cs="Arial" w:eastAsia="Arial" w:hAnsi="Arial"/>
          <w:sz w:val="24"/>
          <w:szCs w:val="24"/>
        </w:rPr>
        <w:t xml:space="preserve">265,4 х 5 месяцев = 1 327 сом.</w:t>
      </w:r>
    </w:p>
    <w:p>
      <w:pPr>
        <w:spacing w:after="120"/>
        <w:ind w:firstLine="397"/>
        <w:jc w:val="both"/>
      </w:pPr>
      <w:r>
        <w:rPr>
          <w:rFonts w:ascii="Arial" w:cs="Arial" w:eastAsia="Arial" w:hAnsi="Arial"/>
          <w:sz w:val="24"/>
          <w:szCs w:val="24"/>
        </w:rPr>
        <w:t xml:space="preserve">Сумма налога за период с июня по декабрь, с применением значения зонального коэффициента в размере 0,8:</w:t>
      </w:r>
    </w:p>
    <w:p>
      <w:pPr>
        <w:spacing w:after="120"/>
        <w:ind w:firstLine="397"/>
        <w:jc w:val="both"/>
      </w:pPr>
      <w:r>
        <w:rPr>
          <w:rFonts w:ascii="Arial" w:cs="Arial" w:eastAsia="Arial" w:hAnsi="Arial"/>
          <w:sz w:val="24"/>
          <w:szCs w:val="24"/>
        </w:rPr>
        <w:t xml:space="preserve">212,3 х 7 месяцев = 1 486,1 сом.</w:t>
      </w:r>
    </w:p>
    <w:p>
      <w:pPr>
        <w:spacing w:after="120"/>
        <w:ind w:firstLine="397"/>
        <w:jc w:val="both"/>
      </w:pPr>
      <w:r>
        <w:rPr>
          <w:rFonts w:ascii="Arial" w:cs="Arial" w:eastAsia="Arial" w:hAnsi="Arial"/>
          <w:sz w:val="24"/>
          <w:szCs w:val="24"/>
        </w:rPr>
        <w:t xml:space="preserve">Уточненная годовая сумма налога на имущество, с учетом изменений зонального коэффициента:</w:t>
      </w:r>
    </w:p>
    <w:p>
      <w:pPr>
        <w:spacing w:after="120"/>
        <w:ind w:firstLine="397"/>
        <w:jc w:val="both"/>
      </w:pPr>
      <w:r>
        <w:rPr>
          <w:rFonts w:ascii="Arial" w:cs="Arial" w:eastAsia="Arial" w:hAnsi="Arial"/>
          <w:sz w:val="24"/>
          <w:szCs w:val="24"/>
        </w:rPr>
        <w:t xml:space="preserve">1 327 + 1 486,1 = 2 813,1 сом.</w:t>
      </w:r>
    </w:p>
    <w:p>
      <w:pPr>
        <w:spacing w:after="120"/>
        <w:ind w:firstLine="397"/>
        <w:jc w:val="both"/>
      </w:pPr>
      <w:r>
        <w:rPr>
          <w:rFonts w:ascii="Arial" w:cs="Arial" w:eastAsia="Arial" w:hAnsi="Arial"/>
          <w:sz w:val="24"/>
          <w:szCs w:val="24"/>
        </w:rPr>
        <w:t xml:space="preserve">При этом, в информационном расчете, представляемом налогоплательщиком:</w:t>
      </w:r>
    </w:p>
    <w:p>
      <w:pPr>
        <w:spacing w:after="120"/>
        <w:ind w:firstLine="397"/>
        <w:jc w:val="both"/>
      </w:pPr>
      <w:r>
        <w:rPr>
          <w:rFonts w:ascii="Arial" w:cs="Arial" w:eastAsia="Arial" w:hAnsi="Arial"/>
          <w:sz w:val="24"/>
          <w:szCs w:val="24"/>
        </w:rPr>
        <w:t xml:space="preserve">- в ячейке 001 ставится знак «Х» напротив слова «уточненный»;</w:t>
      </w:r>
    </w:p>
    <w:p>
      <w:pPr>
        <w:spacing w:after="120"/>
        <w:ind w:firstLine="397"/>
        <w:jc w:val="both"/>
      </w:pPr>
      <w:r>
        <w:rPr>
          <w:rFonts w:ascii="Arial" w:cs="Arial" w:eastAsia="Arial" w:hAnsi="Arial"/>
          <w:sz w:val="24"/>
          <w:szCs w:val="24"/>
        </w:rPr>
        <w:t xml:space="preserve">- в графе «Коэффициент зональный (Кз)» указывается размер измененного коэффициента – 0,8;</w:t>
      </w:r>
    </w:p>
    <w:p>
      <w:pPr>
        <w:spacing w:after="120"/>
        <w:ind w:firstLine="397"/>
        <w:jc w:val="both"/>
      </w:pPr>
      <w:r>
        <w:rPr>
          <w:rFonts w:ascii="Arial" w:cs="Arial" w:eastAsia="Arial" w:hAnsi="Arial"/>
          <w:sz w:val="24"/>
          <w:szCs w:val="24"/>
        </w:rPr>
        <w:t xml:space="preserve">- в графе «Сумма налога к уплате» указывается уточненная сумма налога - 2 813,1 сом.</w:t>
      </w:r>
    </w:p>
    <w:p>
      <w:pPr>
        <w:spacing w:after="120"/>
        <w:ind w:firstLine="397"/>
        <w:jc w:val="both"/>
      </w:pPr>
      <w:r>
        <w:rPr>
          <w:rFonts w:ascii="Arial" w:cs="Arial" w:eastAsia="Arial" w:hAnsi="Arial"/>
          <w:sz w:val="24"/>
          <w:szCs w:val="24"/>
        </w:rPr>
        <w:t xml:space="preserve">«Примечание» заполняется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1"/>
        <w:gridCol w:w="1427"/>
        <w:gridCol w:w="1585"/>
        <w:gridCol w:w="1421"/>
        <w:gridCol w:w="1168"/>
        <w:gridCol w:w="1421"/>
        <w:gridCol w:w="1266"/>
      </w:tblGrid>
      <w:tr>
        <w:tc>
          <w:tcPr>
            <w:tcW w:type="dxa" w:w="1891"/>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Месяц</w:t>
            </w:r>
          </w:p>
        </w:tc>
        <w:tc>
          <w:tcPr>
            <w:tcW w:type="dxa" w:w="142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Январь</w:t>
            </w:r>
          </w:p>
        </w:tc>
        <w:tc>
          <w:tcPr>
            <w:tcW w:type="dxa" w:w="1585"/>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Февраль</w:t>
            </w:r>
          </w:p>
        </w:tc>
        <w:tc>
          <w:tcPr>
            <w:tcW w:type="dxa" w:w="142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Март</w:t>
            </w:r>
          </w:p>
        </w:tc>
        <w:tc>
          <w:tcPr>
            <w:tcW w:type="dxa" w:w="11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Апрель</w:t>
            </w:r>
          </w:p>
        </w:tc>
        <w:tc>
          <w:tcPr>
            <w:tcW w:type="dxa" w:w="1421"/>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Май</w:t>
            </w:r>
          </w:p>
        </w:tc>
        <w:tc>
          <w:tcPr>
            <w:tcW w:type="dxa" w:w="126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Июнь</w:t>
            </w:r>
          </w:p>
        </w:tc>
      </w:tr>
      <w:tr>
        <w:tc>
          <w:tcPr>
            <w:tcW w:type="dxa" w:w="189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Сумма налога</w:t>
            </w:r>
          </w:p>
        </w:tc>
        <w:tc>
          <w:tcPr>
            <w:tcW w:type="dxa" w:w="142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585"/>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4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168"/>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421"/>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265,4</w:t>
            </w:r>
          </w:p>
        </w:tc>
        <w:tc>
          <w:tcPr>
            <w:tcW w:type="dxa" w:w="126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2"/>
        <w:gridCol w:w="1623"/>
        <w:gridCol w:w="1814"/>
        <w:gridCol w:w="1629"/>
        <w:gridCol w:w="1354"/>
        <w:gridCol w:w="1617"/>
      </w:tblGrid>
      <w:tr>
        <w:tc>
          <w:tcPr>
            <w:tcW w:type="dxa" w:w="214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Июль</w:t>
            </w:r>
          </w:p>
        </w:tc>
        <w:tc>
          <w:tcPr>
            <w:tcW w:type="dxa" w:w="16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Август</w:t>
            </w:r>
          </w:p>
        </w:tc>
        <w:tc>
          <w:tcPr>
            <w:tcW w:type="dxa" w:w="181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Сентябрь</w:t>
            </w:r>
          </w:p>
        </w:tc>
        <w:tc>
          <w:tcPr>
            <w:tcW w:type="dxa" w:w="162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Октябрь</w:t>
            </w:r>
          </w:p>
        </w:tc>
        <w:tc>
          <w:tcPr>
            <w:tcW w:type="dxa" w:w="1354"/>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Ноябрь</w:t>
            </w:r>
          </w:p>
        </w:tc>
        <w:tc>
          <w:tcPr>
            <w:tcW w:type="dxa" w:w="16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Декабрь</w:t>
            </w:r>
          </w:p>
        </w:tc>
      </w:tr>
      <w:tr>
        <w:tc>
          <w:tcPr>
            <w:tcW w:type="dxa" w:w="214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212,3</w:t>
            </w:r>
          </w:p>
        </w:tc>
        <w:tc>
          <w:tcPr>
            <w:tcW w:type="dxa" w:w="162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81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629"/>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354"/>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c>
          <w:tcPr>
            <w:tcW w:type="dxa" w:w="1617"/>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212,3</w:t>
            </w:r>
          </w:p>
        </w:tc>
      </w:tr>
    </w:tbl>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Настоящее постановление вступает в силу с 1 января 2014 года.</w:t>
      </w:r>
    </w:p>
    <w:p>
      <w:pPr>
        <w:spacing w:after="120"/>
        <w:ind w:firstLine="397"/>
        <w:jc w:val="both"/>
      </w:pPr>
      <w:r>
        <w:rPr>
          <w:rFonts w:ascii="Arial" w:cs="Arial" w:eastAsia="Arial" w:hAnsi="Arial"/>
          <w:sz w:val="24"/>
          <w:szCs w:val="24"/>
        </w:rPr>
        <w:t xml:space="preserve">3.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rqolfutkuiwl2kz49f7">
      <w:r>
        <w:rPr>
          <w:rFonts w:ascii="Arial" w:cs="Arial" w:eastAsia="Arial" w:hAnsi="Arial"/>
          <w:color w:val="132D3F"/>
          <w:sz w:val="16"/>
          <w:szCs w:val="16"/>
          <w:u w:val="single"/>
        </w:rPr>
        <w:t xml:space="preserve">dalil.kg/document/96623</w:t>
      </w:r>
    </w:hyperlink>
  </w:p>
  <w:p>
    <w:pPr>
      <w:spacing w:after="0" w:before="40"/>
      <w:jc w:val="center"/>
    </w:pPr>
    <w:hyperlink w:history="1" r:id="rIdmkyartvdz-lxnl4phk2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3fbjvdc5vv5_zx69fess" Type="http://schemas.openxmlformats.org/officeDocument/2006/relationships/hyperlink" Target="https://dalil.kg/document/159917" TargetMode="External"/><Relationship Id="rIdl3rfcicaleolykw9wnlz6" Type="http://schemas.openxmlformats.org/officeDocument/2006/relationships/hyperlink" Target="https://dalil.kg/document/202445" TargetMode="External"/><Relationship Id="rIdfhznco3sdk7qbt_ad62ok" Type="http://schemas.openxmlformats.org/officeDocument/2006/relationships/hyperlink" Target="https://dalil.kg/document/921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rqolfutkuiwl2kz49f7" Type="http://schemas.openxmlformats.org/officeDocument/2006/relationships/hyperlink" Target="https://dalil.kg/document/96623" TargetMode="External"/><Relationship Id="rIdmkyartvdz-lxnl4phk2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2026-09-23T22:49:44.852Z</dcterms:created>
  <dcterms:modified xsi:type="dcterms:W3CDTF">2026-09-23T22:49:44.852Z</dcterms:modified>
</cp:coreProperties>
</file>

<file path=docProps/custom.xml><?xml version="1.0" encoding="utf-8"?>
<Properties xmlns="http://schemas.openxmlformats.org/officeDocument/2006/custom-properties" xmlns:vt="http://schemas.openxmlformats.org/officeDocument/2006/docPropsVTypes"/>
</file>