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6"/>
          <w:szCs w:val="36"/>
        </w:rPr>
        <w:t xml:space="preserve">ИМЕНЕМ </w:t>
      </w:r>
    </w:p>
    <w:p>
      <w:pPr>
        <w:spacing w:after="120"/>
        <w:jc w:val="both"/>
      </w:pPr>
      <w:r>
        <w:rPr>
          <w:rFonts w:ascii="Arial" w:cs="Arial" w:eastAsia="Arial" w:hAnsi="Arial"/>
          <w:sz w:val="24"/>
          <w:szCs w:val="24"/>
        </w:rPr>
        <w:t xml:space="preserve">КЫРГЫЗСКОЙ РЕСПУБЛИКИ
 РЕШЕНИЕ КОНСТИТУЦИОННОЙ ПАЛАТЫ</w:t>
      </w:r>
    </w:p>
    <w:p>
      <w:pPr>
        <w:spacing w:after="120"/>
        <w:jc w:val="both"/>
      </w:pPr>
      <w:r>
        <w:rPr>
          <w:rFonts w:ascii="Arial" w:cs="Arial" w:eastAsia="Arial" w:hAnsi="Arial"/>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от 5 июля 2017 года</w:t>
      </w:r>
    </w:p>
    <w:p>
      <w:pPr>
        <w:spacing w:after="120"/>
        <w:jc w:val="center"/>
      </w:pPr>
      <w:r>
        <w:rPr>
          <w:rFonts w:ascii="Arial" w:cs="Arial" w:eastAsia="Arial" w:hAnsi="Arial"/>
          <w:sz w:val="24"/>
          <w:szCs w:val="24"/>
        </w:rPr>
        <w:t xml:space="preserve">по делу о проверке конституционности пункта 7 части 4 </w:t>
      </w:r>
      <w:r>
        <w:rPr>
          <w:rFonts w:ascii="Arial" w:cs="Arial" w:eastAsia="Arial" w:hAnsi="Arial"/>
          <w:b/>
          <w:bCs/>
          <w:sz w:val="24"/>
          <w:szCs w:val="24"/>
        </w:rPr>
        <w:t xml:space="preserve">статьи 60</w:t>
      </w:r>
      <w:r>
        <w:rPr>
          <w:rFonts w:ascii="Arial" w:cs="Arial" w:eastAsia="Arial" w:hAnsi="Arial"/>
          <w:sz w:val="24"/>
          <w:szCs w:val="24"/>
        </w:rPr>
        <w:t xml:space="preserve"> Уголовно-процессуального </w:t>
      </w:r>
      <w:hyperlink w:history="1" r:id="rId3_zycxhspwcypnfsll0v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Касаболотова Бекболота Жыргалбековича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Кененсариевой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Касаболотова Бекболота Жыргалбековича, его представителя по доверенности Токтакунова Нурбека Акбаровича;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Нурмаматова Алтынбека Урубаевича,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Батырбаева Бактыбека Сулаймановича, доцента кафедры "Уголовного права и процесса" юридического факультета Кыргызского Национального университета имени Ж.Баласагына, кандидата юридических наук,</w:t>
      </w:r>
    </w:p>
    <w:p>
      <w:pPr>
        <w:spacing w:after="120"/>
        <w:jc w:val="both"/>
      </w:pPr>
      <w:r>
        <w:rPr>
          <w:rFonts w:ascii="Arial" w:cs="Arial" w:eastAsia="Arial" w:hAnsi="Arial"/>
          <w:sz w:val="24"/>
          <w:szCs w:val="24"/>
        </w:rPr>
        <w:t xml:space="preserve">руководствуясь частями 1 и 6 статьи 97 </w:t>
      </w:r>
      <w:hyperlink w:history="1" r:id="rIdhbaa6mpatzsrlgppkkz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1ydek0g4p-4ozmuhml9e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7 части 4 статьи 60 Уголовно-процессуального </w:t>
      </w:r>
      <w:hyperlink w:history="1" r:id="rIdp0piko78cni4ficzv1jp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Касаболотова Б.Ж.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gagf9vc9t2zscjz5x00j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 7 части 4 статьи 60 Уголовно-процессуального </w:t>
      </w:r>
      <w:hyperlink w:history="1" r:id="rIddhyiklscpso_atj5ite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6 февраля 2017 года поступило ходатайство гражданина Касаболотова Б.Ж. о признании пункта 7 части 4 статьи 60 Уголовно-процессуального </w:t>
      </w:r>
      <w:hyperlink w:history="1" r:id="rIdhbpj4ee_htmdqghfcoj1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части 5 статьи 26, части 3 статьи 99 Конституции Кыргызской Республики.</w:t>
      </w:r>
    </w:p>
    <w:p>
      <w:pPr>
        <w:spacing w:after="120"/>
        <w:jc w:val="both"/>
      </w:pPr>
      <w:r>
        <w:rPr>
          <w:rFonts w:ascii="Arial" w:cs="Arial" w:eastAsia="Arial" w:hAnsi="Arial"/>
          <w:sz w:val="24"/>
          <w:szCs w:val="24"/>
        </w:rPr>
        <w:t xml:space="preserve">В своем ходатайстве обращающаяся сторона отмечает, что пункт 7 части 4 статьи 60 Уголовно-процессуального </w:t>
      </w:r>
      <w:hyperlink w:history="1" r:id="rIdlbjoqbup9x2j7eizabh9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содержит положение, не допускающее допрос близких родственников подозреваемого, обвиняемого, подсудимого в качестве свидетелей.</w:t>
      </w:r>
    </w:p>
    <w:p>
      <w:pPr>
        <w:spacing w:after="120"/>
        <w:jc w:val="both"/>
      </w:pPr>
      <w:r>
        <w:rPr>
          <w:rFonts w:ascii="Arial" w:cs="Arial" w:eastAsia="Arial" w:hAnsi="Arial"/>
          <w:sz w:val="24"/>
          <w:szCs w:val="24"/>
        </w:rPr>
        <w:t xml:space="preserve">Обращающаяся сторона, полагает, что запрет на допрос в качестве свидетелей близких родственников подозреваемого, обвиняемого, подсудимого, является неверной интерпретацией части 5 статьи 26 </w:t>
      </w:r>
      <w:hyperlink w:history="1" r:id="rIds4dyuxooufwsldbe-r9c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обязан свидетельствовать против самого себя, супруга и близких родственников, круг которых определяется законом. Из данной конституционной нормы вытекает право каждого по своему усмотрению решать, свидетельствовать ли против себя самого, супруги и близких родственников или отказаться от дачи показаний.</w:t>
      </w:r>
    </w:p>
    <w:p>
      <w:pPr>
        <w:spacing w:after="120"/>
        <w:jc w:val="both"/>
      </w:pPr>
      <w:r>
        <w:rPr>
          <w:rFonts w:ascii="Arial" w:cs="Arial" w:eastAsia="Arial" w:hAnsi="Arial"/>
          <w:sz w:val="24"/>
          <w:szCs w:val="24"/>
        </w:rPr>
        <w:t xml:space="preserve">Пункт 7 части 4 статьи 60 Уголовно-процессуального </w:t>
      </w:r>
      <w:hyperlink w:history="1" r:id="rIdrnblrvmzzg2qo5ynheq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вопреки вышеприведенной норме Конституции Кыргызской Республики устанавливает, что близкие родственники подозреваемого, обвиняемого, подсудимого не подлежат допросу в качестве свидетелей. Тем самым, по мнению субъекта обращения, нормативное предписание оспариваемой нормы препятствует свободному волеизъявлению таких граждан давать показания против близких родственников или отказаться от дачи таких показаний.</w:t>
      </w:r>
    </w:p>
    <w:p>
      <w:pPr>
        <w:spacing w:after="120"/>
        <w:jc w:val="both"/>
      </w:pPr>
      <w:r>
        <w:rPr>
          <w:rFonts w:ascii="Arial" w:cs="Arial" w:eastAsia="Arial" w:hAnsi="Arial"/>
          <w:sz w:val="24"/>
          <w:szCs w:val="24"/>
        </w:rPr>
        <w:t xml:space="preserve">Касаболотов Б.Ж. считает, что смысл нормативного предписания части 5 статьи 26 </w:t>
      </w:r>
      <w:hyperlink w:history="1" r:id="rIdd8pyj8ab3fmbed0fvtch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заключается в том, что никто не вправе обязать кого-либо давать показания против самого себя, супруга и близких родственников, так же как и не давать показания.</w:t>
      </w:r>
    </w:p>
    <w:p>
      <w:pPr>
        <w:spacing w:after="120"/>
        <w:jc w:val="both"/>
      </w:pPr>
      <w:r>
        <w:rPr>
          <w:rFonts w:ascii="Arial" w:cs="Arial" w:eastAsia="Arial" w:hAnsi="Arial"/>
          <w:sz w:val="24"/>
          <w:szCs w:val="24"/>
        </w:rPr>
        <w:t xml:space="preserve">По его мнению, запрет, установленный оспариваемой нормой, нарушает также принципы равноправия и состязательности сторон, предусмотренные частью 3 статьи 99 </w:t>
      </w:r>
      <w:hyperlink w:history="1" r:id="rIdx9fz9aiztxtnsl9bm7x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Принцип состязательности создает благоприятные условия для выяснения всех имеющих существенное значение для дела обстоятельств и вынесения судом обоснованного решения. В силу данного принципа стороны, если они желают добиться наиболее благоприятного решения, сообщают суду юридические факты, имеющие существенное значение для дела, указывают или представляют суду доказательства, подтверждающие или опровергающие эти факты, а также совершают иные предусмотренные законом процессуальные действия, направленные на то, чтобы убедить суд в своей правоте.</w:t>
      </w:r>
    </w:p>
    <w:p>
      <w:pPr>
        <w:spacing w:after="120"/>
        <w:jc w:val="both"/>
      </w:pPr>
      <w:r>
        <w:rPr>
          <w:rFonts w:ascii="Arial" w:cs="Arial" w:eastAsia="Arial" w:hAnsi="Arial"/>
          <w:sz w:val="24"/>
          <w:szCs w:val="24"/>
        </w:rPr>
        <w:t xml:space="preserve">Однако, оспариваемая норма, не допуская в качестве свидетелей близких родственников подозреваемого, обвиняемого, подсудимого, лишает возможности сторон ссылаться на показания этих свидетелей, в случае, если они изъявят желание давать показания.</w:t>
      </w:r>
    </w:p>
    <w:p>
      <w:pPr>
        <w:spacing w:after="120"/>
        <w:jc w:val="both"/>
      </w:pPr>
      <w:r>
        <w:rPr>
          <w:rFonts w:ascii="Arial" w:cs="Arial" w:eastAsia="Arial" w:hAnsi="Arial"/>
          <w:sz w:val="24"/>
          <w:szCs w:val="24"/>
        </w:rPr>
        <w:t xml:space="preserve">Принцип равноправия означает, что, обладая равными процессуальными правами и возможностями в отстаивании своей позиции и защите своих интересов, ни одна из сторон не имеет преимущества перед судом. Лишение возможности использовать показания свидетелей - близких родственников подозреваемого, обвиняемого и подсудимого ведет к возникновению у другой стороны преимущества в отстаивании своей позиции.</w:t>
      </w:r>
    </w:p>
    <w:p>
      <w:pPr>
        <w:spacing w:after="120"/>
        <w:jc w:val="both"/>
      </w:pPr>
      <w:r>
        <w:rPr>
          <w:rFonts w:ascii="Arial" w:cs="Arial" w:eastAsia="Arial" w:hAnsi="Arial"/>
          <w:sz w:val="24"/>
          <w:szCs w:val="24"/>
        </w:rPr>
        <w:t xml:space="preserve">Кроме того, Касаболотов Б.Ж. считает, что оспариваемая норма противоречит части 2 статьи 192 Уголовно-процессуального </w:t>
      </w:r>
      <w:hyperlink w:history="1" r:id="rIdlyboguaenswt2rdio2g4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регулирующей порядок допроса свидетеля и потерпевшего, которой предусмотрена обязанность следователя разъяснить о праве свидетеля или потерпевшего отказаться от дачи показаний, уличающих в совершении преступлений их самих или близких родственников. Наличие такой обязанности следователя подтверждает, что у свидетелей есть такое право.</w:t>
      </w:r>
    </w:p>
    <w:p>
      <w:pPr>
        <w:spacing w:after="120"/>
        <w:jc w:val="both"/>
      </w:pPr>
      <w:r>
        <w:rPr>
          <w:rFonts w:ascii="Arial" w:cs="Arial" w:eastAsia="Arial" w:hAnsi="Arial"/>
          <w:sz w:val="24"/>
          <w:szCs w:val="24"/>
        </w:rPr>
        <w:t xml:space="preserve">Основываясь на изложенном, обращающаяся сторона просит признать указанную норму Уголовно-процессуального </w:t>
      </w:r>
      <w:hyperlink w:history="1" r:id="rIdwg5mvkerwirgk3nf9fng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w:t>
      </w:r>
      <w:hyperlink w:history="1" r:id="rIdekeughtg2fkuh_9-yj1o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от 16 марта 2017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и указывает, что часть 5 статьи 60 Уголовно-процессуального </w:t>
      </w:r>
      <w:hyperlink w:history="1" r:id="rIdliktoqgxwaifv7iq5k9n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устанавливает, что если лица, названные в пункте 6 части 4 статьи 60, желают давать показания, то они допрашиваются по правилам указанного Кодекса.</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в Законе Кыргызской Республики от 17 июля 2009 года "О внесении дополнений и изменений в некоторые законодательные акты Кыргызской Республики" были допущены технические погрешности, повлекшие сдвиг нумерации пунктов, которые привели к неправильной регламентации оспариваемой нормы.</w:t>
      </w:r>
    </w:p>
    <w:p>
      <w:pPr>
        <w:spacing w:after="120"/>
        <w:jc w:val="both"/>
      </w:pPr>
      <w:r>
        <w:rPr>
          <w:rFonts w:ascii="Arial" w:cs="Arial" w:eastAsia="Arial" w:hAnsi="Arial"/>
          <w:sz w:val="24"/>
          <w:szCs w:val="24"/>
        </w:rPr>
        <w:t xml:space="preserve">В связи с чем, представитель Жогорку Кенеша Кыргызской Республики разрешение ходатайства Касаболотова Б.Ж. оставляет на усмотрение суда.</w:t>
      </w:r>
    </w:p>
    <w:p>
      <w:pPr>
        <w:spacing w:after="120"/>
        <w:jc w:val="both"/>
      </w:pPr>
      <w:r>
        <w:rPr>
          <w:rFonts w:ascii="Arial" w:cs="Arial" w:eastAsia="Arial" w:hAnsi="Arial"/>
          <w:sz w:val="24"/>
          <w:szCs w:val="24"/>
        </w:rPr>
        <w:t xml:space="preserve">Представитель Верховного суда Кыргызской Республики Нурмаматов А.У. поддержал доводы, указанные в ходатайстве Касаболотова Б.Ж. и считает, что право не давать показания против себя, супруга(и) и близких родственников способствует тому, чтобы обвинение не использовало доказательства, добытые с помощью принуждения или давления. Нормы </w:t>
      </w:r>
      <w:hyperlink w:history="1" r:id="rIdvbptsp5u9oaf5sppss_i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наделяя определенный круг лиц свидетельским иммунитетом, не исключают возможности их допроса при условии их согласия на допрос и не могут рассматриваться в качестве запрета для реализации лицом права использовать известные ему сведения в свою пользу или пользу близких родственников.</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согласился с доводами обращающейся стороны, при этом отметил, что изучение следственной практики допроса близких родственников подозреваемого, обвиняемого, подсудимого показало, что во время следствия и судебного разбирательства с согласия самих близких родственников, они допрашиваются для установления улик или алиби лица или иных обстоятельств дела.</w:t>
      </w:r>
    </w:p>
    <w:p>
      <w:pPr>
        <w:spacing w:after="120"/>
        <w:jc w:val="both"/>
      </w:pPr>
      <w:r>
        <w:rPr>
          <w:rFonts w:ascii="Arial" w:cs="Arial" w:eastAsia="Arial" w:hAnsi="Arial"/>
          <w:sz w:val="24"/>
          <w:szCs w:val="24"/>
        </w:rPr>
        <w:t xml:space="preserve">Кроме того, статья 19 Уголовно-процессуального </w:t>
      </w:r>
      <w:hyperlink w:history="1" r:id="rId4x2zgkvfz9sjy1o2ho7i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обязывает следователя принять все предусмотренные </w:t>
      </w:r>
      <w:hyperlink w:history="1" r:id="rId85or7ccmipplr3opj61j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jc w:val="both"/>
      </w:pPr>
      <w:r>
        <w:rPr>
          <w:rFonts w:ascii="Arial" w:cs="Arial" w:eastAsia="Arial" w:hAnsi="Arial"/>
          <w:sz w:val="24"/>
          <w:szCs w:val="24"/>
        </w:rPr>
        <w:t xml:space="preserve">В статье 192 Уголовно-процессуального </w:t>
      </w:r>
      <w:hyperlink w:history="1" r:id="rIdvdp8qja0lnnnmn91kmde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указан порядок допроса свидетеля и потерпевшего. Данное положение </w:t>
      </w:r>
      <w:hyperlink w:history="1" r:id="rIdcl8as8mahsvxstznmda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обязанность следователя разъяснить о праве свидетеля или потерпевшего отказаться от дачи показаний уличающих их самих или близких родственников.</w:t>
      </w:r>
    </w:p>
    <w:p>
      <w:pPr>
        <w:spacing w:after="120"/>
        <w:jc w:val="both"/>
      </w:pPr>
      <w:r>
        <w:rPr>
          <w:rFonts w:ascii="Arial" w:cs="Arial" w:eastAsia="Arial" w:hAnsi="Arial"/>
          <w:sz w:val="24"/>
          <w:szCs w:val="24"/>
        </w:rPr>
        <w:t xml:space="preserve">Также Айтбаев У.Т. отметил, что в случае, если подозреваемый, обвиняемый, подсудимый приводит в свою защиту алиби, достоверность которых может быть установлена только путем допроса его близких родственников, либо если в случае, когда один из родственников заявляет о совершении другим близким родственником уголовно-наказуемого деяния, но для установления истины необходимо допросить остальных близких родственников, то действующая норма пункта 7 части 4 статьи 60 Уголовно-процессуального кодекса Кыргызской Республики не позволяет допрашивать их по обстоятельствам дела. Тем самым, лицо не может реализовать свои права на объективное рассмотрение данного вопроса, тогда как </w:t>
      </w:r>
      <w:hyperlink w:history="1" r:id="rId1shbcxcr5rcvmjnglbcl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защиту его прав. Кроме того, представитель Генеральной прокуратуры Кыргызской Республики указал, что в предыдущей редакции статьи 60 Уголовно-процессуального </w:t>
      </w:r>
      <w:hyperlink w:history="1" r:id="rIdgfighiayxxzfvmcfxlo6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было предусмотрено, что не подлежат допросу в качестве свидетелей близкие родственники подозреваемого, обвиняемого, подсудимого. Однако была оговорка о том, что если близкие родственники желают давать показания, то они допрашиваются по правилам настоящего кодекса.</w:t>
      </w:r>
    </w:p>
    <w:p>
      <w:pPr>
        <w:spacing w:after="120"/>
        <w:jc w:val="both"/>
      </w:pPr>
      <w:r>
        <w:rPr>
          <w:rFonts w:ascii="Arial" w:cs="Arial" w:eastAsia="Arial" w:hAnsi="Arial"/>
          <w:sz w:val="24"/>
          <w:szCs w:val="24"/>
        </w:rPr>
        <w:t xml:space="preserve">С учетом изложенного Айтбаев У.Т. считает, что оспариваемая норма противоречит Конституции Кыргызской Республики.</w:t>
      </w:r>
    </w:p>
    <w:p>
      <w:pPr>
        <w:spacing w:after="120"/>
        <w:jc w:val="both"/>
      </w:pPr>
      <w:r>
        <w:rPr>
          <w:rFonts w:ascii="Arial" w:cs="Arial" w:eastAsia="Arial" w:hAnsi="Arial"/>
          <w:sz w:val="24"/>
          <w:szCs w:val="24"/>
        </w:rPr>
        <w:t xml:space="preserve">Доцент кафедры "Уголовного права и процесса" юридического факультета Кыргызского национального университета имени Ж.Баласагына Батырбаев Б.С. отметил, что в уголовном процессе в соответствии с принципом равенства граждан перед законом и судом, содержащимся в части 1 статьи 16 </w:t>
      </w:r>
      <w:hyperlink w:history="1" r:id="rIdzsypp1fi45jdpsz32xy_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находящиеся в близком родстве, не должны лишаться конституционного права свидетельствовать и давать показания.</w:t>
      </w:r>
    </w:p>
    <w:p>
      <w:pPr>
        <w:spacing w:after="120"/>
        <w:jc w:val="both"/>
      </w:pPr>
      <w:r>
        <w:rPr>
          <w:rFonts w:ascii="Arial" w:cs="Arial" w:eastAsia="Arial" w:hAnsi="Arial"/>
          <w:sz w:val="24"/>
          <w:szCs w:val="24"/>
        </w:rPr>
        <w:t xml:space="preserve">Свидетельствование против самого себя, супруга(и) и близких родственников в соответствии с пунктом 5 статьи 26 </w:t>
      </w:r>
      <w:hyperlink w:history="1" r:id="rIdkjwy7fx-sfvq3t5ucqv9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правом, а не обязанностью гражданина.</w:t>
      </w:r>
    </w:p>
    <w:p>
      <w:pPr>
        <w:spacing w:after="120"/>
        <w:jc w:val="both"/>
      </w:pPr>
      <w:r>
        <w:rPr>
          <w:rFonts w:ascii="Arial" w:cs="Arial" w:eastAsia="Arial" w:hAnsi="Arial"/>
          <w:sz w:val="24"/>
          <w:szCs w:val="24"/>
        </w:rPr>
        <w:t xml:space="preserve">По мнению Батырбаева Б.С., обстоятельство близкого родства не должно ограничивать права граждан давать показания об обстоятельствах совершенного преступления, что способствовало бы всестороннему, полному и объективному исследованию обстоятельств дела. При этом оценка доказательств полученных в ходе судебного разбирательства осуществляется судом. Вместе с тем, отсутствие показаний близких родственников подозреваемого, обвиняемого и подсудимого не может приводить к нарушению принципа состязательности и равноправия сторон при осуществлении судопроизводства.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sebefidco1qvdbgbhfx3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7 части 4 статьи 60 Уголовно-процессуального </w:t>
      </w:r>
      <w:hyperlink w:history="1" r:id="rIdsbzx6hpkw7vo-kw4maak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60. Свидетель</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7) близкие родственники подозреваемого, обвиняемого, подсудимого.".</w:t>
      </w:r>
    </w:p>
    <w:p>
      <w:pPr>
        <w:spacing w:after="120"/>
        <w:jc w:val="both"/>
      </w:pPr>
      <w:r>
        <w:rPr>
          <w:rFonts w:ascii="Arial" w:cs="Arial" w:eastAsia="Arial" w:hAnsi="Arial"/>
          <w:sz w:val="24"/>
          <w:szCs w:val="24"/>
        </w:rPr>
        <w:t xml:space="preserve">Уголовно-процессуальный </w:t>
      </w:r>
      <w:hyperlink w:history="1" r:id="rId1kj2rtl7mmt049i2apjk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принят в соответствии с порядком, установленным законодательством, опубликован в газете "Эркин-Тоо" от 21 июля 1999 года №№ 59-62,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hbfxp0ieu3p0v5a5bvty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(часть 1 статьи 16).</w:t>
      </w:r>
    </w:p>
    <w:p>
      <w:pPr>
        <w:spacing w:after="120"/>
        <w:jc w:val="both"/>
      </w:pPr>
      <w:r>
        <w:rPr>
          <w:rFonts w:ascii="Arial" w:cs="Arial" w:eastAsia="Arial" w:hAnsi="Arial"/>
          <w:sz w:val="24"/>
          <w:szCs w:val="24"/>
        </w:rPr>
        <w:t xml:space="preserve">Указанная конституционная норма направлена на создание благоприятной правовой среды посредством детальной регламентации прав и свобод человека и гражданина, в том числе и в уголовно-процессуальном законодательстве.</w:t>
      </w:r>
    </w:p>
    <w:p>
      <w:pPr>
        <w:spacing w:after="120"/>
        <w:jc w:val="both"/>
      </w:pPr>
      <w:r>
        <w:rPr>
          <w:rFonts w:ascii="Arial" w:cs="Arial" w:eastAsia="Arial" w:hAnsi="Arial"/>
          <w:sz w:val="24"/>
          <w:szCs w:val="24"/>
        </w:rPr>
        <w:t xml:space="preserve">Обозначенное конституционное положение находится в системной связи с частью 5 статьи 26 </w:t>
      </w:r>
      <w:hyperlink w:history="1" r:id="rId3zmqopxdy4jqmdkvbyae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jc w:val="both"/>
      </w:pPr>
      <w:r>
        <w:rPr>
          <w:rFonts w:ascii="Arial" w:cs="Arial" w:eastAsia="Arial" w:hAnsi="Arial"/>
          <w:sz w:val="24"/>
          <w:szCs w:val="24"/>
        </w:rPr>
        <w:t xml:space="preserve">Указанное положение Конституции Кыргызской Республики означает, что показания против себя или близких родственников, то есть лиц, обладающих свидетельским иммунитетом, могут быть даны только с соблюдением принципа добровольности и диспозитивности.</w:t>
      </w:r>
    </w:p>
    <w:p>
      <w:pPr>
        <w:spacing w:after="120"/>
        <w:jc w:val="both"/>
      </w:pPr>
      <w:r>
        <w:rPr>
          <w:rFonts w:ascii="Arial" w:cs="Arial" w:eastAsia="Arial" w:hAnsi="Arial"/>
          <w:sz w:val="24"/>
          <w:szCs w:val="24"/>
        </w:rPr>
        <w:t xml:space="preserve">В реализацию указанной конституционной нормы уголовно-процессуальным законодательством установлен запрет на какое-либо принуждение к свидетельству против самого себя или своих близких родственников, к которым отнесены родители, супруг(а), дети, усыновители, усыновленные, полнородные и неполнородные братья и сестры, дед, бабка, внуки (статья 5 Уголовно-процессуального </w:t>
      </w:r>
      <w:hyperlink w:history="1" r:id="rIdiagk8mamjr_wg0c5uky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Право не свидетельствовать против самого себя, супруга(и) и близких родственников, круг которых определяется законом, относится к сфере защиты наиболее важных законных интересов личности.</w:t>
      </w:r>
    </w:p>
    <w:p>
      <w:pPr>
        <w:spacing w:after="120"/>
        <w:jc w:val="both"/>
      </w:pPr>
      <w:r>
        <w:rPr>
          <w:rFonts w:ascii="Arial" w:cs="Arial" w:eastAsia="Arial" w:hAnsi="Arial"/>
          <w:sz w:val="24"/>
          <w:szCs w:val="24"/>
        </w:rPr>
        <w:t xml:space="preserve">Так, наделение лица правом на свидетельский иммунитет, является одним из важнейших условий соблюдения прав и свобод человека и гражданина к числу которых относится право на справедливое судебное разбирательство, устанавливающее гарантии прав человека и гражданина и предоставляющее возможность восстановления нарушенных прав с помощью судебной процедуры.</w:t>
      </w:r>
    </w:p>
    <w:p>
      <w:pPr>
        <w:spacing w:after="120"/>
        <w:jc w:val="both"/>
      </w:pPr>
      <w:r>
        <w:rPr>
          <w:rFonts w:ascii="Arial" w:cs="Arial" w:eastAsia="Arial" w:hAnsi="Arial"/>
          <w:sz w:val="24"/>
          <w:szCs w:val="24"/>
        </w:rPr>
        <w:t xml:space="preserve">Правовое регулирование свидетельского иммунитета предполагает использование соответствующих правовых механизмов для защиты физических лиц и недопущения избыточного ограничения прав и свобод при совершении действий, связанных с допросом. Соответственно, характер и содержание устанавливаемых законом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последствий в результате допроса близких родственников подозреваемого, обвиняемого, подсудимого.</w:t>
      </w:r>
    </w:p>
    <w:p>
      <w:pPr>
        <w:spacing w:after="120"/>
        <w:jc w:val="both"/>
      </w:pPr>
      <w:r>
        <w:rPr>
          <w:rFonts w:ascii="Arial" w:cs="Arial" w:eastAsia="Arial" w:hAnsi="Arial"/>
          <w:sz w:val="24"/>
          <w:szCs w:val="24"/>
        </w:rPr>
        <w:t xml:space="preserve">Свидетельский иммунитет является исключением из принципа равенства всех перед законом и представляет собой предоставление определенной категории лиц исключительного права на правовую неприкосновенность и наделение их правом отказа от дачи показаний по уголовному делу. В примечании к статье 331 Уголовного </w:t>
      </w:r>
      <w:hyperlink w:history="1" r:id="rIdpol9jalyq7jgjpsd15fq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лицо не подлежит уголовной ответственности за отказ от дачи показаний против самого себя, своего супруга(и) или своих близких родственников. Данную норму следует рассматривать как правовую гарантию против самообвинения и принуждения к даче показаний против себя самого, своего супруга или близких родственников. При этом, эти конституционные установления коррелируются с частью 3 статьи 14 Международного </w:t>
      </w:r>
      <w:hyperlink w:history="1" r:id="rIdk65o6jafapo1nyczqygg4">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от 16 декабря 1966 года, согласно которой каждый имеет право при рассмотрении любого предъявленного ему уголовного обвинения не быть принуждаемым к даче показаний против самого себя или к признанию себя виновным. Иными словами, любое лицо, включая обвиняемого, освобождается от обязанности давать показания, уличающие его в совершении преступления.</w:t>
      </w:r>
    </w:p>
    <w:p>
      <w:pPr>
        <w:spacing w:after="120"/>
        <w:jc w:val="both"/>
      </w:pPr>
      <w:r>
        <w:rPr>
          <w:rFonts w:ascii="Arial" w:cs="Arial" w:eastAsia="Arial" w:hAnsi="Arial"/>
          <w:sz w:val="24"/>
          <w:szCs w:val="24"/>
        </w:rPr>
        <w:t xml:space="preserve">Следовательно, освобождая граждан от обязанности свидетельствовать против себя, своего супруга(и) и близких родственников, законодатель тем самым установил юридические предписания в соответствие с нравственными представлениями о недопустимости принуждения человека причинять вред самому себе и близким родственникам.</w:t>
      </w:r>
    </w:p>
    <w:p>
      <w:pPr>
        <w:spacing w:after="120"/>
        <w:jc w:val="both"/>
      </w:pPr>
      <w:r>
        <w:rPr>
          <w:rFonts w:ascii="Arial" w:cs="Arial" w:eastAsia="Arial" w:hAnsi="Arial"/>
          <w:sz w:val="24"/>
          <w:szCs w:val="24"/>
        </w:rPr>
        <w:t xml:space="preserve">3. В уголовном процессе свидетелем признается лицо, вызванное для дачи показаний об известных ему обстоятельствах по делу (часть 1 статьи 60 Уголовно-процессуального </w:t>
      </w:r>
      <w:hyperlink w:history="1" r:id="rIdhwhphoaijvpw4_zxbuk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 является важным лицом в уголовном процессе. Его показания являются распространенным способом сбора доказательств, с помощью которых могут быть определены многие обстоятельства, подлежащие установлению при совершении преступления. Сообщение лицом известных ему сведений об обстоятельствах, подлежащих установлению по уголовному делу, зачастую служит основным источником информации о совершенном преступлении, его деталях, а также о том, где можно получить необходимые доказательства.</w:t>
      </w:r>
    </w:p>
    <w:p>
      <w:pPr>
        <w:spacing w:after="120"/>
        <w:jc w:val="both"/>
      </w:pPr>
      <w:r>
        <w:rPr>
          <w:rFonts w:ascii="Arial" w:cs="Arial" w:eastAsia="Arial" w:hAnsi="Arial"/>
          <w:sz w:val="24"/>
          <w:szCs w:val="24"/>
        </w:rPr>
        <w:t xml:space="preserve">В качестве свидетеля может быть вызвано любое юридически незаинтересованное лицо, которому известны или могут быть известны какие-либо обстоятельства, имеющие значение для расследования и установления истины по уголовному делу.</w:t>
      </w:r>
    </w:p>
    <w:p>
      <w:pPr>
        <w:spacing w:after="120"/>
        <w:jc w:val="both"/>
      </w:pPr>
      <w:r>
        <w:rPr>
          <w:rFonts w:ascii="Arial" w:cs="Arial" w:eastAsia="Arial" w:hAnsi="Arial"/>
          <w:sz w:val="24"/>
          <w:szCs w:val="24"/>
        </w:rPr>
        <w:t xml:space="preserve">По общему правилу, лицо обретает процессуальный статус свидетеля с момента вызова уполномоченным должностным лицом для производства допроса, и с этого же момента наделяется рядом прав и обязанностей, предусмотренных уголовно-процессуальным законодательством, и несет ответственность за невыполнение обязанностей. Кроме того, лицо, которому известны какие-либо факты по делу, может явиться на допрос по собственной инициативе. В данном случае процессуальный статус свидетеля лицо приобретает с момента разъяснения ему прав и обязанностей.</w:t>
      </w:r>
    </w:p>
    <w:p>
      <w:pPr>
        <w:spacing w:after="120"/>
        <w:jc w:val="both"/>
      </w:pPr>
      <w:r>
        <w:rPr>
          <w:rFonts w:ascii="Arial" w:cs="Arial" w:eastAsia="Arial" w:hAnsi="Arial"/>
          <w:sz w:val="24"/>
          <w:szCs w:val="24"/>
        </w:rPr>
        <w:t xml:space="preserve">4. Статус свидетеля определяется возможностью дачи им показаний по делу. Установление запрета на допрос в качестве свидетелей близких родственников подозреваемого, обвиняемого, подсудимого, тем не менее, не должно ограничивать их в праве давать соответствующие показания в случаях, когда они заинтересованы в оглашении той или иной информации. Следовательно, органы следствия и суды не вправе отказывать в даче свидетельских показаний лицам, изъявившим такое желание при заявлении ими соответствующего ходатайства.</w:t>
      </w:r>
    </w:p>
    <w:p>
      <w:pPr>
        <w:spacing w:after="120"/>
        <w:jc w:val="both"/>
      </w:pPr>
      <w:r>
        <w:rPr>
          <w:rFonts w:ascii="Arial" w:cs="Arial" w:eastAsia="Arial" w:hAnsi="Arial"/>
          <w:sz w:val="24"/>
          <w:szCs w:val="24"/>
        </w:rPr>
        <w:t xml:space="preserve">Свидетельством этому является правило, установленное частью 5 статьи 60 Уголовно-процессуального </w:t>
      </w:r>
      <w:hyperlink w:history="1" r:id="rIdinej0-05hi1ekjhp3iz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которому допускается возможность давать показания по правилам указанного кодекса лицами, в отношении которых существует запрет на допрос в качестве свидетелей. При этом ошибочная отсылка на пункт шестой явилась результатом нарушения требований нормотворческой техники при внесении дополнений в часть 4 статьи 60 Уголовно-процессуального </w:t>
      </w:r>
      <w:hyperlink w:history="1" r:id="rIdtnlnbuqlpx-eat60mgj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a_nrlyj08powg_dyrmv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17 июля 2009 года, когда нумерация пунктов была сдвинута без учета смысловой отсылки части 5 указанной статьи обозначенного Кодекса.</w:t>
      </w:r>
    </w:p>
    <w:p>
      <w:pPr>
        <w:spacing w:after="120"/>
        <w:jc w:val="both"/>
      </w:pPr>
      <w:r>
        <w:rPr>
          <w:rFonts w:ascii="Arial" w:cs="Arial" w:eastAsia="Arial" w:hAnsi="Arial"/>
          <w:sz w:val="24"/>
          <w:szCs w:val="24"/>
        </w:rPr>
        <w:t xml:space="preserve">Подтверждением изложенному является пояснительная записка к указанному </w:t>
      </w:r>
      <w:hyperlink w:history="1" r:id="rId4mis-fc-afhk46vcdfwt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в соответствии с которой вносимые поправки касались только присяжных заседателей и не имели цели изменения положений оспариваемой нормы.</w:t>
      </w:r>
    </w:p>
    <w:p>
      <w:pPr>
        <w:spacing w:after="120"/>
        <w:jc w:val="both"/>
      </w:pPr>
      <w:r>
        <w:rPr>
          <w:rFonts w:ascii="Arial" w:cs="Arial" w:eastAsia="Arial" w:hAnsi="Arial"/>
          <w:sz w:val="24"/>
          <w:szCs w:val="24"/>
        </w:rPr>
        <w:t xml:space="preserve">Соответственно, оспариваемая норма должна рассматриваться и применяться в системной связи с частью 5 статьи 60 Уголовно-процессуального</w:t>
      </w:r>
      <w:hyperlink w:history="1" r:id="rIdo1bwoak6_7gjvs_s7qpkj">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Вместе с тем, возникшая правовая неопределенность требует от законодателя внесения соответствующих поправок с учетом вышеизложенных позиций.</w:t>
      </w:r>
    </w:p>
    <w:p>
      <w:pPr>
        <w:spacing w:after="120"/>
        <w:jc w:val="both"/>
      </w:pPr>
      <w:r>
        <w:rPr>
          <w:rFonts w:ascii="Arial" w:cs="Arial" w:eastAsia="Arial" w:hAnsi="Arial"/>
          <w:sz w:val="24"/>
          <w:szCs w:val="24"/>
        </w:rPr>
        <w:t xml:space="preserve">Таким образом, пункт 7 части 4 статьи 60 Уголовно-процессуального </w:t>
      </w:r>
      <w:hyperlink w:history="1" r:id="rIdvht7vpcdjmzk6ojr0lp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следует понимать как установление гарантий законности применения к свидетелям мер процессуальной защиты и не может рассматриваться как запрет на дачу свидетельских показаний, а также как препятствие для реализации лицом права давать показания.</w:t>
      </w:r>
    </w:p>
    <w:p>
      <w:pPr>
        <w:spacing w:after="120"/>
        <w:jc w:val="both"/>
      </w:pPr>
      <w:r>
        <w:rPr>
          <w:rFonts w:ascii="Arial" w:cs="Arial" w:eastAsia="Arial" w:hAnsi="Arial"/>
          <w:sz w:val="24"/>
          <w:szCs w:val="24"/>
        </w:rPr>
        <w:t xml:space="preserve">5. Справедливое судебное разбирательство является гарантией обеспечения равных возможностей сторон, соблюдения принципа состязательности судебного процесса.</w:t>
      </w:r>
    </w:p>
    <w:p>
      <w:pPr>
        <w:spacing w:after="120"/>
        <w:jc w:val="both"/>
      </w:pPr>
      <w:r>
        <w:rPr>
          <w:rFonts w:ascii="Arial" w:cs="Arial" w:eastAsia="Arial" w:hAnsi="Arial"/>
          <w:sz w:val="24"/>
          <w:szCs w:val="24"/>
        </w:rPr>
        <w:t xml:space="preserve">В силу принципа осуществления правосудия на основе состязательности и равноправия сторон, предусмотренного частью 3 статьи 99 </w:t>
      </w:r>
      <w:hyperlink w:history="1" r:id="rIdwg2omm1ruc0l0liicl-0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 при рассмотрении дела обязан во всех случаях обеспечивать равенство прав участников судебного разбирательства. Как было отмечено в Решении Конституционной палаты Верховного суда Кыргызской Республики от 21 февраля 2014 года конституционное положение о состязательности и равноправии сторон рассматривается как предоставление равных прав участникам судебного разбирательства, стоящим на противоположных процессуальных позициях, являющихся сторонами в процессе, позволяет им вести равный спор, обеспечивает их равные правовые возможности и, следовательно, действительную состязательность в судебном разбирательстве.</w:t>
      </w:r>
    </w:p>
    <w:p>
      <w:pPr>
        <w:spacing w:after="120"/>
        <w:jc w:val="both"/>
      </w:pPr>
      <w:r>
        <w:rPr>
          <w:rFonts w:ascii="Arial" w:cs="Arial" w:eastAsia="Arial" w:hAnsi="Arial"/>
          <w:sz w:val="24"/>
          <w:szCs w:val="24"/>
        </w:rPr>
        <w:t xml:space="preserve">Применительно к уголовному судопроизводству это означает, что,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преследование.</w:t>
      </w:r>
    </w:p>
    <w:p>
      <w:pPr>
        <w:spacing w:after="120"/>
        <w:jc w:val="both"/>
      </w:pPr>
      <w:r>
        <w:rPr>
          <w:rFonts w:ascii="Arial" w:cs="Arial" w:eastAsia="Arial" w:hAnsi="Arial"/>
          <w:sz w:val="24"/>
          <w:szCs w:val="24"/>
        </w:rPr>
        <w:t xml:space="preserve">В свете изложенного, необходимость использования добровольных свидетельских показаний близких родственников подозреваемого, обвиняемого и подсудимого является одной из составляющих реализации принципа состязательности и равноправия сторон путем наделения сторон обвинения и защиты равными процессуальными правами.</w:t>
      </w:r>
    </w:p>
    <w:p>
      <w:pPr>
        <w:spacing w:after="120"/>
        <w:jc w:val="both"/>
      </w:pPr>
      <w:r>
        <w:rPr>
          <w:rFonts w:ascii="Arial" w:cs="Arial" w:eastAsia="Arial" w:hAnsi="Arial"/>
          <w:sz w:val="24"/>
          <w:szCs w:val="24"/>
        </w:rPr>
        <w:t xml:space="preserve">Таким образом, близкие родственники подозреваемого, обвиняемого, подсудимого не должны лишаться возможности давать показания об известных им обстоятельствах по делу.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и 10 статьи 97 </w:t>
      </w:r>
      <w:hyperlink w:history="1" r:id="rIdfixtssqcwhnqvcrktuyy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7vg8vqndh_-gsdgk5azr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 7 части 4 статьи 60 Уголовно-процессуального </w:t>
      </w:r>
      <w:hyperlink w:history="1" r:id="rIdlvkklxz8mgwrp221smsh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части 5 статьи 26 </w:t>
      </w:r>
      <w:hyperlink w:history="1" r:id="rId3hq5jvt2q_hk-83j8z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не допускает допрос близких родственников подозреваемого, обвиняемого, подсудимого при наличии их желания давать показания.</w:t>
      </w:r>
    </w:p>
    <w:p>
      <w:pPr>
        <w:spacing w:after="120"/>
        <w:jc w:val="both"/>
      </w:pPr>
      <w:r>
        <w:rPr>
          <w:rFonts w:ascii="Arial" w:cs="Arial" w:eastAsia="Arial" w:hAnsi="Arial"/>
          <w:sz w:val="24"/>
          <w:szCs w:val="24"/>
        </w:rPr>
        <w:t xml:space="preserve">2. Признать пункт 7 части 4 статьи 60 Уголовно-процессуального </w:t>
      </w:r>
      <w:hyperlink w:history="1" r:id="rIdswaplmpzeanwllhvogy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части 3 статьи 99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соответствующее изменение в часть 5 статьи 60 Уголовно-процессуального </w:t>
      </w:r>
      <w:hyperlink w:history="1" r:id="rIdxx46rbidpbzzv0gfqa_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пунктом 4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l-vu7ni0oi0tq2aptav">
      <w:r>
        <w:rPr>
          <w:rFonts w:ascii="Arial" w:cs="Arial" w:eastAsia="Arial" w:hAnsi="Arial"/>
          <w:color w:val="132D3F"/>
          <w:sz w:val="16"/>
          <w:szCs w:val="16"/>
          <w:u w:val="single"/>
        </w:rPr>
        <w:t xml:space="preserve">dalil.kg/document/9683</w:t>
      </w:r>
    </w:hyperlink>
  </w:p>
  <w:p>
    <w:pPr>
      <w:spacing w:after="0" w:before="40"/>
      <w:jc w:val="center"/>
    </w:pPr>
    <w:hyperlink w:history="1" r:id="rIdvjtbrfjrbh4uuait-1v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_zycxhspwcypnfsll0v8" Type="http://schemas.openxmlformats.org/officeDocument/2006/relationships/hyperlink" Target="https://dalil.kg/document/9" TargetMode="External"/><Relationship Id="rIdhbaa6mpatzsrlgppkkzyl" Type="http://schemas.openxmlformats.org/officeDocument/2006/relationships/hyperlink" Target="https://dalil.kg/document/202913" TargetMode="External"/><Relationship Id="rId1ydek0g4p-4ozmuhml9e8" Type="http://schemas.openxmlformats.org/officeDocument/2006/relationships/hyperlink" Target="https://dalil.kg/document/203281" TargetMode="External"/><Relationship Id="rIdp0piko78cni4ficzv1jpd" Type="http://schemas.openxmlformats.org/officeDocument/2006/relationships/hyperlink" Target="https://dalil.kg/document/9" TargetMode="External"/><Relationship Id="rIdgagf9vc9t2zscjz5x00jx" Type="http://schemas.openxmlformats.org/officeDocument/2006/relationships/hyperlink" Target="https://dalil.kg/document/202913" TargetMode="External"/><Relationship Id="rIddhyiklscpso_atj5iteth" Type="http://schemas.openxmlformats.org/officeDocument/2006/relationships/hyperlink" Target="https://dalil.kg/document/9" TargetMode="External"/><Relationship Id="rIdhbpj4ee_htmdqghfcoj1n" Type="http://schemas.openxmlformats.org/officeDocument/2006/relationships/hyperlink" Target="https://dalil.kg/document/9" TargetMode="External"/><Relationship Id="rIdlbjoqbup9x2j7eizabh9s" Type="http://schemas.openxmlformats.org/officeDocument/2006/relationships/hyperlink" Target="https://dalil.kg/document/9" TargetMode="External"/><Relationship Id="rIds4dyuxooufwsldbe-r9cc" Type="http://schemas.openxmlformats.org/officeDocument/2006/relationships/hyperlink" Target="https://dalil.kg/document/202913" TargetMode="External"/><Relationship Id="rIdrnblrvmzzg2qo5ynheqox" Type="http://schemas.openxmlformats.org/officeDocument/2006/relationships/hyperlink" Target="https://dalil.kg/document/8" TargetMode="External"/><Relationship Id="rIdd8pyj8ab3fmbed0fvtchw" Type="http://schemas.openxmlformats.org/officeDocument/2006/relationships/hyperlink" Target="https://dalil.kg/document/202913" TargetMode="External"/><Relationship Id="rIdx9fz9aiztxtnsl9bm7xuj" Type="http://schemas.openxmlformats.org/officeDocument/2006/relationships/hyperlink" Target="https://dalil.kg/document/202913" TargetMode="External"/><Relationship Id="rIdlyboguaenswt2rdio2g4v" Type="http://schemas.openxmlformats.org/officeDocument/2006/relationships/hyperlink" Target="https://dalil.kg/document/9" TargetMode="External"/><Relationship Id="rIdwg5mvkerwirgk3nf9fngw" Type="http://schemas.openxmlformats.org/officeDocument/2006/relationships/hyperlink" Target="https://dalil.kg/document/9" TargetMode="External"/><Relationship Id="rIdekeughtg2fkuh_9-yj1ov" Type="http://schemas.openxmlformats.org/officeDocument/2006/relationships/hyperlink" Target="https://dalil.kg/document/202913" TargetMode="External"/><Relationship Id="rIdliktoqgxwaifv7iq5k9nv" Type="http://schemas.openxmlformats.org/officeDocument/2006/relationships/hyperlink" Target="https://dalil.kg/document/9" TargetMode="External"/><Relationship Id="rIdvbptsp5u9oaf5sppss_i3" Type="http://schemas.openxmlformats.org/officeDocument/2006/relationships/hyperlink" Target="https://dalil.kg/document/202913" TargetMode="External"/><Relationship Id="rId4x2zgkvfz9sjy1o2ho7i1" Type="http://schemas.openxmlformats.org/officeDocument/2006/relationships/hyperlink" Target="https://dalil.kg/document/9" TargetMode="External"/><Relationship Id="rId85or7ccmipplr3opj61jg" Type="http://schemas.openxmlformats.org/officeDocument/2006/relationships/hyperlink" Target="https://dalil.kg/document/9" TargetMode="External"/><Relationship Id="rIdvdp8qja0lnnnmn91kmdey" Type="http://schemas.openxmlformats.org/officeDocument/2006/relationships/hyperlink" Target="https://dalil.kg/document/9" TargetMode="External"/><Relationship Id="rIdcl8as8mahsvxstznmdabm" Type="http://schemas.openxmlformats.org/officeDocument/2006/relationships/hyperlink" Target="https://dalil.kg/document/9" TargetMode="External"/><Relationship Id="rId1shbcxcr5rcvmjnglbcl1" Type="http://schemas.openxmlformats.org/officeDocument/2006/relationships/hyperlink" Target="https://dalil.kg/document/202913" TargetMode="External"/><Relationship Id="rIdgfighiayxxzfvmcfxlo65" Type="http://schemas.openxmlformats.org/officeDocument/2006/relationships/hyperlink" Target="https://dalil.kg/document/9" TargetMode="External"/><Relationship Id="rIdzsypp1fi45jdpsz32xy_t" Type="http://schemas.openxmlformats.org/officeDocument/2006/relationships/hyperlink" Target="https://dalil.kg/document/202913" TargetMode="External"/><Relationship Id="rIdkjwy7fx-sfvq3t5ucqv9z" Type="http://schemas.openxmlformats.org/officeDocument/2006/relationships/hyperlink" Target="https://dalil.kg/document/202913" TargetMode="External"/><Relationship Id="rIdsebefidco1qvdbgbhfx3b" Type="http://schemas.openxmlformats.org/officeDocument/2006/relationships/hyperlink" Target="https://dalil.kg/document/203281" TargetMode="External"/><Relationship Id="rIdsbzx6hpkw7vo-kw4maak3" Type="http://schemas.openxmlformats.org/officeDocument/2006/relationships/hyperlink" Target="https://dalil.kg/document/9" TargetMode="External"/><Relationship Id="rId1kj2rtl7mmt049i2apjk3" Type="http://schemas.openxmlformats.org/officeDocument/2006/relationships/hyperlink" Target="https://dalil.kg/document/9" TargetMode="External"/><Relationship Id="rIdhbfxp0ieu3p0v5a5bvtyb" Type="http://schemas.openxmlformats.org/officeDocument/2006/relationships/hyperlink" Target="https://dalil.kg/document/202913" TargetMode="External"/><Relationship Id="rId3zmqopxdy4jqmdkvbyaej" Type="http://schemas.openxmlformats.org/officeDocument/2006/relationships/hyperlink" Target="https://dalil.kg/document/202913" TargetMode="External"/><Relationship Id="rIdiagk8mamjr_wg0c5ukysx" Type="http://schemas.openxmlformats.org/officeDocument/2006/relationships/hyperlink" Target="https://dalil.kg/document/9" TargetMode="External"/><Relationship Id="rIdpol9jalyq7jgjpsd15fqr" Type="http://schemas.openxmlformats.org/officeDocument/2006/relationships/hyperlink" Target="https://dalil.kg/document/9" TargetMode="External"/><Relationship Id="rIdk65o6jafapo1nyczqygg4" Type="http://schemas.openxmlformats.org/officeDocument/2006/relationships/hyperlink" Target="https://dalil.kg/document/17581" TargetMode="External"/><Relationship Id="rIdhwhphoaijvpw4_zxbukjp" Type="http://schemas.openxmlformats.org/officeDocument/2006/relationships/hyperlink" Target="https://dalil.kg/document/9" TargetMode="External"/><Relationship Id="rIdinej0-05hi1ekjhp3izfs" Type="http://schemas.openxmlformats.org/officeDocument/2006/relationships/hyperlink" Target="https://dalil.kg/document/9" TargetMode="External"/><Relationship Id="rIdtnlnbuqlpx-eat60mgjqy" Type="http://schemas.openxmlformats.org/officeDocument/2006/relationships/hyperlink" Target="https://dalil.kg/document/9" TargetMode="External"/><Relationship Id="rId-a_nrlyj08powg_dyrmve" Type="http://schemas.openxmlformats.org/officeDocument/2006/relationships/hyperlink" Target="https://dalil.kg/document/745" TargetMode="External"/><Relationship Id="rId4mis-fc-afhk46vcdfwtb" Type="http://schemas.openxmlformats.org/officeDocument/2006/relationships/hyperlink" Target="https://dalil.kg/document/745" TargetMode="External"/><Relationship Id="rIdo1bwoak6_7gjvs_s7qpkj" Type="http://schemas.openxmlformats.org/officeDocument/2006/relationships/hyperlink" Target="https://dalil.kg/document/9" TargetMode="External"/><Relationship Id="rIdvht7vpcdjmzk6ojr0lplo" Type="http://schemas.openxmlformats.org/officeDocument/2006/relationships/hyperlink" Target="https://dalil.kg/document/9" TargetMode="External"/><Relationship Id="rIdwg2omm1ruc0l0liicl-01" Type="http://schemas.openxmlformats.org/officeDocument/2006/relationships/hyperlink" Target="https://dalil.kg/document/202913" TargetMode="External"/><Relationship Id="rIdfixtssqcwhnqvcrktuyyg" Type="http://schemas.openxmlformats.org/officeDocument/2006/relationships/hyperlink" Target="https://dalil.kg/document/202913" TargetMode="External"/><Relationship Id="rId7vg8vqndh_-gsdgk5azr7" Type="http://schemas.openxmlformats.org/officeDocument/2006/relationships/hyperlink" Target="https://dalil.kg/document/203281" TargetMode="External"/><Relationship Id="rIdlvkklxz8mgwrp221smsho" Type="http://schemas.openxmlformats.org/officeDocument/2006/relationships/hyperlink" Target="https://dalil.kg/document/9" TargetMode="External"/><Relationship Id="rId3hq5jvt2q_hk-83j8zn-j" Type="http://schemas.openxmlformats.org/officeDocument/2006/relationships/hyperlink" Target="https://dalil.kg/document/202913" TargetMode="External"/><Relationship Id="rIdswaplmpzeanwllhvogyik" Type="http://schemas.openxmlformats.org/officeDocument/2006/relationships/hyperlink" Target="https://dalil.kg/document/9" TargetMode="External"/><Relationship Id="rIdxx46rbidpbzzv0gfqa_wh"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l-vu7ni0oi0tq2aptav" Type="http://schemas.openxmlformats.org/officeDocument/2006/relationships/hyperlink" Target="https://dalil.kg/document/9683" TargetMode="External"/><Relationship Id="rIdvjtbrfjrbh4uuait-1v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2026-09-25T02:25:32.685Z</dcterms:created>
  <dcterms:modified xsi:type="dcterms:W3CDTF">2026-09-25T02:25:32.685Z</dcterms:modified>
</cp:coreProperties>
</file>

<file path=docProps/custom.xml><?xml version="1.0" encoding="utf-8"?>
<Properties xmlns="http://schemas.openxmlformats.org/officeDocument/2006/custom-properties" xmlns:vt="http://schemas.openxmlformats.org/officeDocument/2006/docPropsVTypes"/>
</file>