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c-ydo_fofja7yu9fulvt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августа 2014 года № 469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w:t>
      </w:r>
    </w:p>
    <w:p>
      <w:pPr>
        <w:spacing w:after="120"/>
        <w:jc w:val="both"/>
      </w:pPr>
      <w:r>
        <w:rPr>
          <w:rFonts w:ascii="Arial" w:cs="Arial" w:eastAsia="Arial" w:hAnsi="Arial"/>
          <w:sz w:val="24"/>
          <w:szCs w:val="24"/>
        </w:rPr>
        <w:t xml:space="preserve">на 2015 год и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Прогноза социально-экономического развития Кыргызской Республики на 2015 год является определение ориентиров и мер социально-экономической политики для органов государственной власти, органов местного самоуправления, хозяйствующих субъектов путем уточнения и конкретизации тенденций и предпосылок, выявления имеющихся ресурсов и возможных факторов риска для развития экономики страны, и являются основой для разработки проекта республиканского бюджета на 2015 год.</w:t>
      </w:r>
    </w:p>
    <w:p>
      <w:pPr>
        <w:spacing w:after="120"/>
        <w:jc w:val="both"/>
      </w:pPr>
      <w:r>
        <w:rPr>
          <w:rFonts w:ascii="Arial" w:cs="Arial" w:eastAsia="Arial" w:hAnsi="Arial"/>
          <w:sz w:val="24"/>
          <w:szCs w:val="24"/>
        </w:rPr>
        <w:t xml:space="preserve">Данный Прогноз подготовлен на основе целевых ориентиров, принятых Национальной стратегией устойчивого развития Кыргызской Республики на период 2013-2017 годы (Указ Президента Кыргызской Республики от 21 января 2013 года №11) и Программой Правительства по переходу Кыргызской Республики к устойчивому развитию (2013-2017 годы) (постановление Жогорку Кенеша Кыргызской Республики от 18 декабря 2013 года №3694-V) и заложенных условий реализации 77 проектов национального масштаба для развития стратегических отраслей, стабильного развития отраслей экономики в отсутствии глубоких экономических шоков и внутренних политических потрясений.</w:t>
      </w:r>
    </w:p>
    <w:p>
      <w:pPr>
        <w:spacing w:after="120"/>
        <w:jc w:val="both"/>
      </w:pPr>
      <w:r>
        <w:rPr>
          <w:rFonts w:ascii="Arial" w:cs="Arial" w:eastAsia="Arial" w:hAnsi="Arial"/>
          <w:sz w:val="24"/>
          <w:szCs w:val="24"/>
        </w:rPr>
        <w:t xml:space="preserve">Освещены анализ тенденций развития экономики по предварительным итогам 2013 года, текущая экономическая ситуация по итогам социально-экономического развития Кыргызской Республики за I полугодие 2014 года и оценки ожидаемых макроэкономических показателей в 2014 году. Определены основные направления развития ключевых секторов экономики на 2015 год, включая детализированное описание их прогнозных значений, описаны перспективы развития экономики страны в 2016-2017 годах, построенные на базе официальных прогнозов отраслевых министерств, ведомств и текущих тенденций. Обозначены внешние, внутренние факторы и возможные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Обзор макроэкономической ситуации за 2013 год и</w:t>
      </w:r>
    </w:p>
    <w:p>
      <w:pPr>
        <w:spacing w:after="120"/>
        <w:jc w:val="both"/>
      </w:pPr>
      <w:r>
        <w:rPr>
          <w:rFonts w:ascii="Arial" w:cs="Arial" w:eastAsia="Arial" w:hAnsi="Arial"/>
          <w:sz w:val="24"/>
          <w:szCs w:val="24"/>
        </w:rPr>
        <w:t xml:space="preserve">итогов социально-экономического развития Кыргызской Республики</w:t>
      </w:r>
    </w:p>
    <w:p>
      <w:pPr>
        <w:spacing w:after="120"/>
        <w:jc w:val="both"/>
      </w:pPr>
      <w:r>
        <w:rPr>
          <w:rFonts w:ascii="Arial" w:cs="Arial" w:eastAsia="Arial" w:hAnsi="Arial"/>
          <w:sz w:val="24"/>
          <w:szCs w:val="24"/>
        </w:rPr>
        <w:t xml:space="preserve">за I полугодие 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Краткий обзор макроэкономической ситуации за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благодаря проведению скоординированной макроэкономической и денежно-кредитной политики, обеспечена макроэкономическая, финансовая и социальная стабильность в стране.</w:t>
      </w:r>
    </w:p>
    <w:p>
      <w:pPr>
        <w:spacing w:after="120"/>
        <w:jc w:val="both"/>
      </w:pPr>
      <w:r>
        <w:rPr>
          <w:rFonts w:ascii="Arial" w:cs="Arial" w:eastAsia="Arial" w:hAnsi="Arial"/>
          <w:sz w:val="24"/>
          <w:szCs w:val="24"/>
        </w:rPr>
        <w:t xml:space="preserve">По предварительной оценке НСК, по итогам 2013 года реальный рост экономики составил 10,5 % против реального снижения на 0,1 % в 2012 году. Целевой показатель экономического роста, который прогнозировался в начале года на уровне 7,8 %, превышен на 2,7 %. Объем валового внутреннего продукта (ВВП) сложился в сумме 350 млрд сомов. Без учета предприятий по разработке месторождения Кумтор, реальный прирост ВВП составил 5,8 %, за 2012 год, аналогичный показатель составлял 6,3 %. Основной причиной экономического роста стало значительное увеличение промышленного производства, в частности, увеличение объемов производства золота на предприятиях по разработке месторождения Кумтор. В расчете на душу населения объем ВВП составил 64,1 тыс. сомов и в сравнении с 2012 годом возрос на 8,3 %.</w:t>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Структура и темпы роста по секторам, формирующих ВВП</w:t>
      </w:r>
      <w:hyperlink w:history="1" r:id="rIdhj5qnlkme2p638vrk1bl5">
        <w:r>
          <w:rPr>
            <w:rFonts w:ascii="Arial" w:cs="Arial" w:eastAsia="Arial" w:hAnsi="Arial"/>
            <w:color w:val="1D4ED8"/>
            <w:sz w:val="24"/>
            <w:szCs w:val="24"/>
            <w:u w:val="single"/>
          </w:rPr>
          <w:t xml:space="preserve">[1]</w:t>
        </w:r>
      </w:hyperlink>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1221"/>
        <w:gridCol w:w="904"/>
        <w:gridCol w:w="726"/>
        <w:gridCol w:w="995"/>
        <w:gridCol w:w="1221"/>
        <w:gridCol w:w="958"/>
        <w:gridCol w:w="958"/>
        <w:gridCol w:w="1138"/>
      </w:tblGrid>
      <w:tr>
        <w:tc>
          <w:tcPr>
            <w:tcW w:type="dxa" w:w="20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310471,3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350028,4</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r>
      <w:tr>
        <w:tc>
          <w:tcPr>
            <w:tcW w:type="dxa" w:w="20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рыбоводство</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51706,5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w:t>
            </w:r>
          </w:p>
        </w:tc>
        <w:tc>
          <w:tcPr>
            <w:tcW w:type="dxa" w:w="9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53091,5</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w:t>
            </w:r>
          </w:p>
        </w:tc>
        <w:tc>
          <w:tcPr>
            <w:tcW w:type="dxa" w:w="11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0,48</w:t>
            </w:r>
          </w:p>
        </w:tc>
      </w:tr>
      <w:tr>
        <w:tc>
          <w:tcPr>
            <w:tcW w:type="dxa" w:w="20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48935,7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79,7</w:t>
            </w:r>
          </w:p>
        </w:tc>
        <w:tc>
          <w:tcPr>
            <w:tcW w:type="dxa" w:w="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w:t>
            </w:r>
          </w:p>
        </w:tc>
        <w:tc>
          <w:tcPr>
            <w:tcW w:type="dxa" w:w="9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-4,58</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56480,3</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134,4</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w:t>
            </w:r>
          </w:p>
        </w:tc>
        <w:tc>
          <w:tcPr>
            <w:tcW w:type="dxa" w:w="11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5,42</w:t>
            </w:r>
          </w:p>
        </w:tc>
      </w:tr>
      <w:tr>
        <w:tc>
          <w:tcPr>
            <w:tcW w:type="dxa" w:w="20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20166,3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129,7</w:t>
            </w:r>
          </w:p>
        </w:tc>
        <w:tc>
          <w:tcPr>
            <w:tcW w:type="dxa" w:w="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9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23644,5</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11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r>
      <w:tr>
        <w:tc>
          <w:tcPr>
            <w:tcW w:type="dxa" w:w="20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148914,8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9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166575,2</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47,6</w:t>
            </w:r>
          </w:p>
        </w:tc>
        <w:tc>
          <w:tcPr>
            <w:tcW w:type="dxa" w:w="11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w:t>
            </w:r>
          </w:p>
        </w:tc>
      </w:tr>
      <w:tr>
        <w:tc>
          <w:tcPr>
            <w:tcW w:type="dxa" w:w="20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40748,0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w:t>
            </w:r>
          </w:p>
        </w:tc>
        <w:tc>
          <w:tcPr>
            <w:tcW w:type="dxa" w:w="9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50236,9</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1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Экономический рост обеспечен всеми секторами экономики, при этом наибольший положительный вклад в прирост ВВП внесен промышленностью (5,4 п.п.) и сферой услуг (2,4 п.п.), где объемы производства реально возросли, на 34,4 % и 5,1 % соответственно. Высокие темпы прироста отмечены также в сельском хозяйстве – на 2,9 % и строительстве – на 12,4 %.</w:t>
      </w:r>
    </w:p>
    <w:p>
      <w:pPr>
        <w:spacing w:after="120"/>
        <w:jc w:val="both"/>
      </w:pPr>
      <w:r>
        <w:rPr>
          <w:rFonts w:ascii="Arial" w:cs="Arial" w:eastAsia="Arial" w:hAnsi="Arial"/>
          <w:sz w:val="24"/>
          <w:szCs w:val="24"/>
        </w:rPr>
        <w:t xml:space="preserve">Росту объемов отраслей экономики способствовали:</w:t>
      </w:r>
    </w:p>
    <w:p>
      <w:pPr>
        <w:spacing w:after="120"/>
        <w:jc w:val="both"/>
      </w:pPr>
      <w:r>
        <w:rPr>
          <w:rFonts w:ascii="Arial" w:cs="Arial" w:eastAsia="Arial" w:hAnsi="Arial"/>
          <w:sz w:val="24"/>
          <w:szCs w:val="24"/>
        </w:rPr>
        <w:t xml:space="preserve">- наращивание производства на месторождении Кумтор после ремонта;</w:t>
      </w:r>
    </w:p>
    <w:p>
      <w:pPr>
        <w:spacing w:after="120"/>
        <w:jc w:val="both"/>
      </w:pPr>
      <w:r>
        <w:rPr>
          <w:rFonts w:ascii="Arial" w:cs="Arial" w:eastAsia="Arial" w:hAnsi="Arial"/>
          <w:sz w:val="24"/>
          <w:szCs w:val="24"/>
        </w:rPr>
        <w:t xml:space="preserve">- наступление благоприятных природно-климатических условий для сельского хозяйства;</w:t>
      </w:r>
    </w:p>
    <w:p>
      <w:pPr>
        <w:spacing w:after="120"/>
        <w:jc w:val="both"/>
      </w:pPr>
      <w:r>
        <w:rPr>
          <w:rFonts w:ascii="Arial" w:cs="Arial" w:eastAsia="Arial" w:hAnsi="Arial"/>
          <w:sz w:val="24"/>
          <w:szCs w:val="24"/>
        </w:rPr>
        <w:t xml:space="preserve">- предоставление льготных кредитов фермерам (выдано пятью банками кредитов на общую сумму 3,1 млрд сомов), в лизинг сельскохозяйственной техники и выделение ГСМ за счет материальных резервов;</w:t>
      </w:r>
    </w:p>
    <w:p>
      <w:pPr>
        <w:spacing w:after="120"/>
        <w:jc w:val="both"/>
      </w:pPr>
      <w:r>
        <w:rPr>
          <w:rFonts w:ascii="Arial" w:cs="Arial" w:eastAsia="Arial" w:hAnsi="Arial"/>
          <w:sz w:val="24"/>
          <w:szCs w:val="24"/>
        </w:rPr>
        <w:t xml:space="preserve">- расширение внутреннего спроса и сохранение в течение года благоприятной конъюнктуры на экспортную продукцию;</w:t>
      </w:r>
    </w:p>
    <w:p>
      <w:pPr>
        <w:spacing w:after="120"/>
        <w:jc w:val="both"/>
      </w:pPr>
      <w:r>
        <w:rPr>
          <w:rFonts w:ascii="Arial" w:cs="Arial" w:eastAsia="Arial" w:hAnsi="Arial"/>
          <w:sz w:val="24"/>
          <w:szCs w:val="24"/>
        </w:rPr>
        <w:t xml:space="preserve">- создание благоприятных условий ведения бизнеса через сокращение числа проверок, количества лицензий и других мер государственного регулирования;</w:t>
      </w:r>
    </w:p>
    <w:p>
      <w:pPr>
        <w:spacing w:after="120"/>
        <w:jc w:val="both"/>
      </w:pPr>
      <w:r>
        <w:rPr>
          <w:rFonts w:ascii="Arial" w:cs="Arial" w:eastAsia="Arial" w:hAnsi="Arial"/>
          <w:sz w:val="24"/>
          <w:szCs w:val="24"/>
        </w:rPr>
        <w:t xml:space="preserve">- рост потребительских кредитов в 2013 году на 28,9 % по сравнению с 2012 годом;</w:t>
      </w:r>
    </w:p>
    <w:p>
      <w:pPr>
        <w:spacing w:after="120"/>
        <w:jc w:val="both"/>
      </w:pPr>
      <w:r>
        <w:rPr>
          <w:rFonts w:ascii="Arial" w:cs="Arial" w:eastAsia="Arial" w:hAnsi="Arial"/>
          <w:sz w:val="24"/>
          <w:szCs w:val="24"/>
        </w:rPr>
        <w:t xml:space="preserve">- рост кредитов по экономике на 36,1 % по сравнению с 2012 годом;</w:t>
      </w:r>
    </w:p>
    <w:p>
      <w:pPr>
        <w:spacing w:after="120"/>
        <w:jc w:val="both"/>
      </w:pPr>
      <w:r>
        <w:rPr>
          <w:rFonts w:ascii="Arial" w:cs="Arial" w:eastAsia="Arial" w:hAnsi="Arial"/>
          <w:sz w:val="24"/>
          <w:szCs w:val="24"/>
        </w:rPr>
        <w:t xml:space="preserve">- увеличение чистого притока денежных переводов физических лиц в 2013 году на 7,9 %, объем которых составил 1908,2 млн долл. США.</w:t>
      </w:r>
    </w:p>
    <w:p>
      <w:pPr>
        <w:spacing w:after="120"/>
        <w:jc w:val="both"/>
      </w:pPr>
      <w:r>
        <w:rPr>
          <w:rFonts w:ascii="Arial" w:cs="Arial" w:eastAsia="Arial" w:hAnsi="Arial"/>
          <w:sz w:val="24"/>
          <w:szCs w:val="24"/>
        </w:rPr>
        <w:t xml:space="preserve">Рост в отраслях экономики сопровождается улучшением социальных показателей страны. Растут доходы населения и отмечено улучшение ситуации на рынке труда. Было создано 57,5 тыс. рабочих мест. Правительством проведен ряд мероприятий по трудоустройству безработных граждан как внутри государства, так и за его пределами. В 2013 году трудоустроено 44,2 тыс. чел., что на 2,7 % больше чем в 2012 году (43,0 тыс. чел.). По республике в целом трудоустроено на вакантные места 39,7 тыс. чел. Уровень общей безработицы за 2013 год составил 8,3 %</w:t>
      </w:r>
      <w:hyperlink w:history="1" r:id="rIdr0ecn1ljm_lgdiowdi2ke">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номинальная заработная плата на одного работника в 2013 году составила 11341,0 сомов и по сравнению с 2012 годом увеличилась на 5,7 %. Исходя из официального курса валют, установленного НБКР, среднемесячная заработная плата одного работника в 2013 году составила 234,1 долл. США.</w:t>
      </w:r>
    </w:p>
    <w:p>
      <w:pPr>
        <w:spacing w:after="120"/>
        <w:jc w:val="both"/>
      </w:pPr>
      <w:r>
        <w:rPr>
          <w:rFonts w:ascii="Arial" w:cs="Arial" w:eastAsia="Arial" w:hAnsi="Arial"/>
          <w:sz w:val="24"/>
          <w:szCs w:val="24"/>
        </w:rPr>
        <w:t xml:space="preserve">Среднегодовая величина прожиточного минимума в 2013 году составила 4599,2 сома и по сравнению с 2012 годом возросла на 5,9 %. Средний размер заработной платы почти в 2,5 раза покрывает величину прожиточного минимума.</w:t>
      </w:r>
    </w:p>
    <w:p>
      <w:pPr>
        <w:spacing w:after="120"/>
        <w:jc w:val="both"/>
      </w:pPr>
      <w:r>
        <w:rPr>
          <w:rFonts w:ascii="Arial" w:cs="Arial" w:eastAsia="Arial" w:hAnsi="Arial"/>
          <w:sz w:val="24"/>
          <w:szCs w:val="24"/>
        </w:rPr>
        <w:t xml:space="preserve">В целом по республике, по состоянию на 1 января 2014 года, средний размер ежемесячных пособий малообеспеченным семьям (ЕПМС) увеличился на 5,1 % и составил 487,4 сома. С 1 ноября 2013 года размер Гарантированного минимального дохода повысился с 580 до 640 сомов (на 10,3 %). Средний размер ежемесячных социальных пособий (ЕСП) увеличился на 0,1 % и составил 2405,7 сома.</w:t>
      </w:r>
    </w:p>
    <w:p>
      <w:pPr>
        <w:spacing w:after="120"/>
        <w:jc w:val="both"/>
      </w:pPr>
      <w:r>
        <w:rPr>
          <w:rFonts w:ascii="Arial" w:cs="Arial" w:eastAsia="Arial" w:hAnsi="Arial"/>
          <w:sz w:val="24"/>
          <w:szCs w:val="24"/>
        </w:rPr>
        <w:t xml:space="preserve">По итогам октябрьского перерасчета средний размер месячной пенсии по состоянию на 1 января 2014 года составляет 4432,0 сомов и по сравнению с 2009 годом возрос в 2,1 раза. Соотношение среднего размера пенсии и прожиточного минимума пенсионера (ПМП) возросло с 72,8 % до 108,2 %.</w:t>
      </w:r>
    </w:p>
    <w:p>
      <w:pPr>
        <w:spacing w:after="120"/>
        <w:jc w:val="both"/>
      </w:pPr>
      <w:r>
        <w:rPr>
          <w:rFonts w:ascii="Arial" w:cs="Arial" w:eastAsia="Arial" w:hAnsi="Arial"/>
          <w:sz w:val="24"/>
          <w:szCs w:val="24"/>
        </w:rPr>
        <w:t xml:space="preserve">Таким образом, поддержана тенденция снижения количества лиц, получающих пенсии ниже прожиточного минимума пенсионера. Если в 2009 году количество лиц пенсионного возраста, получавших пенсию ниже прожиточного минимума пенсионера, составляло 452,9 тыс. чел. (86,6 % от общего количества), то на конец 2013 года это количество составило 306,3 тыс. чел. (52,7 % от общего количества).</w:t>
      </w:r>
    </w:p>
    <w:p>
      <w:pPr>
        <w:spacing w:after="120"/>
        <w:jc w:val="both"/>
      </w:pPr>
      <w:r>
        <w:rPr>
          <w:rFonts w:ascii="Arial" w:cs="Arial" w:eastAsia="Arial" w:hAnsi="Arial"/>
          <w:sz w:val="24"/>
          <w:szCs w:val="24"/>
        </w:rPr>
        <w:t xml:space="preserve">В 2013 году удельный вес расходов из государственного бюджета на социальную сферу (59718,4 млн сомов) составил 57,3 %, всего направлено на 5045,0 млн сомов больше, чем за 2012 год.</w:t>
      </w:r>
    </w:p>
    <w:p>
      <w:pPr>
        <w:spacing w:after="120"/>
        <w:jc w:val="both"/>
      </w:pPr>
      <w:r>
        <w:rPr>
          <w:rFonts w:ascii="Arial" w:cs="Arial" w:eastAsia="Arial" w:hAnsi="Arial"/>
          <w:sz w:val="24"/>
          <w:szCs w:val="24"/>
        </w:rPr>
        <w:t xml:space="preserve">Объем доходов государственного бюджета за 2013 год, с учетом продажи нефинансовых активов, составил 101 940,9 млн сомов, или 117,2 % к 2012 году, доля к ВВП – 29,1 %. Отрицательный финансовый баланс государственного бюджета</w:t>
      </w:r>
      <w:hyperlink w:history="1" r:id="rId6ab6yaiggxrnhwg1dmhqn">
        <w:r>
          <w:rPr>
            <w:rFonts w:ascii="Arial" w:cs="Arial" w:eastAsia="Arial" w:hAnsi="Arial"/>
            <w:color w:val="1D4ED8"/>
            <w:sz w:val="24"/>
            <w:szCs w:val="24"/>
            <w:u w:val="single"/>
          </w:rPr>
          <w:t xml:space="preserve">[3]</w:t>
        </w:r>
      </w:hyperlink>
      <w:r>
        <w:rPr>
          <w:rFonts w:ascii="Arial" w:cs="Arial" w:eastAsia="Arial" w:hAnsi="Arial"/>
          <w:sz w:val="24"/>
          <w:szCs w:val="24"/>
        </w:rPr>
        <w:t xml:space="preserve"> в 2013 году составил по отчетным данным 2330,5 млн сомов.</w:t>
      </w:r>
    </w:p>
    <w:p>
      <w:pPr>
        <w:spacing w:after="120"/>
        <w:jc w:val="both"/>
      </w:pPr>
      <w:r>
        <w:rPr>
          <w:rFonts w:ascii="Arial" w:cs="Arial" w:eastAsia="Arial" w:hAnsi="Arial"/>
          <w:sz w:val="24"/>
          <w:szCs w:val="24"/>
        </w:rPr>
        <w:t xml:space="preserve">В соответствии с установленными параметрами на 2013 год обеспечено полное и своевременное финансирование социальных гарантий государства.</w:t>
      </w:r>
    </w:p>
    <w:p>
      <w:pPr>
        <w:spacing w:after="120"/>
        <w:jc w:val="both"/>
      </w:pPr>
      <w:r>
        <w:rPr>
          <w:rFonts w:ascii="Arial" w:cs="Arial" w:eastAsia="Arial" w:hAnsi="Arial"/>
          <w:sz w:val="24"/>
          <w:szCs w:val="24"/>
        </w:rPr>
        <w:t xml:space="preserve">В 2013 году проведение Правительством и НБКР скоординированной макроэкономической и денежно-кредитной политики позволило удержать уровень годовой инфляции на заявленном уровне, не превышающем однозначного показателя. Стабилизация цен на мировых рынках продовольствия, увеличение предложения на внутреннем рынке сельскохозяйственной продукции вкупе с проводимой НБКР денежно-кредитной политикой, направленной на ограничение избыточного предложения денег, обусловили низкие темпы роста инфляции в 2013 году. Уровень инфляции в 2013 году к декабрю 2012 года составил 4,0 %, а его среднегодовое значение за этот период - 6,6 %.</w:t>
      </w:r>
    </w:p>
    <w:p>
      <w:pPr>
        <w:spacing w:after="120"/>
        <w:jc w:val="both"/>
      </w:pPr>
      <w:r>
        <w:rPr>
          <w:rFonts w:ascii="Arial" w:cs="Arial" w:eastAsia="Arial" w:hAnsi="Arial"/>
          <w:sz w:val="24"/>
          <w:szCs w:val="24"/>
        </w:rPr>
        <w:t xml:space="preserve">Финансовая устойчивость страны обеспечивается накоплениями в международных резервах, которые по состоянию на 31 декабря 2013 года составили 2 238,4 млн долл. США, увеличившись с начала 2013 года на 171,8 млн долл. США, или на 8,3 %. Объем валовых международных резервов на конец 2013 года покрывает 3,7-месячный импорт товаров и услуг.</w:t>
      </w:r>
    </w:p>
    <w:p>
      <w:pPr>
        <w:spacing w:after="120"/>
        <w:jc w:val="both"/>
      </w:pPr>
      <w:r>
        <w:rPr>
          <w:rFonts w:ascii="Arial" w:cs="Arial" w:eastAsia="Arial" w:hAnsi="Arial"/>
          <w:sz w:val="24"/>
          <w:szCs w:val="24"/>
        </w:rPr>
        <w:t xml:space="preserve">Отмечается позитивная динамика развития банковского сектора, что сопровождается увеличением суммарных активов банковской системы, которые с начала 2013 года выросли на 27 % и составили 111,1 млрд сомов. Общая депозитная база банковского сектора составила 63,8 млрд сомов, увеличившись с начала года на 32,7 %, в том числе депозиты физических лиц составили 28,4 млрд сомов, прирост с начала года на 36,3 %.</w:t>
      </w:r>
    </w:p>
    <w:p>
      <w:pPr>
        <w:spacing w:after="120"/>
        <w:jc w:val="both"/>
      </w:pPr>
      <w:r>
        <w:rPr>
          <w:rFonts w:ascii="Arial" w:cs="Arial" w:eastAsia="Arial" w:hAnsi="Arial"/>
          <w:sz w:val="24"/>
          <w:szCs w:val="24"/>
        </w:rPr>
        <w:t xml:space="preserve">Объем кредитного портфеля банковского сектора по состоянию на 31 декабря 2013 года составил 54,0 млрд сомов, увеличившись с начала года на 34,5 %.</w:t>
      </w:r>
    </w:p>
    <w:p>
      <w:pPr>
        <w:spacing w:after="120"/>
        <w:jc w:val="both"/>
      </w:pPr>
      <w:r>
        <w:rPr>
          <w:rFonts w:ascii="Arial" w:cs="Arial" w:eastAsia="Arial" w:hAnsi="Arial"/>
          <w:sz w:val="24"/>
          <w:szCs w:val="24"/>
        </w:rPr>
        <w:t xml:space="preserve">Кредит в экономику</w:t>
      </w:r>
      <w:hyperlink w:history="1" r:id="rIdntyngzrykca72sop0culy">
        <w:r>
          <w:rPr>
            <w:rFonts w:ascii="Arial" w:cs="Arial" w:eastAsia="Arial" w:hAnsi="Arial"/>
            <w:color w:val="1D4ED8"/>
            <w:sz w:val="24"/>
            <w:szCs w:val="24"/>
            <w:u w:val="single"/>
          </w:rPr>
          <w:t xml:space="preserve">[4]</w:t>
        </w:r>
      </w:hyperlink>
      <w:r>
        <w:rPr>
          <w:rFonts w:ascii="Arial" w:cs="Arial" w:eastAsia="Arial" w:hAnsi="Arial"/>
          <w:sz w:val="24"/>
          <w:szCs w:val="24"/>
        </w:rPr>
        <w:t xml:space="preserve"> в 2013 году составил 57,2 млрд сомов, увеличившись с начала 2013 года на 36,1 % (в 2012 году – 26,2 %).</w:t>
      </w:r>
    </w:p>
    <w:p>
      <w:pPr>
        <w:spacing w:after="120"/>
        <w:jc w:val="both"/>
      </w:pPr>
      <w:r>
        <w:rPr>
          <w:rFonts w:ascii="Arial" w:cs="Arial" w:eastAsia="Arial" w:hAnsi="Arial"/>
          <w:sz w:val="24"/>
          <w:szCs w:val="24"/>
        </w:rPr>
        <w:t xml:space="preserve">Уровень капитализации экономики возрос с 25,5 % в 2011 году до 35,5 % в 2013 году, в основном, за счет увеличения объемов иностранных кредитов (в 2,2 раза), средств населения (в 1,4 раза), средств предприятий и организаций (в 1,6 раза).</w:t>
      </w:r>
    </w:p>
    <w:p>
      <w:pPr>
        <w:spacing w:after="120"/>
        <w:jc w:val="both"/>
      </w:pPr>
      <w:r>
        <w:rPr>
          <w:rFonts w:ascii="Arial" w:cs="Arial" w:eastAsia="Arial" w:hAnsi="Arial"/>
          <w:sz w:val="24"/>
          <w:szCs w:val="24"/>
        </w:rPr>
        <w:t xml:space="preserve">В 2013 году уровень потребления населения оставался высоким. Доля частного потребления составила 95,1 % (табл. 2) за счет роста среднемесячной номинальной заработной платы на 4,9 %, увеличения притока денежных переводов физических лиц на 7,9 %, а также ускорения темпов потребительского кредитования (рост на 28,9 %). Удельный вес государственного потребления в структуре использования ВВП в этот период снизился с 20,1 % до 18,1 %.</w:t>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ВВП по использованию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31"/>
        <w:gridCol w:w="1865"/>
        <w:gridCol w:w="1482"/>
      </w:tblGrid>
      <w:tr>
        <w:tc>
          <w:tcPr>
            <w:tcW w:type="dxa" w:w="683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Показатели</w:t>
            </w:r>
          </w:p>
        </w:tc>
        <w:tc>
          <w:tcPr>
            <w:tcW w:type="dxa" w:w="186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14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r>
      <w:tr>
        <w:tc>
          <w:tcPr>
            <w:vMerge w:val="continue"/>
            <w:tcBorders>
              <w:top w:val="single" w:color="CBBF9E" w:sz="4"/>
              <w:left w:val="single" w:color="CBBF9E" w:sz="4"/>
              <w:bottom w:val="single" w:color="CBBF9E" w:sz="4"/>
              <w:right w:val="single" w:color="CBBF9E" w:sz="4"/>
            </w:tcBorders>
          </w:tcP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факт.</w:t>
            </w:r>
          </w:p>
        </w:tc>
        <w:tc>
          <w:tcPr>
            <w:tcW w:type="dxa" w:w="1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Потребление</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115,9</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113,2</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Государственное</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Частное</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95,8</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95,1</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Валовые инвестиции</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35,5</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государственные инвестиции</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них ПГИ (внешние)</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частные инвестиции</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29,2</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Экспорт (товары и услуги)</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44,4</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47,2</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Импорт (товары и  услуги)</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95,3</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95,9</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Чистый экспорт</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-50,9</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Что касается показателя открытости экономики, то он понизился со 116,0 % в 2012 году до 112,2 % в 2013 году. Объем внешнеторгового оборота увеличился с номинальным превышением уровня 2012 года на 6,6 %, составив в 2013 году 7996,1 млн долл. США.</w:t>
      </w:r>
    </w:p>
    <w:p>
      <w:pPr>
        <w:spacing w:after="120"/>
        <w:jc w:val="both"/>
      </w:pPr>
      <w:r>
        <w:rPr>
          <w:rFonts w:ascii="Arial" w:cs="Arial" w:eastAsia="Arial" w:hAnsi="Arial"/>
          <w:sz w:val="24"/>
          <w:szCs w:val="24"/>
        </w:rPr>
        <w:t xml:space="preserve">В целом следует отметить устойчивые тенденции роста отрицательного сальдо торгового баланса за эти годы. Это обусловлено возрастающими потребностями экономики в импорте инвестиционных, промежуточных товаров и сырья, удельный вес которых в совокупности составляет около 45,0 %, потребительских товаров – 33 %. Вместе с тем, экспортный потенциал страны продолжает оставаться невысоким, а структура экспорта не диверсифицирована. Экспорт в 2013 году представлен 7-9 базовыми позициями, из которых 36,5 % - золото.</w:t>
      </w:r>
    </w:p>
    <w:p>
      <w:pPr>
        <w:spacing w:after="120"/>
        <w:jc w:val="both"/>
      </w:pPr>
      <w:r>
        <w:rPr>
          <w:rFonts w:ascii="Arial" w:cs="Arial" w:eastAsia="Arial" w:hAnsi="Arial"/>
          <w:sz w:val="24"/>
          <w:szCs w:val="24"/>
        </w:rPr>
        <w:t xml:space="preserve">Из-за опережающей динамики роста импорта над экспортом, отрицательное сальдо чистого экспорта товаров и услуг к ВВП увеличилось с  (-)27,1 % в 2011 году до (-)48,7 % в 2013 году, при этом имеет тенденцию к снижению по отношению к 2012 году.</w:t>
      </w:r>
    </w:p>
    <w:p>
      <w:pPr>
        <w:spacing w:after="120"/>
        <w:jc w:val="both"/>
      </w:pPr>
      <w:r>
        <w:rPr>
          <w:rFonts w:ascii="Arial" w:cs="Arial" w:eastAsia="Arial" w:hAnsi="Arial"/>
          <w:sz w:val="24"/>
          <w:szCs w:val="24"/>
        </w:rPr>
        <w:t xml:space="preserve">Правительством в рамках реализации Национальной стратегии устойчивого развития в 2013 году реализован детальный План мероприятий на 2013 год (утвержден постановлением Правительства от 5 марта 2013 года № 111), определяющий конкретный перечень мероприятий по исполнению НСУР. План включал 149 приоритетных задач по стабилизации ситуации в экономике страны и пути их решения, а также инвестиционные проекты, ориентированные на развитие экономики страны в 2013 году.</w:t>
      </w:r>
    </w:p>
    <w:p>
      <w:pPr>
        <w:spacing w:after="120"/>
        <w:jc w:val="both"/>
      </w:pPr>
      <w:r>
        <w:rPr>
          <w:rFonts w:ascii="Arial" w:cs="Arial" w:eastAsia="Arial" w:hAnsi="Arial"/>
          <w:sz w:val="24"/>
          <w:szCs w:val="24"/>
        </w:rPr>
        <w:t xml:space="preserve">Основным фактором повышения экономической активности в 2013 году стала реализация крупных инвестиционных проектов, освоенных на сумму 32 млрд сомов, такие, как: реабилитация автодороги Бишкек-Нарын-Торугарт (9-272 км, 272-365 км, 365-539 км), реабилитация автодороги Ош-Баткен-Исфана (10-28 км, 108-123 км, 220-232 км, 232-248 км, 248-360 км), проект по модернизации национальной системы Организации воздушного движения (ОВД), модернизация и приобретение навигационного оборудования и технических средств для аэропортов «Манас», «Ош», «Иссык-Куль», модернизация линий электропередачи на юге Кыргызстана (завершение строительства ЛЭП 500 кВ «Датка», строительство новых линий электропередач 220 кВ и реконструкция 5-ти существующих ПС-220 кВ), начало строительства Верхне-Нарынского каскада ГЭС, завершение строительства НПЗ «Чайна Петроль Компани «Джунда», а также направленные капитальные вложения на разработку месторождений золота Кумтор, Бозымчак, Талды-Булак Левобережный, Ширальджин.</w:t>
      </w:r>
    </w:p>
    <w:p>
      <w:pPr>
        <w:spacing w:after="120"/>
        <w:jc w:val="both"/>
      </w:pPr>
      <w:r>
        <w:rPr>
          <w:rFonts w:ascii="Arial" w:cs="Arial" w:eastAsia="Arial" w:hAnsi="Arial"/>
          <w:sz w:val="24"/>
          <w:szCs w:val="24"/>
        </w:rPr>
        <w:t xml:space="preserve">В 2013 году основные действия были сфокусированы на снятии барьеров и улучшении деловой среды для бизнеса, формировании и принятии новых нормативных правовых актов для беспрепятственного развития бизнеса и притока иностранного капитала в страну. В октябре 2013 года принят в новой редакции Закон Кыргызской Республики «О лицензионно-разрешительной системе в Кыргызской Республике», содержащий исчерпывающий перечень лицензий и разрешений. В настоящее время в стране предусмотрен 101 вид разрешительных документов, в то время как в 2008 году их количество составляло 518. Введена норма «молчание–знак согласия», регламентирующая действия государственных органов-лицензиаров.</w:t>
      </w:r>
    </w:p>
    <w:p>
      <w:pPr>
        <w:spacing w:after="120"/>
        <w:jc w:val="both"/>
      </w:pPr>
      <w:r>
        <w:rPr>
          <w:rFonts w:ascii="Arial" w:cs="Arial" w:eastAsia="Arial" w:hAnsi="Arial"/>
          <w:sz w:val="24"/>
          <w:szCs w:val="24"/>
        </w:rPr>
        <w:t xml:space="preserve">В целях совершенствования фискальной политики:</w:t>
      </w:r>
    </w:p>
    <w:p>
      <w:pPr>
        <w:spacing w:after="120"/>
        <w:jc w:val="both"/>
      </w:pPr>
      <w:r>
        <w:rPr>
          <w:rFonts w:ascii="Arial" w:cs="Arial" w:eastAsia="Arial" w:hAnsi="Arial"/>
          <w:sz w:val="24"/>
          <w:szCs w:val="24"/>
        </w:rPr>
        <w:t xml:space="preserve">- принят Закон Кыргызской Республики «О внесении дополнений и изменений в Налоговый кодекс Кыргызской Республики» от 20 февраля 2013 года № 25, предусматривающий передачу органам местного самоуправления функций администрирования (ведение учета, сбор, взыскание и контроль) местных налогов и сборов, а также отдельных общегосударственных налогов;</w:t>
      </w:r>
    </w:p>
    <w:p>
      <w:pPr>
        <w:spacing w:after="120"/>
        <w:jc w:val="both"/>
      </w:pPr>
      <w:r>
        <w:rPr>
          <w:rFonts w:ascii="Arial" w:cs="Arial" w:eastAsia="Arial" w:hAnsi="Arial"/>
          <w:sz w:val="24"/>
          <w:szCs w:val="24"/>
        </w:rPr>
        <w:t xml:space="preserve">- принят Закон Кыргызской Республики «О внесении изменений и дополнений в некоторые законодательные акты Кыргызской Республики» от 15 ноября 2013 года № 201 – об освобождении от уплаты НДС поставок товаров, работ, услуг, осуществляемых частными партнерами и (или) проектной компанией в процессе реализации соглашений о государственно-частном партнерстве;</w:t>
      </w:r>
    </w:p>
    <w:p>
      <w:pPr>
        <w:spacing w:after="120"/>
        <w:jc w:val="both"/>
      </w:pPr>
      <w:r>
        <w:rPr>
          <w:rFonts w:ascii="Arial" w:cs="Arial" w:eastAsia="Arial" w:hAnsi="Arial"/>
          <w:sz w:val="24"/>
          <w:szCs w:val="24"/>
        </w:rPr>
        <w:t xml:space="preserve">- принят Закон Кыргызской Республики «О внесении дополнения в Налоговый кодекс Кыргызской Республики» от 31 декабря 2013 года № 230 – об освобождении от уплаты НДС импорта теплиц,</w:t>
      </w:r>
    </w:p>
    <w:p>
      <w:pPr>
        <w:spacing w:after="120"/>
        <w:jc w:val="both"/>
      </w:pPr>
      <w:r>
        <w:rPr>
          <w:rFonts w:ascii="Arial" w:cs="Arial" w:eastAsia="Arial" w:hAnsi="Arial"/>
          <w:sz w:val="24"/>
          <w:szCs w:val="24"/>
        </w:rPr>
        <w:t xml:space="preserve">- принят Закон Кыргызской Республики «О внесении дополнения в Налоговый кодекс Кыргызской Республики» от 16 марта 2013 года № 41 – об освобождении от уплаты НДС импорта специализированных товаров для строительства и реконструкции конвертера (ферросплавной печи);</w:t>
      </w:r>
    </w:p>
    <w:p>
      <w:pPr>
        <w:spacing w:after="120"/>
        <w:jc w:val="both"/>
      </w:pPr>
      <w:r>
        <w:rPr>
          <w:rFonts w:ascii="Arial" w:cs="Arial" w:eastAsia="Arial" w:hAnsi="Arial"/>
          <w:sz w:val="24"/>
          <w:szCs w:val="24"/>
        </w:rPr>
        <w:t xml:space="preserve">- принято постановление Правительства «Об утверждении Перечня предприятий пищевой и перерабатывающей промышленности, осуществляющих промышленную переработку сельскохозяйственной продукции, подлежащих освобождению от уплаты налога на прибыль сроком на три года» от 25 января 2013 года № 37;</w:t>
      </w:r>
    </w:p>
    <w:p>
      <w:pPr>
        <w:spacing w:after="120"/>
        <w:jc w:val="both"/>
      </w:pPr>
      <w:r>
        <w:rPr>
          <w:rFonts w:ascii="Arial" w:cs="Arial" w:eastAsia="Arial" w:hAnsi="Arial"/>
          <w:sz w:val="24"/>
          <w:szCs w:val="24"/>
        </w:rPr>
        <w:t xml:space="preserve">- принято постановление Правительства «Об утверждении Перечня видов экономической деятельности, осуществляемых предприятиями пищевой и перерабатывающей промышленности (кроме используемой для производства подакцизной группы товаров), перерабатывающих отечественное сельскохозяйственное сырье, поставка которых является поставкой, освобожденной от налога на добавленную стоимость сроком на 6 лет» от 3 мая 2013 года № 226 и др.</w:t>
      </w:r>
    </w:p>
    <w:p>
      <w:pPr>
        <w:spacing w:after="120"/>
        <w:jc w:val="both"/>
      </w:pPr>
      <w:r>
        <w:rPr>
          <w:rFonts w:ascii="Arial" w:cs="Arial" w:eastAsia="Arial" w:hAnsi="Arial"/>
          <w:sz w:val="24"/>
          <w:szCs w:val="24"/>
        </w:rPr>
        <w:t xml:space="preserve">В результате объем налоговых поступлений в государственный бюджет вырос на 14 % по сравнению с 2012 годом и сложился в размере 72,8 млрд сомов.</w:t>
      </w:r>
    </w:p>
    <w:p>
      <w:pPr>
        <w:spacing w:after="120"/>
        <w:jc w:val="both"/>
      </w:pPr>
      <w:r>
        <w:rPr>
          <w:rFonts w:ascii="Arial" w:cs="Arial" w:eastAsia="Arial" w:hAnsi="Arial"/>
          <w:sz w:val="24"/>
          <w:szCs w:val="24"/>
        </w:rPr>
        <w:t xml:space="preserve">Проводимая работа по снижению административной нагрузки на бизнес позволила Кыргызстану улучшить условия ведения бизнеса. Проведение реформ в области упрощения процедур для открытия бизнеса, ведения международной торговли и либерализации законодательства в области банкротства позволили по Индексу легкости ведения бизнеса Всемирного банка улучшить рейтинг страны на две позиции и перейти с 70 на 68 место. Согласно исследованию, по легкости открытия бизнеса Кыргызская Республика занимает 12 место в мире благодаря реализации проекта по внедрению автоматизированной системы регистрации юридических лиц по принципу единого окна, что позволило сократить процедуры, снизить стоимость и время для предпринимателей при регистрации юридического лица.</w:t>
      </w:r>
    </w:p>
    <w:p>
      <w:pPr>
        <w:spacing w:after="120"/>
        <w:jc w:val="both"/>
      </w:pPr>
      <w:r>
        <w:rPr>
          <w:rFonts w:ascii="Arial" w:cs="Arial" w:eastAsia="Arial" w:hAnsi="Arial"/>
          <w:sz w:val="24"/>
          <w:szCs w:val="24"/>
        </w:rPr>
        <w:t xml:space="preserve">По Индексу глобальной конкурентоспособности Кыргызская Республика поднялась на 6 позицию, со 127 на 121. Повышение показателей страны в данном рейтинге произошло за счет проводимых реформ в области стабилизации макроэкономической среды, оптимизации государственных учреждений и улучшения качества инфраструктуры путем строительства новых и реабилитации имеющихся автомобильных дорог.</w:t>
      </w:r>
    </w:p>
    <w:p>
      <w:pPr>
        <w:spacing w:after="120"/>
        <w:jc w:val="both"/>
      </w:pPr>
      <w:r>
        <w:rPr>
          <w:rFonts w:ascii="Arial" w:cs="Arial" w:eastAsia="Arial" w:hAnsi="Arial"/>
          <w:sz w:val="24"/>
          <w:szCs w:val="24"/>
        </w:rPr>
        <w:t xml:space="preserve">Проводилась интенсивная работа по присоединению Кыргызской Республики к Таможенному Союзу (далее – ТС) и Единому экономическому пространству (далее – ЕЭП). Согласно Плану мероприятий, кыргызской стороной были подготовлены и направлены в Евразийскую экономическую комиссию (далее – ЕЭК) анализ национального законодательства Кыргызской Республики и международных договоров, регулирующих внешнеторговую деятельность, на соответствие договорно-правовой базы ТС, включая сравнение обязательств Кыргызской Республики перед ВТО, анализ состояния инфраструктуры пунктов пропуска, а также статистические данные по представленному формату ЕЭК.</w:t>
      </w:r>
    </w:p>
    <w:p>
      <w:pPr>
        <w:spacing w:after="120"/>
        <w:jc w:val="both"/>
      </w:pPr>
      <w:r>
        <w:rPr>
          <w:rFonts w:ascii="Arial" w:cs="Arial" w:eastAsia="Arial" w:hAnsi="Arial"/>
          <w:sz w:val="24"/>
          <w:szCs w:val="24"/>
        </w:rPr>
        <w:t xml:space="preserve">Подготовлены предложения по минимизации рисков при вступлении в ТС для включения в проект Дорожной карты. Среди значимых предложений кыргызской стороны, которые были учтены в проекте Дорожной карты, можно отметить мероприятия по определению Перечня товаров и ставок, в отношении которых Кыргызской Республике необходимо в течение переходного периода внедрить применение ставок таможенных пошлин, отличных от Единого таможенного тарифа (далее – ЕТТ), а также другие мероприятия, связанные с гармонизацией законодательства по отраслям, дополнительным оснащением пунктов пропуска и созданием центра безопасности пищевой продукции и испытаний в Кыргызской Республике.</w:t>
      </w:r>
    </w:p>
    <w:p>
      <w:pPr>
        <w:spacing w:after="120"/>
        <w:jc w:val="both"/>
      </w:pPr>
      <w:r>
        <w:rPr>
          <w:rFonts w:ascii="Arial" w:cs="Arial" w:eastAsia="Arial" w:hAnsi="Arial"/>
          <w:sz w:val="24"/>
          <w:szCs w:val="24"/>
        </w:rPr>
        <w:t xml:space="preserve">В целях комплексного и сбалансированного государственного управления и обеспечения реализации приоритетов устойчивого развития, определенных в Национальной стратегии устойчивого развития Кыргызской Республики на 2013-2017 годы, разработана Программа по переходу Кыргызской Республики к устойчивому развитию на 2013-2017 годы (утверждено Постановлением Жогорку Кенеша Кыргызской Республики от 18 декабря 2013 года №3694-V), где главным компонентом стал детальный План Правительства на ближайшие пять лет с конкретными мерами, действиями, проектами для решения каждой из задач, поставленных в Национальной стратегии.</w:t>
      </w:r>
    </w:p>
    <w:p>
      <w:pPr>
        <w:spacing w:after="120"/>
        <w:jc w:val="both"/>
      </w:pPr>
      <w:r>
        <w:rPr>
          <w:rFonts w:ascii="Arial" w:cs="Arial" w:eastAsia="Arial" w:hAnsi="Arial"/>
          <w:sz w:val="24"/>
          <w:szCs w:val="24"/>
        </w:rPr>
        <w:t xml:space="preserve">Таким образом, основным результатом 2013 года стал переход к положительной тенденции и сохранение устойчивой динамики экономического роста до конца года в условиях замедления экономического роста и долгового кризиса в ряде стран. Экономический рост в стране на уровне 10,5 % в 2013 году стал самым высоким показателем среди стран-участниц СНГ. При этом кумулятивный показатель уровня развития мировой экономики составил 3 %, в основном за счет положительных вкладов Китая и Индии, с ростом ВВП на уровне 7,7 % и 4,4 %, соответственно. Россия завершила год с ростом ВВП на 1,3 %, Казахстан - на 6,0 %.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Предварительные итоги социально-экономического развития Кыргызской Республики за I полугодие 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начала 2014 года сохраняется положительная тенденция в социально-экономическом развитии республики.</w:t>
      </w:r>
    </w:p>
    <w:p>
      <w:pPr>
        <w:spacing w:after="120"/>
        <w:jc w:val="both"/>
      </w:pPr>
      <w:r>
        <w:rPr>
          <w:rFonts w:ascii="Arial" w:cs="Arial" w:eastAsia="Arial" w:hAnsi="Arial"/>
          <w:sz w:val="24"/>
          <w:szCs w:val="24"/>
        </w:rPr>
        <w:t xml:space="preserve">По итогам за январь-июнь 2014 года объем валового внутреннего продукта (ВВП) сложился в сумме 151,7 млрд сомов и реально возрос на 4,1 % (в январе-июне 2013 года реальный рост на 8,1 %). Без учета предприятий по разработке месторождения Кумтор рост реального ВВП составил 103,7 %, за соответствующий период 2013 года аналогичный показатель составлял 105,8 %. Дефлятор ВВП сложился на уровне 104,6 %.</w:t>
      </w:r>
    </w:p>
    <w:p>
      <w:pPr>
        <w:spacing w:after="120"/>
        <w:jc w:val="both"/>
      </w:pPr>
      <w:r>
        <w:rPr>
          <w:rFonts w:ascii="Arial" w:cs="Arial" w:eastAsia="Arial" w:hAnsi="Arial"/>
          <w:sz w:val="24"/>
          <w:szCs w:val="24"/>
        </w:rPr>
        <w:t xml:space="preserve">Экономический рост обеспечен всеми секторами экономики, положительный вклад которых оценивается в сельском хозяйстве 0,2 процентного пункта, промышленности, строительстве и сфере услуг – по 1,1 процентных пунктов.</w:t>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Структура и темпы роста по секторам, формирующим ВВП</w:t>
      </w:r>
      <w:hyperlink w:history="1" r:id="rId7anls4wec7ozrboayame2">
        <w:r>
          <w:rPr>
            <w:rFonts w:ascii="Arial" w:cs="Arial" w:eastAsia="Arial" w:hAnsi="Arial"/>
            <w:color w:val="1D4ED8"/>
            <w:sz w:val="24"/>
            <w:szCs w:val="24"/>
            <w:u w:val="single"/>
          </w:rPr>
          <w:t xml:space="preserve">[5]</w:t>
        </w:r>
      </w:hyperlink>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89"/>
        <w:gridCol w:w="1000"/>
        <w:gridCol w:w="1000"/>
        <w:gridCol w:w="1000"/>
        <w:gridCol w:w="1047"/>
        <w:gridCol w:w="1047"/>
        <w:gridCol w:w="1047"/>
        <w:gridCol w:w="1047"/>
      </w:tblGrid>
      <w:tr>
        <w:tc>
          <w:tcPr>
            <w:tcW w:type="dxa" w:w="29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00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январь-июнь 2013 года</w:t>
            </w:r>
          </w:p>
        </w:tc>
        <w:tc>
          <w:tcPr>
            <w:tcW w:type="dxa" w:w="41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январь-июнь 2014 года</w:t>
            </w:r>
          </w:p>
        </w:tc>
      </w:tr>
      <w:tr>
        <w:tc>
          <w:tcPr>
            <w:vMerge w:val="continue"/>
            <w:tcBorders>
              <w:top w:val="single" w:color="CBBF9E" w:sz="4"/>
              <w:left w:val="single" w:color="CBBF9E" w:sz="4"/>
              <w:bottom w:val="single" w:color="CBBF9E" w:sz="4"/>
              <w:right w:val="single" w:color="CBBF9E" w:sz="4"/>
            </w:tcBorders>
          </w:tcP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сомов)</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w:t>
            </w:r>
          </w:p>
          <w:p>
            <w:pPr>
              <w:jc w:val="left"/>
            </w:pPr>
            <w:r>
              <w:rPr>
                <w:rFonts w:ascii="Arial" w:cs="Arial" w:eastAsia="Arial" w:hAnsi="Arial"/>
                <w:sz w:val="24"/>
                <w:szCs w:val="24"/>
              </w:rPr>
              <w:t xml:space="preserve">(млн. сомов)</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w:t>
            </w:r>
          </w:p>
          <w:p>
            <w:pPr>
              <w:jc w:val="left"/>
            </w:pPr>
            <w:r>
              <w:rPr>
                <w:rFonts w:ascii="Arial" w:cs="Arial" w:eastAsia="Arial" w:hAnsi="Arial"/>
                <w:sz w:val="24"/>
                <w:szCs w:val="24"/>
              </w:rPr>
              <w:t xml:space="preserve">к ВВП</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 п.п.</w:t>
            </w:r>
          </w:p>
        </w:tc>
      </w:tr>
      <w:tr>
        <w:tc>
          <w:tcPr>
            <w:tcW w:type="dxa" w:w="2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139292,1</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151714,7</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r>
      <w:tr>
        <w:tc>
          <w:tcPr>
            <w:tcW w:type="dxa" w:w="2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15166,6</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16379,4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r>
      <w:tr>
        <w:tc>
          <w:tcPr>
            <w:tcW w:type="dxa" w:w="2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21314,3</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118,0</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22395,9</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2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8189,5</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118,2</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10378,7</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118,5</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2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73371,2</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52,7</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79663,5</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2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21250,5</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22897,2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номинального ВВП доля отраслей, производящих товары, увеличились на 0,3 процентного пункта и составила 32,4 %, доля отраслей, оказывающих услуги сократилась на 0,2 процентного пункта и составила 52,5 %.</w:t>
      </w:r>
    </w:p>
    <w:p>
      <w:pPr>
        <w:spacing w:after="120"/>
        <w:jc w:val="both"/>
      </w:pPr>
      <w:r>
        <w:rPr>
          <w:rFonts w:ascii="Arial" w:cs="Arial" w:eastAsia="Arial" w:hAnsi="Arial"/>
          <w:sz w:val="24"/>
          <w:szCs w:val="24"/>
        </w:rPr>
        <w:t xml:space="preserve">В расчете на душу населения объем ВВП составил 27,4 тыс. сомов и по сравнению с соответствующим периодом 2013 года возрос на 2,0 %.</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составил 105,9 % (январь-июнь 2014 года к декабрю 2013 года). Среднегодовое значение инфляции (январь-июнь 2014 года к январю-июню 2013 года) составило 106,3 %.</w:t>
      </w:r>
    </w:p>
    <w:p>
      <w:pPr>
        <w:spacing w:after="120"/>
        <w:jc w:val="both"/>
      </w:pPr>
      <w:r>
        <w:rPr>
          <w:rFonts w:ascii="Arial" w:cs="Arial" w:eastAsia="Arial" w:hAnsi="Arial"/>
          <w:sz w:val="24"/>
          <w:szCs w:val="24"/>
        </w:rPr>
        <w:t xml:space="preserve">В целом за январь-июнь 2014 года по сравнению с декабрем 2013 года, наибольшее удорожание отмечалось на пищевые продукты и безалкогольные напитки на 9,5 %, на алкогольные напитки и табачные изделия – на 6,0 %, на непродовольственные товары рост составил 2,3 % и на платные услуги – на 2,0 %.</w:t>
      </w:r>
    </w:p>
    <w:p>
      <w:pPr>
        <w:spacing w:after="120"/>
        <w:jc w:val="both"/>
      </w:pPr>
      <w:r>
        <w:rPr>
          <w:rFonts w:ascii="Arial" w:cs="Arial" w:eastAsia="Arial" w:hAnsi="Arial"/>
          <w:sz w:val="24"/>
          <w:szCs w:val="24"/>
        </w:rPr>
        <w:t xml:space="preserve">В январе-мае 2014 года объем притока денежных переводов физических лиц, осуществленных через системы переводов, составил 810,7 млн долл. США, что выше уровня аналогичного периода 2013 года на 2,3 %.</w:t>
      </w:r>
    </w:p>
    <w:p>
      <w:pPr>
        <w:spacing w:after="120"/>
        <w:jc w:val="both"/>
      </w:pPr>
      <w:r>
        <w:rPr>
          <w:rFonts w:ascii="Arial" w:cs="Arial" w:eastAsia="Arial" w:hAnsi="Arial"/>
          <w:sz w:val="24"/>
          <w:szCs w:val="24"/>
        </w:rPr>
        <w:t xml:space="preserve">Суммарные активы банковского сектора увеличились с начала года на 6,9 % и составили 118,7 млрд сомов. Общая депозитная база банковского сектора составила 67,7 млрд сомов, увеличившись с начала года на 6,1 %, в том числе депозиты юридических лиц составили 28,7 млрд сомов, прирост с начала года на 7,5 % и депозиты физических лиц составили 30,4 млрд сомов, прирост с начала года на 7,1 %. Объем кредитного портфеля</w:t>
      </w:r>
      <w:hyperlink w:history="1" r:id="rIdiz75goh83fip3lreom78u">
        <w:r>
          <w:rPr>
            <w:rFonts w:ascii="Arial" w:cs="Arial" w:eastAsia="Arial" w:hAnsi="Arial"/>
            <w:color w:val="1D4ED8"/>
            <w:sz w:val="24"/>
            <w:szCs w:val="24"/>
            <w:u w:val="single"/>
          </w:rPr>
          <w:t xml:space="preserve">[6]</w:t>
        </w:r>
      </w:hyperlink>
      <w:r>
        <w:rPr>
          <w:rFonts w:ascii="Arial" w:cs="Arial" w:eastAsia="Arial" w:hAnsi="Arial"/>
          <w:sz w:val="24"/>
          <w:szCs w:val="24"/>
        </w:rPr>
        <w:t xml:space="preserve"> банковского сектора по состоянию на 31 мая 2014 года составил 65,0 млрд сомов, увеличившись с начала года на 20,5 % (на конец 2013 года – 54,0 млрд сомов).</w:t>
      </w:r>
    </w:p>
    <w:p>
      <w:pPr>
        <w:spacing w:after="120"/>
        <w:jc w:val="both"/>
      </w:pPr>
      <w:r>
        <w:rPr>
          <w:rFonts w:ascii="Arial" w:cs="Arial" w:eastAsia="Arial" w:hAnsi="Arial"/>
          <w:sz w:val="24"/>
          <w:szCs w:val="24"/>
        </w:rPr>
        <w:t xml:space="preserve">Кредит в экономику</w:t>
      </w:r>
      <w:hyperlink w:history="1" r:id="rIdcr2-f9cy5dkcxxanq5xkg">
        <w:r>
          <w:rPr>
            <w:rFonts w:ascii="Arial" w:cs="Arial" w:eastAsia="Arial" w:hAnsi="Arial"/>
            <w:color w:val="1D4ED8"/>
            <w:sz w:val="24"/>
            <w:szCs w:val="24"/>
            <w:u w:val="single"/>
          </w:rPr>
          <w:t xml:space="preserve">[7]</w:t>
        </w:r>
      </w:hyperlink>
      <w:r>
        <w:rPr>
          <w:rFonts w:ascii="Arial" w:cs="Arial" w:eastAsia="Arial" w:hAnsi="Arial"/>
          <w:sz w:val="24"/>
          <w:szCs w:val="24"/>
        </w:rPr>
        <w:t xml:space="preserve"> в январе-июне 2014 года составил 69,3 млрд сомов, увеличившись с начала текущего года на 21,1 % (в январе-июне 2013 года кредит в экономику вырос на 17,4 %).</w:t>
      </w:r>
    </w:p>
    <w:p>
      <w:pPr>
        <w:spacing w:after="120"/>
        <w:jc w:val="both"/>
      </w:pPr>
      <w:r>
        <w:rPr>
          <w:rFonts w:ascii="Arial" w:cs="Arial" w:eastAsia="Arial" w:hAnsi="Arial"/>
          <w:sz w:val="24"/>
          <w:szCs w:val="24"/>
        </w:rPr>
        <w:t xml:space="preserve">На 1 июля 2014 года по проекту «Финансирование сельского хозяйства-2», утвержденного постановлением Правительства Кыргызской Республики от 31 января 2014 года № 61, 6-ю банками республики фермерам выделено кредитов на общую сумму 4300,4 млн сомов.</w:t>
      </w:r>
    </w:p>
    <w:p>
      <w:pPr>
        <w:spacing w:after="120"/>
        <w:jc w:val="both"/>
      </w:pPr>
      <w:r>
        <w:rPr>
          <w:rFonts w:ascii="Arial" w:cs="Arial" w:eastAsia="Arial" w:hAnsi="Arial"/>
          <w:sz w:val="24"/>
          <w:szCs w:val="24"/>
        </w:rPr>
        <w:t xml:space="preserve">Внешнеторговый оборот Кыргызской Республики за январь-май 2014 года составил 2553,3 млн долл. США и по сравнению с аналогичным периодом 2013 года снизился на 6,0 %. В структуре товарооборота на долю экспорта пришлось 23,1 %, импорта – 76,9 %. Дефицит торгового баланса в январе-мае 2014 года составил 1372,7 млн долл. США, и сократился по сравнению с аналогичным периодом 2013 года на 16,1 %. Экспорт составил 590,3 млн долл. США и превысил объем экспортных поставок за январь-май 2013 года на 9,2 % за счет роста экспорта золота в 1,4 раза. Без учета золота экспорт товаров из Кыргызской Республики в январе-мае 2014 года снизился на 4,5 % и составил 354,1 млн долл. США, что обусловлено сокращением экспортных поставок топливно-энергетических ресурсов почти на 17,5 %, стекла и изделий из него на 29,2 %, одежды и ее принадлежностей на 4,8 %, кожсырья на 8,8 %. Импортные поступления сократились на 9,8 %, составив 1963,0 млн долл. США, преимущественно, за счет снижения объемов поступлений текстиля и текстильных изделий (на 13,5 млн долл. США), продуктов растительного происхождения (на 14,0 млн долл. США), машин, оборудования и механизмов (на 23,4 млн долл.США), транспортных средств (на 30,8 млн долл. США), а также, минеральных продуктов (на 133,3 млн долл. США).</w:t>
      </w:r>
    </w:p>
    <w:p>
      <w:pPr>
        <w:spacing w:after="120"/>
        <w:jc w:val="both"/>
      </w:pPr>
      <w:r>
        <w:rPr>
          <w:rFonts w:ascii="Arial" w:cs="Arial" w:eastAsia="Arial" w:hAnsi="Arial"/>
          <w:sz w:val="24"/>
          <w:szCs w:val="24"/>
        </w:rPr>
        <w:t xml:space="preserve">Общий объем доходов государственного бюджета, с учетом продажи нефинансовых активов, за январь-июнь 2014 года составил 49 192,2 млн сомов (32,4 % к ВВП). В сравнении с показателем предыдущего года общие доходы бюджета возросли на 5,1 %, в основном в связи с ростом налоговых и неналоговых доходов. За январь-июнь 2014 года расходная часть государственного бюджета (включая расходы на приобретение нефинансовых активов) исполнена в сумме 46 589,9 млн сомов (34,6 % к ВВП). В сравнении с аналогичным периодом 2013 года общие расходы увеличились на 3339,1 млн сомов, или на 6,9 %.</w:t>
      </w:r>
    </w:p>
    <w:p>
      <w:pPr>
        <w:spacing w:after="120"/>
        <w:jc w:val="both"/>
      </w:pPr>
      <w:r>
        <w:rPr>
          <w:rFonts w:ascii="Arial" w:cs="Arial" w:eastAsia="Arial" w:hAnsi="Arial"/>
          <w:sz w:val="24"/>
          <w:szCs w:val="24"/>
        </w:rPr>
        <w:t xml:space="preserve">За январь-июнь 2014 года удельный вес расходов из республиканского бюджета на социальную сферу (26629,2 млн сомов) составил 63,8 %, всего направлено на 8712,3 млн сомов больше, чем за аналогичный период 2013 года (удельный вес расходов из республиканского бюджета на социальную сферу за январь-июнь 2013 года составил 46,6 %).</w:t>
      </w:r>
    </w:p>
    <w:p>
      <w:pPr>
        <w:spacing w:after="120"/>
        <w:jc w:val="both"/>
      </w:pPr>
      <w:r>
        <w:rPr>
          <w:rFonts w:ascii="Arial" w:cs="Arial" w:eastAsia="Arial" w:hAnsi="Arial"/>
          <w:sz w:val="24"/>
          <w:szCs w:val="24"/>
        </w:rPr>
        <w:t xml:space="preserve">В области социальной защиты населения проводилась целенаправленная работа по обеспечению социальных выплат в полном объеме. За январь–июнь 2014 года из средств республиканского бюджета на выплату государственных пособий профинансированы денежные средства на общую сумму 2145,8 млн сомов, что на 1,0 % меньше аналогичного периода 2013 года.</w:t>
      </w:r>
    </w:p>
    <w:p>
      <w:pPr>
        <w:spacing w:after="120"/>
        <w:jc w:val="both"/>
      </w:pPr>
      <w:r>
        <w:rPr>
          <w:rFonts w:ascii="Arial" w:cs="Arial" w:eastAsia="Arial" w:hAnsi="Arial"/>
          <w:sz w:val="24"/>
          <w:szCs w:val="24"/>
        </w:rPr>
        <w:t xml:space="preserve">За январь-июнь 2014 года вся потребная сумма на выплату пенсий и иных социальных выплат в объеме 15737,4 млн сомов профинансирована в полном объеме.</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январе-мае 2014 года (без учета малых предприятий) составила 11668,0 сомов и по сравнению с аналогичным периодом 2013 года увеличилась на 7,9 %, а ее реальный размер, исчисленный с учетом индекса потребительских цен, возрос на 1,9 %. Величина прожиточного минимума во II квартале 2014 года составила 5011,43 сома и по сравнению с соответствующим периодом 2013 года возросла на 6,7 %.</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июля 2014 года составила 93,7 тыс. человек и по сравнению с аналогичной датой 2013 года уменьшилась на 2,7 %, а численность зарегистрированных безработных, соответственно, 58,5 тыс. человек и на 2,3 %. Уровень зарегистрированной безработицы составил 2,3 % от экономически активного населения.</w:t>
      </w:r>
    </w:p>
    <w:p>
      <w:pPr>
        <w:spacing w:after="120"/>
        <w:jc w:val="both"/>
      </w:pPr>
      <w:r>
        <w:rPr>
          <w:rFonts w:ascii="Arial" w:cs="Arial" w:eastAsia="Arial" w:hAnsi="Arial"/>
          <w:sz w:val="24"/>
          <w:szCs w:val="24"/>
        </w:rPr>
        <w:t xml:space="preserve">Таким образом, итоги I полугодия 2014 года показали положительные тенденции экономического роста во всех секторах экономики, при этом следует отметить, что с начала года наблюдается устойчивая тенденция замедления экономического роста в целом.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Макроэкономические показатели, ожидаемые в 2014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экономической политики на 2014 год является сохранение макроэкономической стабильности и закрепление положительной динамики экономического роста во всех секторах экономики.</w:t>
      </w:r>
    </w:p>
    <w:p>
      <w:pPr>
        <w:spacing w:after="120"/>
        <w:jc w:val="both"/>
      </w:pPr>
      <w:r>
        <w:rPr>
          <w:rFonts w:ascii="Arial" w:cs="Arial" w:eastAsia="Arial" w:hAnsi="Arial"/>
          <w:sz w:val="24"/>
          <w:szCs w:val="24"/>
        </w:rPr>
        <w:t xml:space="preserve">Работа по этому направлению активно продвигается в рамках Плана мероприятий Правительства Кыргызской Республики на 2014 год (постановление Правительства Кыргызской Республики от 28 февраля 2014 года №110) по реализации Программы по переходу Кыргызской Республики к устойчивому развитию на 2013-2017 годы. Большая часть Плана действий сфокусирована на снятии барьеров и упрощении среды для бизнеса, содержит 513 мероприятий.</w:t>
      </w:r>
    </w:p>
    <w:p>
      <w:pPr>
        <w:spacing w:after="120"/>
        <w:jc w:val="both"/>
      </w:pPr>
      <w:r>
        <w:rPr>
          <w:rFonts w:ascii="Arial" w:cs="Arial" w:eastAsia="Arial" w:hAnsi="Arial"/>
          <w:sz w:val="24"/>
          <w:szCs w:val="24"/>
        </w:rPr>
        <w:t xml:space="preserve">В основу формирования ожидаемых показателей 2014 года заложены такие основные предпосылки, как:</w:t>
      </w:r>
    </w:p>
    <w:p>
      <w:pPr>
        <w:spacing w:after="120"/>
        <w:jc w:val="both"/>
      </w:pPr>
      <w:r>
        <w:rPr>
          <w:rFonts w:ascii="Arial" w:cs="Arial" w:eastAsia="Arial" w:hAnsi="Arial"/>
          <w:sz w:val="24"/>
          <w:szCs w:val="24"/>
        </w:rPr>
        <w:t xml:space="preserve">- стабильная работа на предприятиях по разработке месторождения Кумтор;</w:t>
      </w:r>
    </w:p>
    <w:p>
      <w:pPr>
        <w:spacing w:after="120"/>
        <w:jc w:val="both"/>
      </w:pPr>
      <w:r>
        <w:rPr>
          <w:rFonts w:ascii="Arial" w:cs="Arial" w:eastAsia="Arial" w:hAnsi="Arial"/>
          <w:sz w:val="24"/>
          <w:szCs w:val="24"/>
        </w:rPr>
        <w:t xml:space="preserve">- влияние сложившихся неблагоприятных природно-климатических факторов на развитие сельского хозяйства;</w:t>
      </w:r>
    </w:p>
    <w:p>
      <w:pPr>
        <w:spacing w:after="120"/>
        <w:jc w:val="both"/>
      </w:pPr>
      <w:r>
        <w:rPr>
          <w:rFonts w:ascii="Arial" w:cs="Arial" w:eastAsia="Arial" w:hAnsi="Arial"/>
          <w:sz w:val="24"/>
          <w:szCs w:val="24"/>
        </w:rPr>
        <w:t xml:space="preserve">- наращивание объемов строительства за счет продолжения реализации инвестиционных проектов 2013 года и начала новых;</w:t>
      </w:r>
    </w:p>
    <w:p>
      <w:pPr>
        <w:spacing w:after="120"/>
        <w:jc w:val="both"/>
      </w:pPr>
      <w:r>
        <w:rPr>
          <w:rFonts w:ascii="Arial" w:cs="Arial" w:eastAsia="Arial" w:hAnsi="Arial"/>
          <w:sz w:val="24"/>
          <w:szCs w:val="24"/>
        </w:rPr>
        <w:t xml:space="preserve">- запуск и частичный ввод производственной мощности нефтеперерабатывающего НПЗ в Жайильском районе (ОсОО «Чайна Петроль Компани «Джунда»);</w:t>
      </w:r>
    </w:p>
    <w:p>
      <w:pPr>
        <w:spacing w:after="120"/>
        <w:jc w:val="both"/>
      </w:pPr>
      <w:r>
        <w:rPr>
          <w:rFonts w:ascii="Arial" w:cs="Arial" w:eastAsia="Arial" w:hAnsi="Arial"/>
          <w:sz w:val="24"/>
          <w:szCs w:val="24"/>
        </w:rPr>
        <w:t xml:space="preserve">- снижения номинального объема в промышленности за счет осторожного подхода при формировании прогнозных значений объемов металлургического производства из-за высокой волатильности цен на золото;</w:t>
      </w:r>
    </w:p>
    <w:p>
      <w:pPr>
        <w:spacing w:after="120"/>
        <w:jc w:val="both"/>
      </w:pPr>
      <w:r>
        <w:rPr>
          <w:rFonts w:ascii="Arial" w:cs="Arial" w:eastAsia="Arial" w:hAnsi="Arial"/>
          <w:sz w:val="24"/>
          <w:szCs w:val="24"/>
        </w:rPr>
        <w:t xml:space="preserve">- умеренный рост в сфере услуг (реальные объёмы торговли будут расти умеренными темпами из–за ужесточения таможенного контроля со стороны стран ТС (сокращение реэкспорта товаров), замедление притока денежных переводов физических лиц, также наблюдается снижение объемов в сфере услуг связи, связанные с насыщением рынка мобильной связью);</w:t>
      </w:r>
    </w:p>
    <w:p>
      <w:pPr>
        <w:spacing w:after="120"/>
        <w:jc w:val="both"/>
      </w:pPr>
      <w:r>
        <w:rPr>
          <w:rFonts w:ascii="Arial" w:cs="Arial" w:eastAsia="Arial" w:hAnsi="Arial"/>
          <w:sz w:val="24"/>
          <w:szCs w:val="24"/>
        </w:rPr>
        <w:t xml:space="preserve">- стабильно развивающиеся торгово-экономические отношения со странами-торговыми партнерами Кыргызской Республики.</w:t>
      </w:r>
    </w:p>
    <w:p>
      <w:pPr>
        <w:spacing w:after="120"/>
        <w:jc w:val="both"/>
      </w:pPr>
      <w:r>
        <w:rPr>
          <w:rFonts w:ascii="Arial" w:cs="Arial" w:eastAsia="Arial" w:hAnsi="Arial"/>
          <w:sz w:val="24"/>
          <w:szCs w:val="24"/>
        </w:rPr>
        <w:t xml:space="preserve">Основные ожидаемые социально-экономические показатели в 2014 году сложатся следующим образом:</w:t>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Структура и темпы роста по секторам, формирующим ВВП</w:t>
      </w:r>
      <w:hyperlink w:history="1" r:id="rIdog7lzwmif396qlurxspgr">
        <w:r>
          <w:rPr>
            <w:rFonts w:ascii="Arial" w:cs="Arial" w:eastAsia="Arial" w:hAnsi="Arial"/>
            <w:color w:val="1D4ED8"/>
            <w:sz w:val="24"/>
            <w:szCs w:val="24"/>
            <w:u w:val="single"/>
          </w:rPr>
          <w:t xml:space="preserve">[8]</w:t>
        </w:r>
      </w:hyperlink>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1497"/>
        <w:gridCol w:w="1497"/>
        <w:gridCol w:w="1497"/>
        <w:gridCol w:w="1049"/>
        <w:gridCol w:w="1049"/>
        <w:gridCol w:w="1049"/>
        <w:gridCol w:w="1049"/>
      </w:tblGrid>
      <w:tr>
        <w:tc>
          <w:tcPr>
            <w:tcW w:type="dxa" w:w="1490"/>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9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 предв.факт</w:t>
            </w:r>
          </w:p>
        </w:tc>
        <w:tc>
          <w:tcPr>
            <w:tcW w:type="dxa" w:w="4196"/>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 ожид.</w:t>
            </w:r>
          </w:p>
        </w:tc>
      </w:tr>
      <w:tr>
        <w:tc>
          <w:tcPr>
            <w:vMerge w:val="continue"/>
            <w:tcBorders>
              <w:top w:val="single" w:color="CBBF9E" w:sz="4"/>
              <w:left w:val="single" w:color="CBBF9E" w:sz="4"/>
              <w:bottom w:val="single" w:color="CBBF9E" w:sz="4"/>
              <w:right w:val="single" w:color="CBBF9E" w:sz="4"/>
            </w:tcBorders>
          </w:tcP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w:t>
            </w:r>
          </w:p>
          <w:p>
            <w:pPr>
              <w:jc w:val="left"/>
            </w:pPr>
            <w:r>
              <w:rPr>
                <w:rFonts w:ascii="Arial" w:cs="Arial" w:eastAsia="Arial" w:hAnsi="Arial"/>
                <w:sz w:val="24"/>
                <w:szCs w:val="24"/>
              </w:rPr>
              <w:t xml:space="preserve">сомов</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вклада в рост ВВП, п.п.</w:t>
            </w:r>
          </w:p>
        </w:tc>
      </w:tr>
      <w:tr>
        <w:tc>
          <w:tcPr>
            <w:tcW w:type="dxa" w:w="149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ВВП</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350028,4</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388813,7</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r>
      <w:tr>
        <w:tc>
          <w:tcPr>
            <w:tcW w:type="dxa" w:w="149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Сельское хозяйство</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53091,5</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58065,1</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r>
      <w:tr>
        <w:tc>
          <w:tcPr>
            <w:tcW w:type="dxa" w:w="149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56480,3</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134,4</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58504,0</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r>
      <w:tr>
        <w:tc>
          <w:tcPr>
            <w:tcW w:type="dxa" w:w="149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Строительство</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23644,5</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30004,9</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117,5</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149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Сфера услуг</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166575,2</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47,6</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186391,7</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r>
      <w:tr>
        <w:tc>
          <w:tcPr>
            <w:tcW w:type="dxa" w:w="149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Чистые налоги на продуты и импорт</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50236,9</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55848,0</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Ожидаемый экономический рост на уровне 4,5 % будет обеспечиваться положительным вкладом в ВВП всех секторов экономики, в том числе за счет роста: (1) продукции промышленного сектора на 5,0 %; (2) производства сельского хозяйства на 0,8 %; (3) строительного сектора на 17,5 %; (4) сектора услуг на 3,8 %. Наибольший вклад будет обеспечен со стороны сектора услуг (1,7 процентного пункта) и строительства (1,2 процентного пункта), а также вклады промышленности (0,8 процентного пункта) и сельского хозяйства (0,1 процентного пункта) будут умеренными.</w:t>
      </w:r>
    </w:p>
    <w:p>
      <w:pPr>
        <w:spacing w:after="120"/>
        <w:jc w:val="both"/>
      </w:pPr>
      <w:r>
        <w:rPr>
          <w:rFonts w:ascii="Arial" w:cs="Arial" w:eastAsia="Arial" w:hAnsi="Arial"/>
          <w:sz w:val="24"/>
          <w:szCs w:val="24"/>
        </w:rPr>
        <w:t xml:space="preserve">Ожидаемое развитие экономики предполагает активную политику, направленную на снижение негативных последствий и создание условий для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Предусматривает расширение возможностей кредитного финансирования инвестиций частного капитала и улучшение бизнес-климата, которое позволит существенно снизить масштабы оттока капитала.</w:t>
      </w:r>
    </w:p>
    <w:p>
      <w:pPr>
        <w:spacing w:after="120"/>
        <w:jc w:val="both"/>
      </w:pPr>
      <w:r>
        <w:rPr>
          <w:rFonts w:ascii="Arial" w:cs="Arial" w:eastAsia="Arial" w:hAnsi="Arial"/>
          <w:sz w:val="24"/>
          <w:szCs w:val="24"/>
        </w:rPr>
        <w:t xml:space="preserve">На предстоящие годы динамика индекса потребительских цен будет определяться разнонаправленными факторами, однако предполагается, что не превысит целевые ориентиры.</w:t>
      </w:r>
    </w:p>
    <w:p>
      <w:pPr>
        <w:spacing w:after="120"/>
        <w:jc w:val="both"/>
      </w:pPr>
      <w:r>
        <w:rPr>
          <w:rFonts w:ascii="Arial" w:cs="Arial" w:eastAsia="Arial" w:hAnsi="Arial"/>
          <w:sz w:val="24"/>
          <w:szCs w:val="24"/>
        </w:rPr>
        <w:t xml:space="preserve">В 2014 году инфляция (индекс потребительских цен, декабрь к декабрю) ожидается в коридоре 9 – 10,6 %. При оценке уровня инфляции были учтены следующие факторы: (1) отсутствие существенных внешних и внутренних шоков спроса и предложения; (2) сдерживание резких колебаний обменного курса инструментами денежно-кредитной политики; (3) рост цен на продовольственные товары на внутреннем рынке до 10,0 %, непродовольственные товары – до 9,0 %; (4) повышение инфляционных ожиданий населения из-за происходящих операций с валютами соседних государств; (5) повышение цены на сырую нефть (марка Brent 105,0 долл. США/баррель); (6) постепенный рост цен на коммунальные услуги; (7) пересмотр тарифной политики (электроэнергия, теплоэнергия); (8) прогнозируемые сдержанные показатели инфляции в странах - основных торговых партнерах (Россия – 5,0 – 6,0 %, Казахстан – 6,0-8,0 %, Китай – 3,5 %, Еврозона – 0,8 %, мир – 3,5 %).</w:t>
      </w:r>
    </w:p>
    <w:p>
      <w:pPr>
        <w:spacing w:after="120"/>
        <w:jc w:val="both"/>
      </w:pPr>
      <w:r>
        <w:rPr>
          <w:rFonts w:ascii="Arial" w:cs="Arial" w:eastAsia="Arial" w:hAnsi="Arial"/>
          <w:sz w:val="24"/>
          <w:szCs w:val="24"/>
        </w:rPr>
        <w:t xml:space="preserve">Ситуация на основных продовольственных товарных рынках, сложившаяся в республике подтверждает подверженность влиянию мировых рыков и другим внешним потрясениям. В связи с резким повышением курса доллара по отношению к сому, цены на основные продовольственные товары, (мука, хлеб, мясо, сахар, рис, макаронные изделия), на внутреннем рынке характеризовались ростом.</w:t>
      </w:r>
    </w:p>
    <w:p>
      <w:pPr>
        <w:spacing w:after="120"/>
        <w:jc w:val="both"/>
      </w:pPr>
      <w:r>
        <w:rPr>
          <w:rFonts w:ascii="Arial" w:cs="Arial" w:eastAsia="Arial" w:hAnsi="Arial"/>
          <w:sz w:val="24"/>
          <w:szCs w:val="24"/>
        </w:rPr>
        <w:t xml:space="preserve">Ожидаемые показатели инфляции обусловлены, прежде всего, более высоким, чем ожидалось ранее, ростом цен на продовольственные товары (по итогам 6-ти месяцев 2014 года по сравнению с декабрем 2013 года, цены на пищевые продукты выросли на 9,5 %). Основным фактором значительного удорожания продуктов послужил 10,6 % удешевления национальной валюты (I квартал т.г.), которая означает удорожание импорта и негативные инфляционные ожидания населения.</w:t>
      </w:r>
    </w:p>
    <w:p>
      <w:pPr>
        <w:spacing w:after="120"/>
        <w:jc w:val="both"/>
      </w:pPr>
      <w:r>
        <w:rPr>
          <w:rFonts w:ascii="Arial" w:cs="Arial" w:eastAsia="Arial" w:hAnsi="Arial"/>
          <w:sz w:val="24"/>
          <w:szCs w:val="24"/>
        </w:rPr>
        <w:t xml:space="preserve">Однако сдерживающее воздействие на инфляцию будут оказывать благоприятные прогнозы международных организаций по основным видам продуктов, которые будут положительно сказываться на динамике потребительских цен на продовольственные товары, которые наиболее существенно влияют на инфляцию. Прогноз объемов производства для Казахстана по данным МСХ США (USDA) повышен с 13,94 до 14,5 млн тонн, потребление вырастет на 0,5 млн тонн, однако прогноз экспорта уменьшен с 8,0 до 7,0 млн тонн. По данным Международного Совета по зерну (IGC) прогноз производства зерна увеличен с 17,9 до 18,2 млн тонн. При этом начальные запасы составят 2,6 млн тонн, годовой баланс - 20,7 млн тонн. Прогноз экспорта зерна поднялся на 0,2 млн тонн, с 7,7 до 7,9 млн тонн. По пшенице: начальные запасы снижены на 0,3 млн тонн с 2,2 до 1,9 млн тонн, производство пшеницы составит около 15,0 млн тонн, экспорт останется на уровне 7,5 млн тонн, конечные запасы пшеницы на конец сезона составят 2,2 млн тонн. В Российской Федерации ожидается хороший урожай зерновых, валовой сбор зерна, по прогнозу IGC, в 2014 году повышен с 84,3 млн тонн до 85,4 млн тонн (88,6 млн тонн в 2013 году), по экспорту зерна – с 21,3 до 23,0 млн тонн, при этом пшеницы будет произведено в пределах 51 млн тонн, что более чем на 1 млн тонн меньше, чем в прошлом году, но увеличен прогноз экспорта пшеницы с 16,5 до 17,2 млн тонн. По прогнозу МСХ США (USDA) будет произведено 53,0 млн тонн пшеницы, из которых 33,5 млн тонн будет потреблено внутренним рынком, а 19,5 млн тонн уйдет на экспорт. По прогнозу МСХ России будет произведено до 100,0 млн тонн пшеницы, урожай зерна составит до 93-95 млн тонн с 91,0 млн тонн прошлого года.</w:t>
      </w:r>
    </w:p>
    <w:p>
      <w:pPr>
        <w:spacing w:after="120"/>
        <w:jc w:val="both"/>
      </w:pPr>
      <w:r>
        <w:rPr>
          <w:rFonts w:ascii="Arial" w:cs="Arial" w:eastAsia="Arial" w:hAnsi="Arial"/>
          <w:sz w:val="24"/>
          <w:szCs w:val="24"/>
        </w:rPr>
        <w:t xml:space="preserve">Помимо этого, положительную роль в снижении темпов роста потребительских цен сыграет принятый Правительством «План первоочередных мер, по сглаживанию резких колебаний обменного курса доллара США, предотвращению спекулятивных операций на валютном рынке, недопущению резкого повышения цен на товары, услуги и ГСМ на 2014 год».</w:t>
      </w:r>
    </w:p>
    <w:p>
      <w:pPr>
        <w:spacing w:after="120"/>
        <w:jc w:val="both"/>
      </w:pPr>
      <w:r>
        <w:rPr>
          <w:rFonts w:ascii="Arial" w:cs="Arial" w:eastAsia="Arial" w:hAnsi="Arial"/>
          <w:sz w:val="24"/>
          <w:szCs w:val="24"/>
        </w:rPr>
        <w:t xml:space="preserve">При этом необходимо учитывать возможные риски роста индекса потребительских цен, которые повлияют на повышение целевых ориентиров в 2014 году, такие как: рост мировых цен на продовольствие (цены в 2014 году могут укрепиться на фоне снижения производства и сокращения запасов); традиционная зависимость внутреннего рынка хлебопродуктов от импорта муки и зерна, ГСМ (Россия, Казахстан). В случае пересмотра тарифной политики, существенного изменения ситуации на мировых товарно-сырьевых рынках, в инвестиционной политике и секторе государственных финансов, оценка инфляции может быть пересмотрена.</w:t>
      </w:r>
    </w:p>
    <w:p>
      <w:pPr>
        <w:spacing w:after="120"/>
        <w:jc w:val="both"/>
      </w:pPr>
      <w:r>
        <w:rPr>
          <w:rFonts w:ascii="Arial" w:cs="Arial" w:eastAsia="Arial" w:hAnsi="Arial"/>
          <w:sz w:val="24"/>
          <w:szCs w:val="24"/>
        </w:rPr>
        <w:t xml:space="preserve">В региональном разрезе основная доля производства ВВП в 2014 году будет обеспечиваться за счет функционирования экономик г. Бишкек, Чуйской, Иссык-Кульской, Джалал-Абадской областей, с удельным весом 76,1 %, суммарный вклад которых в ВВП республики составил 3,63 %. Значительные доли в общем объеме производства ВВП Джалал-Абадской (10,5 %) и Иссык-Кульской (12,2 %) областей связаны с тем, что на территории Джалал-Абадской области производится около 90,0 %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 вкладом на уровне 0,89 % - Ошской, Баткенской, Нарынской, Таласской и г. Ош.</w:t>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Вклады регионов в производство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8"/>
        <w:gridCol w:w="1098"/>
        <w:gridCol w:w="3272"/>
        <w:gridCol w:w="1053"/>
        <w:gridCol w:w="775"/>
        <w:gridCol w:w="645"/>
        <w:gridCol w:w="817"/>
      </w:tblGrid>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(Республика)</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350028,4</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10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388813,7</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14770,8</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16308,0</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0,16</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37927,3</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40968,5</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0,44</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43138,1</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135,4</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47313,8</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0,53</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10996,0</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12906,8</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27448,6</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30167,1</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0,36</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12050,1</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13988,2</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43665,8</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45926,1</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 Бишкек</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144096,8</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161638,2</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41,6</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 Ош</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15934,9</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19596,9</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ожидаемых параметров развития экономики в 2014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 объем ВВП на душу населения в 2014 году увеличится на 8,9 % и ожидается в размере 69,8 тыс. сомов;</w:t>
      </w:r>
    </w:p>
    <w:p>
      <w:pPr>
        <w:spacing w:after="120"/>
        <w:jc w:val="both"/>
      </w:pPr>
      <w:r>
        <w:rPr>
          <w:rFonts w:ascii="Arial" w:cs="Arial" w:eastAsia="Arial" w:hAnsi="Arial"/>
          <w:sz w:val="24"/>
          <w:szCs w:val="24"/>
        </w:rPr>
        <w:t xml:space="preserve">- ожидается, что денежные доходы населения номинально возрастут на 8,7 %;</w:t>
      </w:r>
    </w:p>
    <w:p>
      <w:pPr>
        <w:spacing w:after="120"/>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8,0 %, а реальный рост - на 0,4 %. Номинальный размер средней пенсии вырастет на 2,9 %. Соотношение среднего размера пенсии и прожиточного минимума пенсионера (ПМП) возрастет до 103,4 %;</w:t>
      </w:r>
    </w:p>
    <w:p>
      <w:pPr>
        <w:spacing w:after="120"/>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w:t>
      </w:r>
    </w:p>
    <w:p>
      <w:pPr>
        <w:spacing w:after="120"/>
        <w:jc w:val="both"/>
      </w:pPr>
      <w:r>
        <w:rPr>
          <w:rFonts w:ascii="Arial" w:cs="Arial" w:eastAsia="Arial" w:hAnsi="Arial"/>
          <w:sz w:val="24"/>
          <w:szCs w:val="24"/>
        </w:rPr>
        <w:t xml:space="preserve">- повышение занятости позволит снизить уровень общей безработицы с 8,3 % в 2013 году до 8,2 % в 2014 году.</w:t>
      </w:r>
    </w:p>
    <w:p>
      <w:pPr>
        <w:spacing w:after="120"/>
        <w:jc w:val="both"/>
      </w:pPr>
      <w:r>
        <w:rPr>
          <w:rFonts w:ascii="Arial" w:cs="Arial" w:eastAsia="Arial" w:hAnsi="Arial"/>
          <w:sz w:val="24"/>
          <w:szCs w:val="24"/>
        </w:rPr>
        <w:t xml:space="preserve">Таким образом, ожидаемые макроэкономические показатели на 2014 год претерпели изменения по сравнению с ранее утвержденными прогнозными значениями (6,9 %), в основном, за счет пересчета объемов производства из-за высокой базы итогов 2013 года, также текущего состояния экономики, сложившегося по итогам I полугодия 2014 года, которое предполагает сохранение инерционных трендов. Динамика экономических показателей сохраняет замедленные тенденции, а прирост ВВП в целом снижается в среднем до 0,4-0,9 %.</w:t>
      </w:r>
    </w:p>
    <w:p>
      <w:pPr>
        <w:spacing w:after="120"/>
        <w:jc w:val="both"/>
      </w:pPr>
      <w:r>
        <w:rPr>
          <w:rFonts w:ascii="Arial" w:cs="Arial" w:eastAsia="Arial" w:hAnsi="Arial"/>
          <w:sz w:val="24"/>
          <w:szCs w:val="24"/>
        </w:rPr>
        <w:t xml:space="preserve">Наблюдается устойчивая тенденция снижения объемов в сфере услуг, которая занимает более 50,0 % в структуре ВВП (по итогам за январь-июнь т.г. реальный рост составил лишь 102,0 %, в то время как за аналогичный период 2013 года данный показатель составлял 105,9 %), обусловленного как ужесточением таможенного контроля со стороны стран ТС (сокращение реэкспорта товаров), так и сокращением спроса на продукцию в связи с сокращением потребительского спроса из-за девальвации валюты, замедлением притока денежных переводов физических лиц (по итогам 5-ти месяцев т.г. рост на 2,3 %,), снижением поступлений прямых иностранных инвестиций (за I квартал 2014 года составил 91,6 % и сложилось отрицательное сальдо (-) 62,1 млн. долл. США, отток капитала увеличился в 2,6 раза), а также сокращением объемов импортных поступлений (за 5 месяцев 2014 года уровень составил всего 90,2 %). В этой связи можно полагать, что в сфере услуг в текущем году показатели будут низкими по сравнению с предыдущими годами, ввиду сокращения покупательской способности населения и складывающейся макроэкономической ситуации в странах основных торговых партнерах. Также в промышленности показатели развития замедлились за счет влияния сложившейся очень высокой базы в 2013 году (реальный рост составлял 128,6 %), простоя предприятий из-за отсутствия сырья (ОАО «Кадамжайский сурьмяный комбинат», ОАО «Кара-Балтинский горнорудный комбинат»), закрытия границы по причине пограничного инцидента (ОАО «Южнокыргызский цемент»), сокращения спроса на продукцию (ОАО «Интергласс»), не эффективной организации производственного цикла (ОАО «Кыргызалтын»). Кроме того в сельском хозяйстве наметились риски снижения объемов производства - влияние природно-климатических факторов (запоздалое наступление весны в текущем году, малое количество осадков и маловодье для проведения полива), которые повлияют на снижение урожайности и сельскохозяйственной производительности.</w:t>
      </w:r>
    </w:p>
    <w:p>
      <w:pPr>
        <w:spacing w:after="120"/>
        <w:jc w:val="both"/>
      </w:pPr>
      <w:r>
        <w:rPr>
          <w:rFonts w:ascii="Arial" w:cs="Arial" w:eastAsia="Arial" w:hAnsi="Arial"/>
          <w:sz w:val="24"/>
          <w:szCs w:val="24"/>
        </w:rPr>
        <w:t xml:space="preserve">При этом необходимо учитывать, что социально-экономическое развитие Кыргызской Республики сегодня происходит на фоне мировых финансовых потрясений, долговых проблем и признаков рецессии ряда стран Евросоюза, замедления экономического роста в Китае, России и Казахстане и в полной мере может ощутить эти последствия.</w:t>
      </w:r>
    </w:p>
    <w:p>
      <w:pPr>
        <w:spacing w:after="120"/>
        <w:jc w:val="both"/>
      </w:pPr>
      <w:r>
        <w:rPr>
          <w:rFonts w:ascii="Arial" w:cs="Arial" w:eastAsia="Arial" w:hAnsi="Arial"/>
          <w:sz w:val="24"/>
          <w:szCs w:val="24"/>
        </w:rPr>
        <w:t xml:space="preserve">Поэтому, развитие вышеуказанных ситуаций может нести следующие макроэкономические риски:</w:t>
      </w:r>
    </w:p>
    <w:p>
      <w:pPr>
        <w:spacing w:after="120"/>
        <w:jc w:val="both"/>
      </w:pPr>
      <w:r>
        <w:rPr>
          <w:rFonts w:ascii="Arial" w:cs="Arial" w:eastAsia="Arial" w:hAnsi="Arial"/>
          <w:sz w:val="24"/>
          <w:szCs w:val="24"/>
        </w:rPr>
        <w:t xml:space="preserve">- сокращение внешнего спроса и ухудшение условий торговли со странами-основными торговыми партнерами (уменьшение спроса на кыргызские товары и услуги приведет к спаду объемов производства в экспортно-ориентированных отраслях экономики, что может повлечь ослабление курса национальной валюты вследствие уменьшения притока иностранной валюты);</w:t>
      </w:r>
    </w:p>
    <w:p>
      <w:pPr>
        <w:spacing w:after="120"/>
        <w:jc w:val="both"/>
      </w:pPr>
      <w:r>
        <w:rPr>
          <w:rFonts w:ascii="Arial" w:cs="Arial" w:eastAsia="Arial" w:hAnsi="Arial"/>
          <w:sz w:val="24"/>
          <w:szCs w:val="24"/>
        </w:rPr>
        <w:t xml:space="preserve">- рост стоимости импорта на основные продовольственные товары и энергоресурсы на фоне нынешней сложившейся ситуации на валютном рынке обусловит дополнительное инфляционное давление на экономику, снижение объемов импортных поступлений;</w:t>
      </w:r>
    </w:p>
    <w:p>
      <w:pPr>
        <w:spacing w:after="120"/>
        <w:jc w:val="both"/>
      </w:pPr>
      <w:r>
        <w:rPr>
          <w:rFonts w:ascii="Arial" w:cs="Arial" w:eastAsia="Arial" w:hAnsi="Arial"/>
          <w:sz w:val="24"/>
          <w:szCs w:val="24"/>
        </w:rPr>
        <w:t xml:space="preserve">- рост уровня безработицы вследствие возврата части мигрантов из России и Казахстана, а также снижение доходов населения из-за уменьшения притока по денежным переводам, возможно, усилит социальную напряженность в республике;</w:t>
      </w:r>
    </w:p>
    <w:p>
      <w:pPr>
        <w:spacing w:after="120"/>
        <w:jc w:val="both"/>
      </w:pPr>
      <w:r>
        <w:rPr>
          <w:rFonts w:ascii="Arial" w:cs="Arial" w:eastAsia="Arial" w:hAnsi="Arial"/>
          <w:sz w:val="24"/>
          <w:szCs w:val="24"/>
        </w:rPr>
        <w:t xml:space="preserve">- риск снижения объемов притока денежных переводов трудовых мигрантов (рост экономической активности во многом обусловлен ростом внутреннего спроса (сумма расходов на конечное потребление и валовое накопление), обеспеченного притоком денежных переводов трудовых мигрантов. Снижение объема поступления денежных переводов повышает риск неустойчивости и волатильности экономического роста, обусловленного влиянием внешних факторов (в первую очередь – экономическое развитие стран-реципиентов трудовой миграции);</w:t>
      </w:r>
    </w:p>
    <w:p>
      <w:pPr>
        <w:spacing w:after="120"/>
        <w:jc w:val="both"/>
      </w:pPr>
      <w:r>
        <w:rPr>
          <w:rFonts w:ascii="Arial" w:cs="Arial" w:eastAsia="Arial" w:hAnsi="Arial"/>
          <w:sz w:val="24"/>
          <w:szCs w:val="24"/>
        </w:rPr>
        <w:t xml:space="preserve">- замедление роста экономики вследствие снижения деловой активности и дефицит источников финансирования экономического роста (экономический рост в республике зависит как от внешних, так и от внутренних источников финансирования. Осложнение ситуации на мировых финансовых рынках может создать препятствия в поступлении внешних заимствований, либо привести к удорожанию стоимости привлекаемых ресурсов);</w:t>
      </w:r>
    </w:p>
    <w:p>
      <w:pPr>
        <w:spacing w:after="120"/>
        <w:jc w:val="both"/>
      </w:pPr>
      <w:r>
        <w:rPr>
          <w:rFonts w:ascii="Arial" w:cs="Arial" w:eastAsia="Arial" w:hAnsi="Arial"/>
          <w:sz w:val="24"/>
          <w:szCs w:val="24"/>
        </w:rPr>
        <w:t xml:space="preserve">- увеличение дефицита государственного бюджета вследствие сокращения потенциальных кредитных и грантовых поступлений при сохранении прежнего уровня социальных расходов.</w:t>
      </w:r>
    </w:p>
    <w:p>
      <w:pPr>
        <w:spacing w:after="120"/>
        <w:jc w:val="both"/>
      </w:pPr>
      <w:r>
        <w:rPr>
          <w:rFonts w:ascii="Arial" w:cs="Arial" w:eastAsia="Arial" w:hAnsi="Arial"/>
          <w:sz w:val="24"/>
          <w:szCs w:val="24"/>
        </w:rPr>
        <w:t xml:space="preserve">Обозначенные факторы воздействия в совокупности могут стать реальной угрозой для достижения ожидаемых макроэкономических параметров в 2014 году.</w:t>
      </w:r>
    </w:p>
    <w:p>
      <w:pPr>
        <w:spacing w:after="120"/>
        <w:jc w:val="both"/>
      </w:pPr>
      <w:r>
        <w:rPr>
          <w:rFonts w:ascii="Arial" w:cs="Arial" w:eastAsia="Arial" w:hAnsi="Arial"/>
          <w:sz w:val="24"/>
          <w:szCs w:val="24"/>
        </w:rPr>
        <w:t xml:space="preserve">Намечено проведение работы по выработке пакета мер/рекомендаций, направленных на изыскание резервов и принятие мер по обеспечению доходной части бюджета в 2014 году.</w:t>
      </w:r>
    </w:p>
    <w:p>
      <w:pPr>
        <w:spacing w:after="120"/>
        <w:jc w:val="both"/>
      </w:pPr>
      <w:r>
        <w:rPr>
          <w:rFonts w:ascii="Arial" w:cs="Arial" w:eastAsia="Arial" w:hAnsi="Arial"/>
          <w:sz w:val="24"/>
          <w:szCs w:val="24"/>
        </w:rPr>
        <w:t xml:space="preserve">Основными резервами увеличения объемов ВВП являются:</w:t>
      </w:r>
    </w:p>
    <w:p>
      <w:pPr>
        <w:spacing w:after="120"/>
        <w:jc w:val="both"/>
      </w:pPr>
      <w:r>
        <w:rPr>
          <w:rFonts w:ascii="Arial" w:cs="Arial" w:eastAsia="Arial" w:hAnsi="Arial"/>
          <w:sz w:val="24"/>
          <w:szCs w:val="24"/>
        </w:rPr>
        <w:t xml:space="preserve">- ожидаемый рост в металлургическом производстве за счет наращивания объемов добычи на предприятиях по разработке месторождений Кумтор 1,6 процентного пункта (заявлены производителем), Бозымчак, Талды-Булак Левобережный;</w:t>
      </w:r>
    </w:p>
    <w:p>
      <w:pPr>
        <w:spacing w:after="120"/>
        <w:jc w:val="both"/>
      </w:pPr>
      <w:r>
        <w:rPr>
          <w:rFonts w:ascii="Arial" w:cs="Arial" w:eastAsia="Arial" w:hAnsi="Arial"/>
          <w:sz w:val="24"/>
          <w:szCs w:val="24"/>
        </w:rPr>
        <w:t xml:space="preserve">- ожидаемый рост производства нефтепродуктов за счет наращивания мощности нефтеперерабатывающих заводов;</w:t>
      </w:r>
    </w:p>
    <w:p>
      <w:pPr>
        <w:spacing w:after="120"/>
        <w:jc w:val="both"/>
      </w:pPr>
      <w:r>
        <w:rPr>
          <w:rFonts w:ascii="Arial" w:cs="Arial" w:eastAsia="Arial" w:hAnsi="Arial"/>
          <w:sz w:val="24"/>
          <w:szCs w:val="24"/>
        </w:rPr>
        <w:t xml:space="preserve">- ожидаемый рост производства в пищеперерабатыващей промышленности за счет эффекта выделяемых кредитных ресурсов;</w:t>
      </w:r>
    </w:p>
    <w:p>
      <w:pPr>
        <w:spacing w:after="120"/>
        <w:jc w:val="both"/>
      </w:pPr>
      <w:r>
        <w:rPr>
          <w:rFonts w:ascii="Arial" w:cs="Arial" w:eastAsia="Arial" w:hAnsi="Arial"/>
          <w:sz w:val="24"/>
          <w:szCs w:val="24"/>
        </w:rPr>
        <w:t xml:space="preserve">- увеличение объемов строительства за счет инвентаризации незавершенного производства и дополнительного ввода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4.Макроэкономический прогноз на 2015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экономической политики на 2015 год является сохранение макроэкономической стабильности и обеспечение положительной динамики экономического роста во всех секторах экономики для выхода на устойчивые темпы экономического роста.</w:t>
      </w:r>
    </w:p>
    <w:p>
      <w:pPr>
        <w:spacing w:after="120"/>
        <w:jc w:val="both"/>
      </w:pPr>
      <w:r>
        <w:rPr>
          <w:rFonts w:ascii="Arial" w:cs="Arial" w:eastAsia="Arial" w:hAnsi="Arial"/>
          <w:sz w:val="24"/>
          <w:szCs w:val="24"/>
        </w:rPr>
        <w:t xml:space="preserve">В основу разработки макроэкономической политики на 2015 год заложены следующие предпосылки и условия.</w:t>
      </w:r>
    </w:p>
    <w:p>
      <w:pPr>
        <w:spacing w:after="120"/>
        <w:jc w:val="both"/>
      </w:pPr>
      <w:r>
        <w:rPr>
          <w:rFonts w:ascii="Arial" w:cs="Arial" w:eastAsia="Arial" w:hAnsi="Arial"/>
          <w:sz w:val="24"/>
          <w:szCs w:val="24"/>
        </w:rPr>
        <w:t xml:space="preserve">Прогнозируемые благоприятные внешние факторы воздействия:</w:t>
      </w:r>
    </w:p>
    <w:p>
      <w:pPr>
        <w:spacing w:after="120"/>
        <w:jc w:val="both"/>
      </w:pPr>
      <w:r>
        <w:rPr>
          <w:rFonts w:ascii="Arial" w:cs="Arial" w:eastAsia="Arial" w:hAnsi="Arial"/>
          <w:sz w:val="24"/>
          <w:szCs w:val="24"/>
        </w:rPr>
        <w:t xml:space="preserve">- политическая стабильность в регионе и странах – основных торговых партнерах;</w:t>
      </w:r>
    </w:p>
    <w:p>
      <w:pPr>
        <w:spacing w:after="120"/>
        <w:jc w:val="both"/>
      </w:pPr>
      <w:r>
        <w:rPr>
          <w:rFonts w:ascii="Arial" w:cs="Arial" w:eastAsia="Arial" w:hAnsi="Arial"/>
          <w:sz w:val="24"/>
          <w:szCs w:val="24"/>
        </w:rPr>
        <w:t xml:space="preserve">- постепенное оздоровление мировой экономики (прогнозируемый рост экономики до 4 %);</w:t>
      </w:r>
    </w:p>
    <w:p>
      <w:pPr>
        <w:spacing w:after="120"/>
        <w:jc w:val="both"/>
      </w:pPr>
      <w:r>
        <w:rPr>
          <w:rFonts w:ascii="Arial" w:cs="Arial" w:eastAsia="Arial" w:hAnsi="Arial"/>
          <w:sz w:val="24"/>
          <w:szCs w:val="24"/>
        </w:rPr>
        <w:t xml:space="preserve">- прогнозируемый экономический рост в соседних государствах – России (2 %), Казахстане (7,1 %), Китае (7,3 %);</w:t>
      </w:r>
    </w:p>
    <w:p>
      <w:pPr>
        <w:spacing w:after="120"/>
        <w:jc w:val="both"/>
      </w:pPr>
      <w:r>
        <w:rPr>
          <w:rFonts w:ascii="Arial" w:cs="Arial" w:eastAsia="Arial" w:hAnsi="Arial"/>
          <w:sz w:val="24"/>
          <w:szCs w:val="24"/>
        </w:rPr>
        <w:t xml:space="preserve">-  прогнозируемый умеренный рост инфляции в странах, основных торговых партнерах Кыргызской Республики в России (4,5-5,5 %), Казахстане (6,0-8,0 %), Китае (3,0 %);</w:t>
      </w:r>
    </w:p>
    <w:p>
      <w:pPr>
        <w:spacing w:after="120"/>
        <w:jc w:val="both"/>
      </w:pPr>
      <w:r>
        <w:rPr>
          <w:rFonts w:ascii="Arial" w:cs="Arial" w:eastAsia="Arial" w:hAnsi="Arial"/>
          <w:sz w:val="24"/>
          <w:szCs w:val="24"/>
        </w:rPr>
        <w:t xml:space="preserve">- расширение внешнеэкономического сотрудничества в рамках Шанхайской организации сотрудничества (ШОС), ЕврАзЭС, СНГ;</w:t>
      </w:r>
    </w:p>
    <w:p>
      <w:pPr>
        <w:spacing w:after="120"/>
        <w:jc w:val="both"/>
      </w:pPr>
      <w:r>
        <w:rPr>
          <w:rFonts w:ascii="Arial" w:cs="Arial" w:eastAsia="Arial" w:hAnsi="Arial"/>
          <w:sz w:val="24"/>
          <w:szCs w:val="24"/>
        </w:rPr>
        <w:t xml:space="preserve">- активное использование членства Кыргызской Республики в ВТО;</w:t>
      </w:r>
    </w:p>
    <w:p>
      <w:pPr>
        <w:spacing w:after="120"/>
        <w:jc w:val="both"/>
      </w:pPr>
      <w:r>
        <w:rPr>
          <w:rFonts w:ascii="Arial" w:cs="Arial" w:eastAsia="Arial" w:hAnsi="Arial"/>
          <w:sz w:val="24"/>
          <w:szCs w:val="24"/>
        </w:rPr>
        <w:t xml:space="preserve">- вступление Кыргызской Республики в Таможенный союз (далее – ТС);</w:t>
      </w:r>
    </w:p>
    <w:p>
      <w:pPr>
        <w:spacing w:after="120"/>
        <w:jc w:val="both"/>
      </w:pPr>
      <w:r>
        <w:rPr>
          <w:rFonts w:ascii="Arial" w:cs="Arial" w:eastAsia="Arial" w:hAnsi="Arial"/>
          <w:sz w:val="24"/>
          <w:szCs w:val="24"/>
        </w:rPr>
        <w:t xml:space="preserve">- углубление сотрудничества с международными экономическими и финансовыми организациями;</w:t>
      </w:r>
    </w:p>
    <w:p>
      <w:pPr>
        <w:spacing w:after="120"/>
        <w:jc w:val="both"/>
      </w:pPr>
      <w:r>
        <w:rPr>
          <w:rFonts w:ascii="Arial" w:cs="Arial" w:eastAsia="Arial" w:hAnsi="Arial"/>
          <w:sz w:val="24"/>
          <w:szCs w:val="24"/>
        </w:rPr>
        <w:t xml:space="preserve">- прогнозируемая стабилизация мировых цен на нефть на уровне 100-105 долларов за баррель, за счет сокращения спроса на нефть из-за замедления темпов роста мировой экономики;</w:t>
      </w:r>
    </w:p>
    <w:p>
      <w:pPr>
        <w:spacing w:after="120"/>
        <w:jc w:val="both"/>
      </w:pPr>
      <w:r>
        <w:rPr>
          <w:rFonts w:ascii="Arial" w:cs="Arial" w:eastAsia="Arial" w:hAnsi="Arial"/>
          <w:sz w:val="24"/>
          <w:szCs w:val="24"/>
        </w:rPr>
        <w:t xml:space="preserve">- мировая тенденция роста инвестиций в инновации.</w:t>
      </w:r>
    </w:p>
    <w:p>
      <w:pPr>
        <w:spacing w:after="120"/>
        <w:jc w:val="both"/>
      </w:pPr>
      <w:r>
        <w:rPr>
          <w:rFonts w:ascii="Arial" w:cs="Arial" w:eastAsia="Arial" w:hAnsi="Arial"/>
          <w:sz w:val="24"/>
          <w:szCs w:val="24"/>
        </w:rPr>
        <w:t xml:space="preserve">Прогнозируемые неблагоприятные внешние факторы воздействия:</w:t>
      </w:r>
    </w:p>
    <w:p>
      <w:pPr>
        <w:spacing w:after="120"/>
        <w:jc w:val="both"/>
      </w:pPr>
      <w:r>
        <w:rPr>
          <w:rFonts w:ascii="Arial" w:cs="Arial" w:eastAsia="Arial" w:hAnsi="Arial"/>
          <w:sz w:val="24"/>
          <w:szCs w:val="24"/>
        </w:rPr>
        <w:t xml:space="preserve">- финансовая неустойчивость мировой экономики;</w:t>
      </w:r>
    </w:p>
    <w:p>
      <w:pPr>
        <w:spacing w:after="120"/>
        <w:jc w:val="both"/>
      </w:pPr>
      <w:r>
        <w:rPr>
          <w:rFonts w:ascii="Arial" w:cs="Arial" w:eastAsia="Arial" w:hAnsi="Arial"/>
          <w:sz w:val="24"/>
          <w:szCs w:val="24"/>
        </w:rPr>
        <w:t xml:space="preserve">- ухудшение условий торговли со странами–основными торговыми партнерами, членами ТС (вхождение в ТС может привести к уравниванию (или к подтягиванию) уровня цен Кыргызской Республики с российскими и казахскими ценами, определенному инфляционному давлению и росту цен;</w:t>
      </w:r>
    </w:p>
    <w:p>
      <w:pPr>
        <w:spacing w:after="120"/>
        <w:jc w:val="both"/>
      </w:pPr>
      <w:r>
        <w:rPr>
          <w:rFonts w:ascii="Arial" w:cs="Arial" w:eastAsia="Arial" w:hAnsi="Arial"/>
          <w:sz w:val="24"/>
          <w:szCs w:val="24"/>
        </w:rPr>
        <w:t xml:space="preserve">- высокая степень зависимости от внешних заимствований на покрытие дефицита государственного бюджета и риски невыполнения Правительством Кыргызской Республики социальных обязательств в случае недопоступления внешнего финансирования на покрытие дефицита бюджета;</w:t>
      </w:r>
    </w:p>
    <w:p>
      <w:pPr>
        <w:spacing w:after="120"/>
        <w:jc w:val="both"/>
      </w:pPr>
      <w:r>
        <w:rPr>
          <w:rFonts w:ascii="Arial" w:cs="Arial" w:eastAsia="Arial" w:hAnsi="Arial"/>
          <w:sz w:val="24"/>
          <w:szCs w:val="24"/>
        </w:rPr>
        <w:t xml:space="preserve">- прогнозируемый рост мировых цен на продовольствие (по оценке ООН - FAO цены на продовольственное сырье в средне- и долгосрочный период будут оставаться относительно высокими в течение примерно следующего десятилетия);</w:t>
      </w:r>
    </w:p>
    <w:p>
      <w:pPr>
        <w:spacing w:after="120"/>
        <w:jc w:val="both"/>
      </w:pPr>
      <w:r>
        <w:rPr>
          <w:rFonts w:ascii="Arial" w:cs="Arial" w:eastAsia="Arial" w:hAnsi="Arial"/>
          <w:sz w:val="24"/>
          <w:szCs w:val="24"/>
        </w:rPr>
        <w:t xml:space="preserve">- зависимость внутреннего рынка хлебопродуктов от импорта зерна и муки;</w:t>
      </w:r>
    </w:p>
    <w:p>
      <w:pPr>
        <w:spacing w:after="120"/>
        <w:jc w:val="both"/>
      </w:pPr>
      <w:r>
        <w:rPr>
          <w:rFonts w:ascii="Arial" w:cs="Arial" w:eastAsia="Arial" w:hAnsi="Arial"/>
          <w:sz w:val="24"/>
          <w:szCs w:val="24"/>
        </w:rPr>
        <w:t xml:space="preserve">- волатильность мировых цен на золото;</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(ГСМ, газ);</w:t>
      </w:r>
    </w:p>
    <w:p>
      <w:pPr>
        <w:spacing w:after="120"/>
        <w:jc w:val="both"/>
      </w:pPr>
      <w:r>
        <w:rPr>
          <w:rFonts w:ascii="Arial" w:cs="Arial" w:eastAsia="Arial" w:hAnsi="Arial"/>
          <w:sz w:val="24"/>
          <w:szCs w:val="24"/>
        </w:rPr>
        <w:t xml:space="preserve">- недопоступление запланированных объемов иностранных инвестиций (связанных с задержкой рассмотрения заявок на получение и продление лицензий, что в целом приводит к потере объемов капитализации).</w:t>
      </w:r>
    </w:p>
    <w:p>
      <w:pPr>
        <w:spacing w:after="120"/>
        <w:jc w:val="both"/>
      </w:pPr>
      <w:r>
        <w:rPr>
          <w:rFonts w:ascii="Arial" w:cs="Arial" w:eastAsia="Arial" w:hAnsi="Arial"/>
          <w:sz w:val="24"/>
          <w:szCs w:val="24"/>
        </w:rPr>
        <w:t xml:space="preserve">Прогнозируемые благоприятные внутренние факторы воздействия:</w:t>
      </w:r>
    </w:p>
    <w:p>
      <w:pPr>
        <w:spacing w:after="120"/>
        <w:jc w:val="both"/>
      </w:pPr>
      <w:r>
        <w:rPr>
          <w:rFonts w:ascii="Arial" w:cs="Arial" w:eastAsia="Arial" w:hAnsi="Arial"/>
          <w:sz w:val="24"/>
          <w:szCs w:val="24"/>
        </w:rPr>
        <w:t xml:space="preserve">- наращивание объемов производства на предприятиях по разработке месторождения Кумтор, ОАО «Кыргызалтын», Бозымчак, Талды-булак Левобережный;</w:t>
      </w:r>
    </w:p>
    <w:p>
      <w:pPr>
        <w:spacing w:after="120"/>
        <w:jc w:val="both"/>
      </w:pPr>
      <w:r>
        <w:rPr>
          <w:rFonts w:ascii="Arial" w:cs="Arial" w:eastAsia="Arial" w:hAnsi="Arial"/>
          <w:sz w:val="24"/>
          <w:szCs w:val="24"/>
        </w:rPr>
        <w:t xml:space="preserve">- выход на проектную производственную мощность производства листового стекла;</w:t>
      </w:r>
    </w:p>
    <w:p>
      <w:pPr>
        <w:spacing w:after="120"/>
        <w:jc w:val="both"/>
      </w:pPr>
      <w:r>
        <w:rPr>
          <w:rFonts w:ascii="Arial" w:cs="Arial" w:eastAsia="Arial" w:hAnsi="Arial"/>
          <w:sz w:val="24"/>
          <w:szCs w:val="24"/>
        </w:rPr>
        <w:t xml:space="preserve">- наращивание объемов производства нефтеперерабатывающего завода в г. Кара-Балта и запуск НПЗ в г. Токмок;</w:t>
      </w:r>
    </w:p>
    <w:p>
      <w:pPr>
        <w:spacing w:after="120"/>
        <w:jc w:val="both"/>
      </w:pPr>
      <w:r>
        <w:rPr>
          <w:rFonts w:ascii="Arial" w:cs="Arial" w:eastAsia="Arial" w:hAnsi="Arial"/>
          <w:sz w:val="24"/>
          <w:szCs w:val="24"/>
        </w:rPr>
        <w:t xml:space="preserve">- запуск крупных инвестиционных проектов и привлечение, продвижение прямых иностранных инвестиций в проекты (горнодобывающая и металлургическая отрасли, электроэнергетика, транспорт и связь);</w:t>
      </w:r>
    </w:p>
    <w:p>
      <w:pPr>
        <w:spacing w:after="120"/>
        <w:jc w:val="both"/>
      </w:pPr>
      <w:r>
        <w:rPr>
          <w:rFonts w:ascii="Arial" w:cs="Arial" w:eastAsia="Arial" w:hAnsi="Arial"/>
          <w:sz w:val="24"/>
          <w:szCs w:val="24"/>
        </w:rPr>
        <w:t xml:space="preserve">- стабильно развивающиеся торгово-экономические отношения со странами - торговыми партнерами страны;</w:t>
      </w:r>
    </w:p>
    <w:p>
      <w:pPr>
        <w:spacing w:after="120"/>
        <w:jc w:val="both"/>
      </w:pPr>
      <w:r>
        <w:rPr>
          <w:rFonts w:ascii="Arial" w:cs="Arial" w:eastAsia="Arial" w:hAnsi="Arial"/>
          <w:sz w:val="24"/>
          <w:szCs w:val="24"/>
        </w:rPr>
        <w:t xml:space="preserve">- продолжение политики выдачи льготных кредитов для развития сельского хозяйства и перерабатывающей промышленности;</w:t>
      </w:r>
    </w:p>
    <w:p>
      <w:pPr>
        <w:spacing w:after="120"/>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 создание благоприятных условий для предпринимательства и инвесторов;</w:t>
      </w:r>
    </w:p>
    <w:p>
      <w:pPr>
        <w:spacing w:after="120"/>
        <w:jc w:val="both"/>
      </w:pPr>
      <w:r>
        <w:rPr>
          <w:rFonts w:ascii="Arial" w:cs="Arial" w:eastAsia="Arial" w:hAnsi="Arial"/>
          <w:sz w:val="24"/>
          <w:szCs w:val="24"/>
        </w:rPr>
        <w:t xml:space="preserve">- прогнозируемое развитие сельского хозяйства, сферы услуг;</w:t>
      </w:r>
    </w:p>
    <w:p>
      <w:pPr>
        <w:spacing w:after="120"/>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w:t>
      </w:r>
    </w:p>
    <w:p>
      <w:pPr>
        <w:spacing w:after="120"/>
        <w:jc w:val="both"/>
      </w:pPr>
      <w:r>
        <w:rPr>
          <w:rFonts w:ascii="Arial" w:cs="Arial" w:eastAsia="Arial" w:hAnsi="Arial"/>
          <w:sz w:val="24"/>
          <w:szCs w:val="24"/>
        </w:rPr>
        <w:t xml:space="preserve">Прогнозируемые неблагоприятные внутренние факторы воздействия:</w:t>
      </w:r>
    </w:p>
    <w:p>
      <w:pPr>
        <w:spacing w:after="120"/>
        <w:jc w:val="both"/>
      </w:pPr>
      <w:r>
        <w:rPr>
          <w:rFonts w:ascii="Arial" w:cs="Arial" w:eastAsia="Arial" w:hAnsi="Arial"/>
          <w:sz w:val="24"/>
          <w:szCs w:val="24"/>
        </w:rPr>
        <w:t xml:space="preserve">- возможные осложнения общественно-политической ситуации и риск оттока капитала и трудовых ресурсов из страны;</w:t>
      </w:r>
    </w:p>
    <w:p>
      <w:pPr>
        <w:spacing w:after="120"/>
        <w:jc w:val="both"/>
      </w:pPr>
      <w:r>
        <w:rPr>
          <w:rFonts w:ascii="Arial" w:cs="Arial" w:eastAsia="Arial" w:hAnsi="Arial"/>
          <w:sz w:val="24"/>
          <w:szCs w:val="24"/>
        </w:rPr>
        <w:t xml:space="preserve">- сохранение высокого уровня дефицита;</w:t>
      </w:r>
    </w:p>
    <w:p>
      <w:pPr>
        <w:spacing w:after="120"/>
        <w:jc w:val="both"/>
      </w:pPr>
      <w:r>
        <w:rPr>
          <w:rFonts w:ascii="Arial" w:cs="Arial" w:eastAsia="Arial" w:hAnsi="Arial"/>
          <w:sz w:val="24"/>
          <w:szCs w:val="24"/>
        </w:rPr>
        <w:t xml:space="preserve">- риски повышения уровня инфляции за счет роста цен на продовольственные товары;</w:t>
      </w:r>
    </w:p>
    <w:p>
      <w:pPr>
        <w:spacing w:after="120"/>
        <w:jc w:val="both"/>
      </w:pPr>
      <w:r>
        <w:rPr>
          <w:rFonts w:ascii="Arial" w:cs="Arial" w:eastAsia="Arial" w:hAnsi="Arial"/>
          <w:sz w:val="24"/>
          <w:szCs w:val="24"/>
        </w:rPr>
        <w:t xml:space="preserve">- прогнозируемые риски маловодья, которые могут существенно повлиять на выработку объемов электрической энергии и возможные суровые природно-климатические факторы, которые могут оказать негативное воздействие на развитие аграрного сектора;</w:t>
      </w:r>
    </w:p>
    <w:p>
      <w:pPr>
        <w:spacing w:after="120"/>
        <w:jc w:val="both"/>
      </w:pPr>
      <w:r>
        <w:rPr>
          <w:rFonts w:ascii="Arial" w:cs="Arial" w:eastAsia="Arial" w:hAnsi="Arial"/>
          <w:sz w:val="24"/>
          <w:szCs w:val="24"/>
        </w:rPr>
        <w:t xml:space="preserve">- повышение закупочных цен на газ;</w:t>
      </w:r>
    </w:p>
    <w:p>
      <w:pPr>
        <w:spacing w:after="120"/>
        <w:jc w:val="both"/>
      </w:pPr>
      <w:r>
        <w:rPr>
          <w:rFonts w:ascii="Arial" w:cs="Arial" w:eastAsia="Arial" w:hAnsi="Arial"/>
          <w:sz w:val="24"/>
          <w:szCs w:val="24"/>
        </w:rPr>
        <w:t xml:space="preserve">- присоединение к Таможенному Союзу (сокращение торговой активности оптовых рынков, челночной торговли за счет влияния условий ТС, которое, в свою очередь, в краткосрочном периоде окажет существенное влияние на занятость);</w:t>
      </w:r>
    </w:p>
    <w:p>
      <w:pPr>
        <w:spacing w:after="120"/>
        <w:jc w:val="both"/>
      </w:pPr>
      <w:r>
        <w:rPr>
          <w:rFonts w:ascii="Arial" w:cs="Arial" w:eastAsia="Arial" w:hAnsi="Arial"/>
          <w:sz w:val="24"/>
          <w:szCs w:val="24"/>
        </w:rPr>
        <w:t xml:space="preserve">- умеренный рост объемов услуг из–за сдержанных темпов реального роста внутренней торговли в результате сокращения объемов реэкспорта в Казахстан, Россию и Узбекистан;</w:t>
      </w:r>
    </w:p>
    <w:p>
      <w:pPr>
        <w:spacing w:after="120"/>
        <w:jc w:val="both"/>
      </w:pPr>
      <w:r>
        <w:rPr>
          <w:rFonts w:ascii="Arial" w:cs="Arial" w:eastAsia="Arial" w:hAnsi="Arial"/>
          <w:sz w:val="24"/>
          <w:szCs w:val="24"/>
        </w:rPr>
        <w:t xml:space="preserve">- увеличение объемов оттока капитала в связи с наступлением сроков погашения большей части полученных кредитов от зарубежных совладельцев предприятий и торговых кредитов.</w:t>
      </w:r>
    </w:p>
    <w:p>
      <w:pPr>
        <w:spacing w:after="120"/>
        <w:jc w:val="both"/>
      </w:pPr>
      <w:r>
        <w:rPr>
          <w:rFonts w:ascii="Arial" w:cs="Arial" w:eastAsia="Arial" w:hAnsi="Arial"/>
          <w:sz w:val="24"/>
          <w:szCs w:val="24"/>
        </w:rPr>
        <w:t xml:space="preserve">- риск роста теневой экономики.</w:t>
      </w:r>
    </w:p>
    <w:p>
      <w:pPr>
        <w:spacing w:after="120"/>
        <w:jc w:val="both"/>
      </w:pPr>
      <w:r>
        <w:rPr>
          <w:rFonts w:ascii="Arial" w:cs="Arial" w:eastAsia="Arial" w:hAnsi="Arial"/>
          <w:sz w:val="24"/>
          <w:szCs w:val="24"/>
        </w:rPr>
        <w:t xml:space="preserve">Исходя из приведенных внешних и внутренних предпосылок и условий развития, согласно произведенным расчетам, основные социально-экономические показатели на 2015 год прогнозируется следующим образом:</w:t>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Структура и темпы роста по секторам, формирующим ВВП</w:t>
      </w:r>
      <w:hyperlink w:history="1" r:id="rIdbp64hfecogx-l-8tomw_j">
        <w:r>
          <w:rPr>
            <w:rFonts w:ascii="Arial" w:cs="Arial" w:eastAsia="Arial" w:hAnsi="Arial"/>
            <w:color w:val="1D4ED8"/>
            <w:sz w:val="24"/>
            <w:szCs w:val="24"/>
            <w:u w:val="single"/>
          </w:rPr>
          <w:t xml:space="preserve">[9]</w:t>
        </w:r>
      </w:hyperlink>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5"/>
        <w:gridCol w:w="987"/>
        <w:gridCol w:w="987"/>
        <w:gridCol w:w="987"/>
        <w:gridCol w:w="987"/>
        <w:gridCol w:w="996"/>
        <w:gridCol w:w="996"/>
        <w:gridCol w:w="996"/>
        <w:gridCol w:w="996"/>
      </w:tblGrid>
      <w:tr>
        <w:tc>
          <w:tcPr>
            <w:tcW w:type="dxa" w:w="2245"/>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4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 ожид.</w:t>
            </w:r>
          </w:p>
        </w:tc>
        <w:tc>
          <w:tcPr>
            <w:tcW w:type="dxa" w:w="3984"/>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 прогноз</w:t>
            </w:r>
          </w:p>
        </w:tc>
      </w:tr>
      <w:tr>
        <w:tc>
          <w:tcPr>
            <w:vMerge w:val="continue"/>
            <w:tcBorders>
              <w:top w:val="single" w:color="CBBF9E" w:sz="4"/>
              <w:left w:val="single" w:color="CBBF9E" w:sz="4"/>
              <w:bottom w:val="single" w:color="CBBF9E" w:sz="4"/>
              <w:right w:val="single" w:color="CBBF9E" w:sz="4"/>
            </w:tcBorders>
          </w:tcP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вклада в рост ВВП, п.п.</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вклада в рост ВВП, п.п.</w:t>
            </w:r>
          </w:p>
        </w:tc>
      </w:tr>
      <w:tr>
        <w:tc>
          <w:tcPr>
            <w:tcW w:type="dxa" w:w="22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ВВП</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388813,7</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442808,1</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r>
      <w:tr>
        <w:tc>
          <w:tcPr>
            <w:tcW w:type="dxa" w:w="22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Сельское хозяйство</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58065,1</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63801,9</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r>
      <w:tr>
        <w:tc>
          <w:tcPr>
            <w:tcW w:type="dxa" w:w="22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58504,0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65392,6</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22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Строительство</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30004,9</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117,5</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38468,2</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tcW w:type="dxa" w:w="22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Сфера услуг</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186391,7</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211569,4</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r>
      <w:tr>
        <w:tc>
          <w:tcPr>
            <w:tcW w:type="dxa" w:w="22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Чистые налоги на продуты и импорт</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55848,0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63575,8</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2015 год номинальный объем ВВП прогнозируется в сумме 442,8 млрд сомов, а реальный темп роста – 106,2 %, дефлятор – 107,2 %.</w:t>
      </w:r>
    </w:p>
    <w:p>
      <w:pPr>
        <w:spacing w:after="120"/>
        <w:jc w:val="both"/>
      </w:pPr>
      <w:r>
        <w:rPr>
          <w:rFonts w:ascii="Arial" w:cs="Arial" w:eastAsia="Arial" w:hAnsi="Arial"/>
          <w:sz w:val="24"/>
          <w:szCs w:val="24"/>
        </w:rPr>
        <w:t xml:space="preserve">Прогнозируемый экономический рост на уровне 6,2 % будет обеспечиваться вкладом в ВВП всех секторов экономики. При этом наибольший вклад будет обеспечен традиционно со стороны сектора услуг (2,3 процентного пункта), а также строительства (1,4 процентного пункта) и промышленности (1,2 процентного пункта), суммарный вклад которых составит 4,9 процентного пункта, а вклад сельского хозяйства (0,4 процентного пункта) будет минимальным.</w:t>
      </w:r>
    </w:p>
    <w:p>
      <w:pPr>
        <w:spacing w:after="120"/>
        <w:jc w:val="both"/>
      </w:pPr>
      <w:r>
        <w:rPr>
          <w:rFonts w:ascii="Arial" w:cs="Arial" w:eastAsia="Arial" w:hAnsi="Arial"/>
          <w:sz w:val="24"/>
          <w:szCs w:val="24"/>
        </w:rPr>
        <w:t xml:space="preserve">В региональном разрезе основная доля производства ВВП в 2015 году будет обеспечиваться за счет функционирования экономик гор. Бишкек, Чуйской, Иссык-Кульской, Джалал-Абадской областей, с удельным весом 75,6 %, суммарный вклад которых в ВВП республики составит 4,98 %. Значительные доли в общем объеме производства ВВП Джалал-Абадской (11,5 %) и Иссык-Кульской (11,96 %) областей связаны с тем, что на территории Джалал-Абадской области производится около 90,0 %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наименьшими вкладами на уровне 1,23 % - Ошской, Баткенской, Нарынской, Таласской и гор. Ош.</w:t>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8"/>
        <w:gridCol w:w="1216"/>
        <w:gridCol w:w="1216"/>
        <w:gridCol w:w="1139"/>
        <w:gridCol w:w="1139"/>
        <w:gridCol w:w="1139"/>
        <w:gridCol w:w="1139"/>
      </w:tblGrid>
      <w:tr>
        <w:tc>
          <w:tcPr>
            <w:tcW w:type="dxa" w:w="318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243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год, ожид.</w:t>
            </w:r>
          </w:p>
        </w:tc>
        <w:tc>
          <w:tcPr>
            <w:tcW w:type="dxa" w:w="4556"/>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год, прогноз</w:t>
            </w:r>
          </w:p>
        </w:tc>
      </w:tr>
      <w:tr>
        <w:tc>
          <w:tcPr>
            <w:vMerge w:val="continue"/>
            <w:tcBorders>
              <w:top w:val="single" w:color="CBBF9E" w:sz="4"/>
              <w:left w:val="single" w:color="CBBF9E" w:sz="4"/>
              <w:bottom w:val="single" w:color="CBBF9E" w:sz="4"/>
              <w:right w:val="single" w:color="CBBF9E" w:sz="4"/>
            </w:tcBorders>
          </w:tcP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вклад в рост ВВП,%</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(Республика)</w:t>
            </w:r>
          </w:p>
        </w:tc>
        <w:tc>
          <w:tcPr>
            <w:tcW w:type="dxa" w:w="12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388813,7</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442808,1</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16308,0</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20600,6</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4,65</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0,21</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40968,5</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50765,1</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0,59</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47313,8</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52957,7</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0,63</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12906,8</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14016,4</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0,16</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30167,1</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34597,4</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7,81</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13988,2</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16348,9</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3,69</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45926,1</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49925,5</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0,77</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161638,2</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180900,4</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40,85</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19596,9</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22696,1</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закрепления положительной динамики развития макроэкономических показателей будет продолжена работа по таким направлениям экономической политики, как стимулирование экономического роста через равномерное распределение налогового бремени на экономику, привлечение внешних и внутренних инвестиций в инфраструктуру, улучшение бизнес-среды и инвестиционного климата, интегрирование экономики в региональную экономическую систему, а также реализация структурных реформ для развития ключевых отраслей экономики (энергетика, горная добыча, переработка сельхозпродукции, транспорт, финансовый сектор и другое); обеспечение продовольственной безопасности через повышение объема внутреннего производства и производительности в сельском хозяйстве, а также создание государственных резервов в достаточном объеме; эффективное управление собственными активами; поддержание либерального торгового режима, установление новых и развитие традиционных двусторонних и многосторонних взаимовыгодных экономических связей, выход на новые рынки сбыта отечественной продукции, увеличение экспорта продукции и постепенного уменьшения отрицательного сальдо торгового баланса.</w:t>
      </w:r>
    </w:p>
    <w:p>
      <w:pPr>
        <w:spacing w:after="120"/>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с появлением новых факторов, направленных на снижение ожидаемых показателей социально-экономического развития в 2014 году, прогнозируемые макроэкономические показатели на 2015 год будут скорректированы.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Денежно-кредитная политика. Индекс потребительских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приоритетных целей развития экономики, Национальный банк Кыргызской Республики (далее НБКР) будет проводить денежно-кредитную политику в рамках Основных направлений денежно-кредитной политики на 2014-2017 годы.</w:t>
      </w:r>
    </w:p>
    <w:p>
      <w:pPr>
        <w:spacing w:after="120"/>
        <w:jc w:val="both"/>
      </w:pPr>
      <w:r>
        <w:rPr>
          <w:rFonts w:ascii="Arial" w:cs="Arial" w:eastAsia="Arial" w:hAnsi="Arial"/>
          <w:sz w:val="24"/>
          <w:szCs w:val="24"/>
        </w:rPr>
        <w:t xml:space="preserve">Достижение и поддержание стабильности цен в 2015 году остается основной целью денежно-кредитной политики НБКР, направленной на реализацию задач, определенных Национальной стратегией устойчивого развития Кыргызской Республики на 2013-2017 годы. Сопутствующей задачей НБКР будет реализация совместных планов Правительства и НБКР, направленных на поддержание макроэкономической стабильности и создание условий для экономического и социального развития страны в среднесрочном периоде.</w:t>
      </w:r>
    </w:p>
    <w:p>
      <w:pPr>
        <w:spacing w:after="120"/>
        <w:jc w:val="both"/>
      </w:pPr>
      <w:r>
        <w:rPr>
          <w:rFonts w:ascii="Arial" w:cs="Arial" w:eastAsia="Arial" w:hAnsi="Arial"/>
          <w:sz w:val="24"/>
          <w:szCs w:val="24"/>
        </w:rPr>
        <w:t xml:space="preserve">Динамику инфляции будут предопределять сохраняющиеся риски воздействия внешних шоков на макроэкономическую ситуацию и такие факторы, как внутренний и внешний совокупный спрос, изменения во внешней конъюнктуре, а также бюджетно-налоговая и тарифная политика. Предполагается, что проведение согласованной денежно-кредитной, бюджетно-налоговой, инвестиционной, антимонопольной и социальной политики позволит удержать инфляцию в 2015 году на уровне однозначных показателей. Важными факторами ценовой стабильности являются сохранение умеренного роста цен на продовольственные товары, снижение накопленных инфляционных ожиданий населения и отсутствие существенных внешних и внутренних шоков спроса и предложения. В случае усиления инфляционного давления, вызванного шоками ценового характера, и если шоки будут продолжительными, НБКР будет ужесточать проводимую денежно-кредитную политику, направленную на ограничение монетарной составляющей инфляции.</w:t>
      </w:r>
    </w:p>
    <w:p>
      <w:pPr>
        <w:spacing w:after="120"/>
        <w:jc w:val="both"/>
      </w:pPr>
      <w:r>
        <w:rPr>
          <w:rFonts w:ascii="Arial" w:cs="Arial" w:eastAsia="Arial" w:hAnsi="Arial"/>
          <w:sz w:val="24"/>
          <w:szCs w:val="24"/>
        </w:rPr>
        <w:t xml:space="preserve">В рамках дальнейшего повышения эффективности денежно-кредитной политики, НБКР будет продолжена работа по совершенствованию и модернизации инструментов денежно-кредитной политики, что в среднесрочной перспективе должно усилить работу процентного трансмиссионного канала и влияние ключевой процентной ставки НБКР на рыночные ставки.</w:t>
      </w:r>
    </w:p>
    <w:p>
      <w:pPr>
        <w:spacing w:after="120"/>
        <w:jc w:val="both"/>
      </w:pPr>
      <w:r>
        <w:rPr>
          <w:rFonts w:ascii="Arial" w:cs="Arial" w:eastAsia="Arial" w:hAnsi="Arial"/>
          <w:sz w:val="24"/>
          <w:szCs w:val="24"/>
        </w:rPr>
        <w:t xml:space="preserve">НБКР продолжит придерживаться принятого Кыргызской Республикой режима плавающего обменного курса и осуществлять интервенции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Операции по покупке золота на внутреннем рынке страны за национальную валюту будут осуществляться в целях пополнения объема международных резервов с учетом ситуации на мировых финансовых рынках.</w:t>
      </w:r>
    </w:p>
    <w:p>
      <w:pPr>
        <w:spacing w:after="120"/>
        <w:jc w:val="both"/>
      </w:pPr>
      <w:r>
        <w:rPr>
          <w:rFonts w:ascii="Arial" w:cs="Arial" w:eastAsia="Arial" w:hAnsi="Arial"/>
          <w:sz w:val="24"/>
          <w:szCs w:val="24"/>
        </w:rPr>
        <w:t xml:space="preserve">В целях сохранения стабильности и целостности банковской системы будет продолжена работа по реализации мероприятий по развитию конкурентной среды, укреплению доверия к банковскому сектору, а также по внедрению принципов системы раннего реагирования на основе риск-ориентированного надзора и применения комплексной оценки деятельности коммерческих банков, включающей оценку управления и системы внутреннего контроля.</w:t>
      </w:r>
    </w:p>
    <w:p>
      <w:pPr>
        <w:spacing w:after="120"/>
        <w:jc w:val="both"/>
      </w:pPr>
      <w:r>
        <w:rPr>
          <w:rFonts w:ascii="Arial" w:cs="Arial" w:eastAsia="Arial" w:hAnsi="Arial"/>
          <w:sz w:val="24"/>
          <w:szCs w:val="24"/>
        </w:rPr>
        <w:t xml:space="preserve">С целью усиления передаточного механизма денежно-кредитной политики Национальным банком будут проводиться мероприятия по повышению доли безналичной составляющей денег в экономике. В этом направлении, в рамках реализации мероприятий Государственной программы по увеличению доли безналичных платежей и расчетов в Кыргызской Республике на 2012-2017 годы, НБКР продолжит осуществлять дальнейший контроль за проведением мероприятий по поэтапному переходу на выплату заработной платы государственным служащим и другим работникам бюджетной сферы, стипендий, пенсий, социальных пособий, по приему платежей в доход государства, а также на оплату товаров и услуг в безналичной форме в Кыргызской Республике.</w:t>
      </w:r>
    </w:p>
    <w:p>
      <w:pPr>
        <w:spacing w:after="120"/>
        <w:jc w:val="both"/>
      </w:pPr>
      <w:r>
        <w:rPr>
          <w:rFonts w:ascii="Arial" w:cs="Arial" w:eastAsia="Arial" w:hAnsi="Arial"/>
          <w:sz w:val="24"/>
          <w:szCs w:val="24"/>
        </w:rPr>
        <w:t xml:space="preserve">В целях защиты прав потребителей и снижения финансовых рисков в платежной системе, НБКР будет осуществлять мероприятия по надзору за функционированием платежной системы страны. Политика в области надзора (наблюдения) за платежной системой будет совершенствоваться с учетом появляющихся на рынке новых участников системы и инновационных технологий. В условиях развития и применения инновационных форм деятельности в сфере платежей и расчетов будет продолжена работа по совершенствованию правового регулирования рынка платежных услуг и поэтапное внедрение системы наблюдения за платежными инструментами и платежными системами, операторами которых являются нефинансовые организации.</w:t>
      </w:r>
    </w:p>
    <w:p>
      <w:pPr>
        <w:spacing w:after="120"/>
        <w:jc w:val="both"/>
      </w:pPr>
      <w:r>
        <w:rPr>
          <w:rFonts w:ascii="Arial" w:cs="Arial" w:eastAsia="Arial" w:hAnsi="Arial"/>
          <w:sz w:val="24"/>
          <w:szCs w:val="24"/>
        </w:rPr>
        <w:t xml:space="preserve">На уровень индекса потребительских цен, как сдерживающее, так и возрастающее влияние будут оказывать такие основные факторы, как: (1) рост цен на продовольственные товары на внутреннем рынке на 14,0 %, непродовольственные товары – в пределах 11,0 %, услуги – на 9,0 %; (3) традиционная зависимость внутреннего рынка хлебопродуктов от импорта муки и зерна; (4) рост цен на сырую нефть (Urals) до 100 долларов США за баррель; (5) изменение цен на коммунальные услуги; (6) сезонные колебания цен на сельхозпродукцию; (7) влияние условий вхождения в Таможенный союз; (8) сдерживание резких колебаний обменного курса инструментами денежно-кредитной политики; (9) прогнозируемые умеренные показатели инфляции в странах - основных торговых партнерах (Россия – 5,0 %, Казахстан - 6,0-8,0 %, Еврозона – 1,2 %, Китай - 3,0 %).</w:t>
      </w:r>
    </w:p>
    <w:p>
      <w:pPr>
        <w:spacing w:after="120"/>
        <w:jc w:val="both"/>
      </w:pPr>
      <w:r>
        <w:rPr>
          <w:rFonts w:ascii="Arial" w:cs="Arial" w:eastAsia="Arial" w:hAnsi="Arial"/>
          <w:sz w:val="24"/>
          <w:szCs w:val="24"/>
        </w:rPr>
        <w:t xml:space="preserve">Прогнозируемая стабилизация и снижение мировых цен на зерно и продовольствия, ввиду высокого урожая в странах производителях, приведет к замедлению роста внутренних цен на продовольственные товары.</w:t>
      </w:r>
    </w:p>
    <w:p>
      <w:pPr>
        <w:spacing w:after="120"/>
        <w:jc w:val="both"/>
      </w:pPr>
      <w:r>
        <w:rPr>
          <w:rFonts w:ascii="Arial" w:cs="Arial" w:eastAsia="Arial" w:hAnsi="Arial"/>
          <w:sz w:val="24"/>
          <w:szCs w:val="24"/>
        </w:rPr>
        <w:t xml:space="preserve">При прогнозировании целевых ориентиров инфляции, основными рисками превышения ожидаемых результатов будут «погодный фактор» и динамика тарифов, которые могут существенно ускорить повышение цен, вследствие чего оценка инфляции может быть пересмотрена.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Бюджетно-налоговая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Бюджетно-налоговая политика будет направлена на увеличение налоговых доходов, упорядочение льгот и освобождений и снижение дефицита бюджета.</w:t>
      </w:r>
    </w:p>
    <w:p>
      <w:pPr>
        <w:spacing w:after="120"/>
        <w:jc w:val="both"/>
      </w:pPr>
      <w:r>
        <w:rPr>
          <w:rFonts w:ascii="Arial" w:cs="Arial" w:eastAsia="Arial" w:hAnsi="Arial"/>
          <w:sz w:val="24"/>
          <w:szCs w:val="24"/>
        </w:rPr>
        <w:t xml:space="preserve">В целом налоговая политика на среднесрочный период останется стабильной. При этом основной целью налоговой политики будет стимулирование роста экономики посредством улучшения бизнес-среды и инвестиционного климата в части упрощения налогообложения и справедливого распределения налогового бремени между хозяйствующими субъектами, в рамках разрабатываемой среднесрочной Концепции фискальной политики на 2014-2017 годы, одним из которых является поэтапное снижение налога с продаж для плательщиков НДС.</w:t>
      </w:r>
    </w:p>
    <w:p>
      <w:pPr>
        <w:spacing w:after="120"/>
        <w:jc w:val="both"/>
      </w:pPr>
      <w:r>
        <w:rPr>
          <w:rFonts w:ascii="Arial" w:cs="Arial" w:eastAsia="Arial" w:hAnsi="Arial"/>
          <w:sz w:val="24"/>
          <w:szCs w:val="24"/>
        </w:rPr>
        <w:t xml:space="preserve">Основными направлениями налоговой и таможенной политики на 2015 год и на последующий среднесрочный период будут:</w:t>
      </w:r>
    </w:p>
    <w:p>
      <w:pPr>
        <w:spacing w:after="120"/>
        <w:jc w:val="both"/>
      </w:pPr>
      <w:r>
        <w:rPr>
          <w:rFonts w:ascii="Arial" w:cs="Arial" w:eastAsia="Arial" w:hAnsi="Arial"/>
          <w:sz w:val="24"/>
          <w:szCs w:val="24"/>
        </w:rPr>
        <w:t xml:space="preserve">1) создание эффективной и стабильной налоговой системы;</w:t>
      </w:r>
    </w:p>
    <w:p>
      <w:pPr>
        <w:spacing w:after="120"/>
        <w:jc w:val="both"/>
      </w:pPr>
      <w:r>
        <w:rPr>
          <w:rFonts w:ascii="Arial" w:cs="Arial" w:eastAsia="Arial" w:hAnsi="Arial"/>
          <w:sz w:val="24"/>
          <w:szCs w:val="24"/>
        </w:rPr>
        <w:t xml:space="preserve">2) упрощение и совершенствование налогового и таможенного администрирования;</w:t>
      </w:r>
    </w:p>
    <w:p>
      <w:pPr>
        <w:spacing w:after="120"/>
        <w:jc w:val="both"/>
      </w:pPr>
      <w:r>
        <w:rPr>
          <w:rFonts w:ascii="Arial" w:cs="Arial" w:eastAsia="Arial" w:hAnsi="Arial"/>
          <w:sz w:val="24"/>
          <w:szCs w:val="24"/>
        </w:rPr>
        <w:t xml:space="preserve">3) повышение прозрачности, выявление и устранение условий для коррупции;</w:t>
      </w:r>
    </w:p>
    <w:p>
      <w:pPr>
        <w:spacing w:after="120"/>
        <w:jc w:val="both"/>
      </w:pPr>
      <w:r>
        <w:rPr>
          <w:rFonts w:ascii="Arial" w:cs="Arial" w:eastAsia="Arial" w:hAnsi="Arial"/>
          <w:sz w:val="24"/>
          <w:szCs w:val="24"/>
        </w:rPr>
        <w:t xml:space="preserve">Для реализации указанных направлений будут выполнены следующие мероприятия:</w:t>
      </w:r>
    </w:p>
    <w:p>
      <w:pPr>
        <w:spacing w:after="120"/>
        <w:jc w:val="both"/>
      </w:pPr>
      <w:r>
        <w:rPr>
          <w:rFonts w:ascii="Arial" w:cs="Arial" w:eastAsia="Arial" w:hAnsi="Arial"/>
          <w:sz w:val="24"/>
          <w:szCs w:val="24"/>
        </w:rPr>
        <w:t xml:space="preserve">- продолжены работы по внедрению автоматизированной информационной системы таможенной службы, включающей систему электронной подачи таможенных деклараций, и автоматизированной информационной системы налоговой службы для подачи налоговой отчетности в электронной форме;</w:t>
      </w:r>
    </w:p>
    <w:p>
      <w:pPr>
        <w:spacing w:after="120"/>
        <w:jc w:val="both"/>
      </w:pPr>
      <w:r>
        <w:rPr>
          <w:rFonts w:ascii="Arial" w:cs="Arial" w:eastAsia="Arial" w:hAnsi="Arial"/>
          <w:sz w:val="24"/>
          <w:szCs w:val="24"/>
        </w:rPr>
        <w:t xml:space="preserve">- внесение изменений в НПА по внедрению современных технологий в налоговом администрировании для упрощения процедур исполнения налогоплательщиками налоговых обязательств (проведение проверок с использованием критериев риска, широкое использование на практике вмененных видов налогов, обязательный патент, налоговый контракт);</w:t>
      </w:r>
    </w:p>
    <w:p>
      <w:pPr>
        <w:spacing w:after="120"/>
        <w:jc w:val="both"/>
      </w:pPr>
      <w:r>
        <w:rPr>
          <w:rFonts w:ascii="Arial" w:cs="Arial" w:eastAsia="Arial" w:hAnsi="Arial"/>
          <w:sz w:val="24"/>
          <w:szCs w:val="24"/>
        </w:rPr>
        <w:t xml:space="preserve">- внесение изменений в законодательство по стимулированию и привлечению к ответственности сотрудников налоговых и таможенных органов и проведение обучающих семинаров по повышению квалификации сотрудников налоговых и таможенных органов;</w:t>
      </w:r>
    </w:p>
    <w:p>
      <w:pPr>
        <w:spacing w:after="120"/>
        <w:jc w:val="both"/>
      </w:pPr>
      <w:r>
        <w:rPr>
          <w:rFonts w:ascii="Arial" w:cs="Arial" w:eastAsia="Arial" w:hAnsi="Arial"/>
          <w:sz w:val="24"/>
          <w:szCs w:val="24"/>
        </w:rPr>
        <w:t xml:space="preserve">- для выравнивания налоговой нагрузки и улучшения инвестиционного климата: пересмотр видов деятельности, осуществляемых на основе добровольного и обязательного патента; разработка проекта НПА, исключающего дублирование НДС и налога с продаж; разработка проектов НПА по пересмотру и оптимизации существующей системы налоговых преференций;</w:t>
      </w:r>
    </w:p>
    <w:p>
      <w:pPr>
        <w:spacing w:after="120"/>
        <w:jc w:val="both"/>
      </w:pPr>
      <w:r>
        <w:rPr>
          <w:rFonts w:ascii="Arial" w:cs="Arial" w:eastAsia="Arial" w:hAnsi="Arial"/>
          <w:sz w:val="24"/>
          <w:szCs w:val="24"/>
        </w:rPr>
        <w:t xml:space="preserve">- для обеспечения полноты сбора налогов: разработка проектов НПА, направленных на упрощение налогового и таможенного администрирования; введение всеобщей налоговой декларации; разработка проектов НПА по введению оплаты налоговых и таможенных платежей в бюджет по безналичной форме;</w:t>
      </w:r>
    </w:p>
    <w:p>
      <w:pPr>
        <w:spacing w:after="120"/>
        <w:jc w:val="both"/>
      </w:pPr>
      <w:r>
        <w:rPr>
          <w:rFonts w:ascii="Arial" w:cs="Arial" w:eastAsia="Arial" w:hAnsi="Arial"/>
          <w:sz w:val="24"/>
          <w:szCs w:val="24"/>
        </w:rPr>
        <w:t xml:space="preserve">- продвижение приоритета по повышению прозрачности и устранению условий для коррупции в фискальной сфере планируется за счёт решения задачи по совершенствованию налогового и таможенного администрирования и автоматизации системы отчетности за счет: (1) проведения анкетирования налогоплательщиков и субъектов ВЭД о степени коррупции в налоговых и таможенных органах; (2) применения административных мер в отношении сотрудников налоговых и таможенных органов, связанных с коррупционными проявлениями; (3) постоянного проведения работы по упрощению системы налоговой отчетности.</w:t>
      </w:r>
    </w:p>
    <w:p>
      <w:pPr>
        <w:spacing w:after="120"/>
        <w:jc w:val="both"/>
      </w:pPr>
      <w:r>
        <w:rPr>
          <w:rFonts w:ascii="Arial" w:cs="Arial" w:eastAsia="Arial" w:hAnsi="Arial"/>
          <w:sz w:val="24"/>
          <w:szCs w:val="24"/>
        </w:rPr>
        <w:t xml:space="preserve">Бюджетная политика будет сфокусирована на следующих приоритетных направлениях: (1) обеспечение бюджетной устойчивости; (2) реформирование системы управления государственными финансами; (3) сохранение устойчивости государственного внешнего долга и увеличение объемов внутреннего заимствования.</w:t>
      </w:r>
    </w:p>
    <w:p>
      <w:pPr>
        <w:spacing w:after="120"/>
        <w:jc w:val="both"/>
      </w:pPr>
      <w:r>
        <w:rPr>
          <w:rFonts w:ascii="Arial" w:cs="Arial" w:eastAsia="Arial" w:hAnsi="Arial"/>
          <w:sz w:val="24"/>
          <w:szCs w:val="24"/>
        </w:rPr>
        <w:t xml:space="preserve">Бюджетная политика будет направлена на решение следующих задач:</w:t>
      </w:r>
    </w:p>
    <w:p>
      <w:pPr>
        <w:spacing w:after="120"/>
        <w:jc w:val="both"/>
      </w:pPr>
      <w:r>
        <w:rPr>
          <w:rFonts w:ascii="Arial" w:cs="Arial" w:eastAsia="Arial" w:hAnsi="Arial"/>
          <w:sz w:val="24"/>
          <w:szCs w:val="24"/>
        </w:rPr>
        <w:t xml:space="preserve">- повышение эффективности управления ресурсами бюджета и оптимизация расходов, в частности, путем сокращения неприоритетных расходов бюджета;</w:t>
      </w:r>
    </w:p>
    <w:p>
      <w:pPr>
        <w:spacing w:after="120"/>
        <w:jc w:val="both"/>
      </w:pPr>
      <w:r>
        <w:rPr>
          <w:rFonts w:ascii="Arial" w:cs="Arial" w:eastAsia="Arial" w:hAnsi="Arial"/>
          <w:sz w:val="24"/>
          <w:szCs w:val="24"/>
        </w:rPr>
        <w:t xml:space="preserve">- выполнение государственных обязательств и социальных гарантий;</w:t>
      </w:r>
    </w:p>
    <w:p>
      <w:pPr>
        <w:spacing w:after="120"/>
        <w:jc w:val="both"/>
      </w:pPr>
      <w:r>
        <w:rPr>
          <w:rFonts w:ascii="Arial" w:cs="Arial" w:eastAsia="Arial" w:hAnsi="Arial"/>
          <w:sz w:val="24"/>
          <w:szCs w:val="24"/>
        </w:rPr>
        <w:t xml:space="preserve">- снижение дефицита бюджета;</w:t>
      </w:r>
    </w:p>
    <w:p>
      <w:pPr>
        <w:spacing w:after="120"/>
        <w:jc w:val="both"/>
      </w:pPr>
      <w:r>
        <w:rPr>
          <w:rFonts w:ascii="Arial" w:cs="Arial" w:eastAsia="Arial" w:hAnsi="Arial"/>
          <w:sz w:val="24"/>
          <w:szCs w:val="24"/>
        </w:rPr>
        <w:t xml:space="preserve">- продолжение проведения тесной координации денежно-кредитной и бюджетно - налоговых политик.</w:t>
      </w:r>
    </w:p>
    <w:p>
      <w:pPr>
        <w:spacing w:after="120"/>
        <w:jc w:val="both"/>
      </w:pPr>
      <w:r>
        <w:rPr>
          <w:rFonts w:ascii="Arial" w:cs="Arial" w:eastAsia="Arial" w:hAnsi="Arial"/>
          <w:sz w:val="24"/>
          <w:szCs w:val="24"/>
        </w:rPr>
        <w:t xml:space="preserve">Для реализации указанных задач будут приняты следующие меры:</w:t>
      </w:r>
    </w:p>
    <w:p>
      <w:pPr>
        <w:spacing w:after="120"/>
        <w:jc w:val="both"/>
      </w:pPr>
      <w:r>
        <w:rPr>
          <w:rFonts w:ascii="Arial" w:cs="Arial" w:eastAsia="Arial" w:hAnsi="Arial"/>
          <w:sz w:val="24"/>
          <w:szCs w:val="24"/>
        </w:rPr>
        <w:t xml:space="preserve">- улучшение таможенного администрирования через перевод большинства импортируемых товаров с системы таможенного оформления на основе веса на ценовую основу; продолжение эффективной реализации акцизной политики; осуществление реформы неналоговых платежей, направленную на оптимизацию государственных платных услуг и эффективное управление государственной собственностью и природными ресурсами; реализация налоговых инициатив, способствующие увеличению доходной части бюджета;</w:t>
      </w:r>
    </w:p>
    <w:p>
      <w:pPr>
        <w:spacing w:after="120"/>
        <w:jc w:val="both"/>
      </w:pPr>
      <w:r>
        <w:rPr>
          <w:rFonts w:ascii="Arial" w:cs="Arial" w:eastAsia="Arial" w:hAnsi="Arial"/>
          <w:sz w:val="24"/>
          <w:szCs w:val="24"/>
        </w:rPr>
        <w:t xml:space="preserve">- совершенствование процесса планирования бюджета; переход от социально-ориентированного бюджета к бюджету развития; сокращение государственных расходов и сдерживание принятия новых расходных инициатив, не имеющих соответствующего финансового подкрепления;</w:t>
      </w:r>
    </w:p>
    <w:p>
      <w:pPr>
        <w:spacing w:after="120"/>
        <w:jc w:val="both"/>
      </w:pPr>
      <w:r>
        <w:rPr>
          <w:rFonts w:ascii="Arial" w:cs="Arial" w:eastAsia="Arial" w:hAnsi="Arial"/>
          <w:sz w:val="24"/>
          <w:szCs w:val="24"/>
        </w:rPr>
        <w:t xml:space="preserve">- усиление бюджетной дисциплины; обеспечение сбалансированности бюджета, основанного на принципе «жить по средствам»; усиление контроля за эффективностью государственных расходов;</w:t>
      </w:r>
    </w:p>
    <w:p>
      <w:pPr>
        <w:spacing w:after="120"/>
        <w:jc w:val="both"/>
      </w:pPr>
      <w:r>
        <w:rPr>
          <w:rFonts w:ascii="Arial" w:cs="Arial" w:eastAsia="Arial" w:hAnsi="Arial"/>
          <w:sz w:val="24"/>
          <w:szCs w:val="24"/>
        </w:rPr>
        <w:t xml:space="preserve">- определение финансовых и нефинансовых индикаторов эффективности использования бюджетных средств; разработка и запуск системы мониторинга и оценки эффективности использования бюджетных средств;</w:t>
      </w:r>
    </w:p>
    <w:p>
      <w:pPr>
        <w:spacing w:after="120"/>
        <w:jc w:val="both"/>
      </w:pPr>
      <w:r>
        <w:rPr>
          <w:rFonts w:ascii="Arial" w:cs="Arial" w:eastAsia="Arial" w:hAnsi="Arial"/>
          <w:sz w:val="24"/>
          <w:szCs w:val="24"/>
        </w:rPr>
        <w:t xml:space="preserve">- повышение заинтересованности ОМСУ в увеличении доходного потенциала и улучшении эффективности расходов; повышение роли и ответственности ОМСУ по управлению местными бюджетами; поэтапное снижение дотационности местных бюджетов;</w:t>
      </w:r>
    </w:p>
    <w:p>
      <w:pPr>
        <w:spacing w:after="120"/>
        <w:jc w:val="both"/>
      </w:pPr>
      <w:r>
        <w:rPr>
          <w:rFonts w:ascii="Arial" w:cs="Arial" w:eastAsia="Arial" w:hAnsi="Arial"/>
          <w:sz w:val="24"/>
          <w:szCs w:val="24"/>
        </w:rPr>
        <w:t xml:space="preserve">- разработка и внедрение информационной системы управления Казначейством; осуществление централизации управления государственными финансами через подключение Казначейства к системе пакетного клиринга и перехода на Единый казначейский счет;</w:t>
      </w:r>
    </w:p>
    <w:p>
      <w:pPr>
        <w:spacing w:after="120"/>
        <w:jc w:val="both"/>
      </w:pPr>
      <w:r>
        <w:rPr>
          <w:rFonts w:ascii="Arial" w:cs="Arial" w:eastAsia="Arial" w:hAnsi="Arial"/>
          <w:sz w:val="24"/>
          <w:szCs w:val="24"/>
        </w:rPr>
        <w:t xml:space="preserve">- осуществление внедрения электронных торгов для проведения государственных закупок и интегрирование системы электронных закупок в бюджетный процесс;</w:t>
      </w:r>
    </w:p>
    <w:p>
      <w:pPr>
        <w:spacing w:after="120"/>
        <w:jc w:val="both"/>
      </w:pPr>
      <w:r>
        <w:rPr>
          <w:rFonts w:ascii="Arial" w:cs="Arial" w:eastAsia="Arial" w:hAnsi="Arial"/>
          <w:sz w:val="24"/>
          <w:szCs w:val="24"/>
        </w:rPr>
        <w:t xml:space="preserve">- финансирование потребности бюджета исключительно за счет выпуска и размещения рыночных инструментов государственного внутреннего заимствования.</w:t>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постепенного снижения бремени долга, в том числе за счет сокращения внешних заимствований при одновременном соблюдении установленного графика выплат по внешнему долгу. В целях достижения устойчивого уровня государственного долга, оптимизации его структуры и создания основы для эффективного управления государственным долгом, политика Правительства Кыргызской Республики будет направлена на:</w:t>
      </w:r>
    </w:p>
    <w:p>
      <w:pPr>
        <w:spacing w:after="120"/>
        <w:jc w:val="both"/>
      </w:pPr>
      <w:r>
        <w:rPr>
          <w:rFonts w:ascii="Arial" w:cs="Arial" w:eastAsia="Arial" w:hAnsi="Arial"/>
          <w:sz w:val="24"/>
          <w:szCs w:val="24"/>
        </w:rPr>
        <w:t xml:space="preserve">- своевременное обслуживание государственного долга;</w:t>
      </w:r>
    </w:p>
    <w:p>
      <w:pPr>
        <w:spacing w:after="120"/>
        <w:jc w:val="both"/>
      </w:pPr>
      <w:r>
        <w:rPr>
          <w:rFonts w:ascii="Arial" w:cs="Arial" w:eastAsia="Arial" w:hAnsi="Arial"/>
          <w:sz w:val="24"/>
          <w:szCs w:val="24"/>
        </w:rPr>
        <w:t xml:space="preserve">- привлечение внешних кредитов и грантов в соответствии с приоритетами государства;</w:t>
      </w:r>
    </w:p>
    <w:p>
      <w:pPr>
        <w:spacing w:after="120"/>
        <w:jc w:val="both"/>
      </w:pPr>
      <w:r>
        <w:rPr>
          <w:rFonts w:ascii="Arial" w:cs="Arial" w:eastAsia="Arial" w:hAnsi="Arial"/>
          <w:sz w:val="24"/>
          <w:szCs w:val="24"/>
        </w:rPr>
        <w:t xml:space="preserve">- проведение работы по реструктуризации двустороннего внешнего долга в рамках реализации Протокола Парижского клуба 2005 года; инициирование механизма конверсионных операций с двусторонним долгом Кыргызской Республики;</w:t>
      </w:r>
    </w:p>
    <w:p>
      <w:pPr>
        <w:spacing w:after="120"/>
        <w:jc w:val="both"/>
      </w:pPr>
      <w:r>
        <w:rPr>
          <w:rFonts w:ascii="Arial" w:cs="Arial" w:eastAsia="Arial" w:hAnsi="Arial"/>
          <w:sz w:val="24"/>
          <w:szCs w:val="24"/>
        </w:rPr>
        <w:t xml:space="preserve">- привлечение новых государственных внешних заимствований при соблюдении минимального уровня льготности займов (грант-элемент) в 35 %; ограничение ежегодных объемов вновь привлекаемых внешних заимствований с, учетом сохранения ежегодного остатка внешнего долга, не превышающего 60 %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инвестиционной политики является </w:t>
      </w:r>
      <w:r>
        <w:rPr>
          <w:rFonts w:ascii="Arial" w:cs="Arial" w:eastAsia="Arial" w:hAnsi="Arial"/>
          <w:sz w:val="24"/>
          <w:szCs w:val="24"/>
        </w:rPr>
        <w:t xml:space="preserve">повышение привлекательности инвестиционного климата Кыргызской Республики и привлечение инвестиций для реализации инвестиционных проектов.</w:t>
      </w:r>
    </w:p>
    <w:p>
      <w:pPr>
        <w:spacing w:after="120"/>
        <w:jc w:val="both"/>
      </w:pPr>
      <w:r>
        <w:rPr>
          <w:rFonts w:ascii="Arial" w:cs="Arial" w:eastAsia="Arial" w:hAnsi="Arial"/>
          <w:sz w:val="24"/>
          <w:szCs w:val="24"/>
        </w:rPr>
        <w:t xml:space="preserve">Стабильность, в том числе, политическая, правовая, экономическая и социальная, является основополагающим фактором для привлечения инвестиций.</w:t>
      </w:r>
    </w:p>
    <w:p>
      <w:pPr>
        <w:spacing w:after="120"/>
        <w:jc w:val="both"/>
      </w:pPr>
      <w:r>
        <w:rPr>
          <w:rFonts w:ascii="Arial" w:cs="Arial" w:eastAsia="Arial" w:hAnsi="Arial"/>
          <w:sz w:val="24"/>
          <w:szCs w:val="24"/>
        </w:rPr>
        <w:t xml:space="preserve">Инвестиционная политика будет направлена на привлечение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проверяющих органов, оказываемых государством услуг. Постепенно будут внедряться механизмы государственно - частного партнерства и планируется реализация пилотных проектов, направленных на улучшение инфраструктуры экономики страны.</w:t>
      </w:r>
    </w:p>
    <w:p>
      <w:pPr>
        <w:spacing w:after="120"/>
        <w:jc w:val="both"/>
      </w:pPr>
      <w:r>
        <w:rPr>
          <w:rFonts w:ascii="Arial" w:cs="Arial" w:eastAsia="Arial" w:hAnsi="Arial"/>
          <w:sz w:val="24"/>
          <w:szCs w:val="24"/>
        </w:rPr>
        <w:t xml:space="preserve">Инвестиционная политика в 2015 году будет сфокусирована на следующих двух приоритетных направлениях: (1) повышение эффективности государственной инвестиционной политики; (2) формирование механизмов привлечения и поддержки инвестиций.</w:t>
      </w:r>
    </w:p>
    <w:p>
      <w:pPr>
        <w:spacing w:after="120"/>
        <w:jc w:val="both"/>
      </w:pPr>
      <w:r>
        <w:rPr>
          <w:rFonts w:ascii="Arial" w:cs="Arial" w:eastAsia="Arial" w:hAnsi="Arial"/>
          <w:sz w:val="24"/>
          <w:szCs w:val="24"/>
        </w:rPr>
        <w:t xml:space="preserve">Продвижение направлений предполагает реализацию следующих мер:</w:t>
      </w:r>
    </w:p>
    <w:p>
      <w:pPr>
        <w:spacing w:after="120"/>
        <w:jc w:val="both"/>
      </w:pPr>
      <w:r>
        <w:rPr>
          <w:rFonts w:ascii="Arial" w:cs="Arial" w:eastAsia="Arial" w:hAnsi="Arial"/>
          <w:sz w:val="24"/>
          <w:szCs w:val="24"/>
        </w:rPr>
        <w:t xml:space="preserve">- активизация работы созданного института по продвижению инвестиций, который будет выступать в качестве координирующего органа и работать по принципу «единого окна», когда любой потенциальный инвестор сможет получить необходимую информацию и содействие в запуске и реализации проекта; внедрение института инвестиционных представителей в дипломатических представительствах, которые будут играть роль агентов для проведения целевых кампаний на местах по привлечению инвестиций в страну;</w:t>
      </w:r>
    </w:p>
    <w:p>
      <w:pPr>
        <w:spacing w:after="120"/>
        <w:jc w:val="both"/>
      </w:pPr>
      <w:r>
        <w:rPr>
          <w:rFonts w:ascii="Arial" w:cs="Arial" w:eastAsia="Arial" w:hAnsi="Arial"/>
          <w:sz w:val="24"/>
          <w:szCs w:val="24"/>
        </w:rPr>
        <w:t xml:space="preserve">- создание единой базы данных по действующим и планируемым инвестиционным проектам; информирование местного населения о потенциальных выгодах планируемых и действующих проектов;</w:t>
      </w:r>
    </w:p>
    <w:p>
      <w:pPr>
        <w:spacing w:after="120"/>
        <w:jc w:val="both"/>
      </w:pPr>
      <w:r>
        <w:rPr>
          <w:rFonts w:ascii="Arial" w:cs="Arial" w:eastAsia="Arial" w:hAnsi="Arial"/>
          <w:sz w:val="24"/>
          <w:szCs w:val="24"/>
        </w:rPr>
        <w:t xml:space="preserve">- разработка порядка реализации прав инвестора на выбор наиболее благоприятного режима в случае изменения законодательства путем принятия подзаконных НПА; законодательное установление четких оснований для принудительного изъятия государством имущества, предусматривающих справедливые механизмы изъятия и компенсации;</w:t>
      </w:r>
    </w:p>
    <w:p>
      <w:pPr>
        <w:spacing w:after="120"/>
        <w:jc w:val="both"/>
      </w:pPr>
      <w:r>
        <w:rPr>
          <w:rFonts w:ascii="Arial" w:cs="Arial" w:eastAsia="Arial" w:hAnsi="Arial"/>
          <w:sz w:val="24"/>
          <w:szCs w:val="24"/>
        </w:rPr>
        <w:t xml:space="preserve">- организация мероприятий по изучению опыта лучших зарубежных агентств по привлечению инвестиций;</w:t>
      </w:r>
    </w:p>
    <w:p>
      <w:pPr>
        <w:spacing w:after="120"/>
        <w:jc w:val="both"/>
      </w:pPr>
      <w:r>
        <w:rPr>
          <w:rFonts w:ascii="Arial" w:cs="Arial" w:eastAsia="Arial" w:hAnsi="Arial"/>
          <w:sz w:val="24"/>
          <w:szCs w:val="24"/>
        </w:rPr>
        <w:t xml:space="preserve">- активное вовлечение бизнес - структуры и институты гражданского сообщества в процесс оценки регулятивного воздействия;</w:t>
      </w:r>
    </w:p>
    <w:p>
      <w:pPr>
        <w:spacing w:after="120"/>
        <w:jc w:val="both"/>
      </w:pPr>
      <w:r>
        <w:rPr>
          <w:rFonts w:ascii="Arial" w:cs="Arial" w:eastAsia="Arial" w:hAnsi="Arial"/>
          <w:sz w:val="24"/>
          <w:szCs w:val="24"/>
        </w:rPr>
        <w:t xml:space="preserve">- продолжение реформирования лицензионно-разрешительной сферы, с акцентом на рациональное использование ограниченных природных ресурсов и сокращение количества действующих лицензий и разрешений контрольно-надзорной сферы, в части ужесточения требований по соблюдению законодательства в сфере экологии;</w:t>
      </w:r>
    </w:p>
    <w:p>
      <w:pPr>
        <w:spacing w:after="120"/>
        <w:jc w:val="both"/>
      </w:pPr>
      <w:r>
        <w:rPr>
          <w:rFonts w:ascii="Arial" w:cs="Arial" w:eastAsia="Arial" w:hAnsi="Arial"/>
          <w:sz w:val="24"/>
          <w:szCs w:val="24"/>
        </w:rPr>
        <w:t xml:space="preserve">- поэтапное внедрение автоматизированной базы данных по проверкам.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развития аграрного сектора является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w:t>
      </w:r>
    </w:p>
    <w:p>
      <w:pPr>
        <w:spacing w:after="120"/>
        <w:jc w:val="both"/>
      </w:pPr>
      <w:r>
        <w:rPr>
          <w:rFonts w:ascii="Arial" w:cs="Arial" w:eastAsia="Arial" w:hAnsi="Arial"/>
          <w:sz w:val="24"/>
          <w:szCs w:val="24"/>
        </w:rPr>
        <w:t xml:space="preserve">- создание эффективных систем управления сельским хозяйством и подготовки кадров, предпосылок для концентрации сельскохозяйственного производства;</w:t>
      </w:r>
    </w:p>
    <w:p>
      <w:pPr>
        <w:spacing w:after="120"/>
        <w:jc w:val="both"/>
      </w:pPr>
      <w:r>
        <w:rPr>
          <w:rFonts w:ascii="Arial" w:cs="Arial" w:eastAsia="Arial" w:hAnsi="Arial"/>
          <w:sz w:val="24"/>
          <w:szCs w:val="24"/>
        </w:rPr>
        <w:t xml:space="preserve">- поддержка роста производства и экспорта агропромышленной продукции;</w:t>
      </w:r>
    </w:p>
    <w:p>
      <w:pPr>
        <w:spacing w:after="120"/>
        <w:jc w:val="both"/>
      </w:pPr>
      <w:r>
        <w:rPr>
          <w:rFonts w:ascii="Arial" w:cs="Arial" w:eastAsia="Arial" w:hAnsi="Arial"/>
          <w:sz w:val="24"/>
          <w:szCs w:val="24"/>
        </w:rPr>
        <w:t xml:space="preserve">- обеспечение сельскохозяйственного производства сервисными услугами;</w:t>
      </w:r>
    </w:p>
    <w:p>
      <w:pPr>
        <w:spacing w:after="120"/>
        <w:jc w:val="both"/>
      </w:pPr>
      <w:r>
        <w:rPr>
          <w:rFonts w:ascii="Arial" w:cs="Arial" w:eastAsia="Arial" w:hAnsi="Arial"/>
          <w:sz w:val="24"/>
          <w:szCs w:val="24"/>
        </w:rPr>
        <w:t xml:space="preserve">- повышение эффективности рационального использования водных и земельных ресурсов.</w:t>
      </w:r>
    </w:p>
    <w:p>
      <w:pPr>
        <w:spacing w:after="120"/>
        <w:jc w:val="both"/>
      </w:pPr>
      <w:r>
        <w:rPr>
          <w:rFonts w:ascii="Arial" w:cs="Arial" w:eastAsia="Arial" w:hAnsi="Arial"/>
          <w:sz w:val="24"/>
          <w:szCs w:val="24"/>
        </w:rPr>
        <w:t xml:space="preserve">Для продвижения указанных направлений будут реализованы меры, заложенные в Программе по переходу Кыргызской Республики к устойчивому развитию на 2013-2017 годы, которые будут способствовать созданию базы для устойчивого роста сельского хозяйства.</w:t>
      </w:r>
    </w:p>
    <w:p>
      <w:pPr>
        <w:spacing w:after="120"/>
        <w:jc w:val="both"/>
      </w:pPr>
      <w:r>
        <w:rPr>
          <w:rFonts w:ascii="Arial" w:cs="Arial" w:eastAsia="Arial" w:hAnsi="Arial"/>
          <w:sz w:val="24"/>
          <w:szCs w:val="24"/>
        </w:rPr>
        <w:t xml:space="preserve">Валовой выпуск продукции сельского хозяйства, лесного хозяйства и рыболовства в 2015 году прогнозируется в объеме 206,7 млрд сомов, а темп реального прироста на уровне 2,5 %, с удельным весом в общем объеме ВВП 14,4 %, а вклад в рост ВВП – 0,4 процентного пункта, за счет прироста в растениеводстве на 3,2 % и животноводстве - на 1,6 %.</w:t>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Динамика темпов роста в сельском хозяйстве на 2014-2015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7"/>
        <w:gridCol w:w="1397"/>
        <w:gridCol w:w="1397"/>
        <w:gridCol w:w="1253"/>
        <w:gridCol w:w="1253"/>
      </w:tblGrid>
      <w:tr>
        <w:tc>
          <w:tcPr>
            <w:tcW w:type="dxa" w:w="487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27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ожид.</w:t>
            </w:r>
          </w:p>
        </w:tc>
        <w:tc>
          <w:tcPr>
            <w:tcW w:type="dxa" w:w="25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 прогноз</w:t>
            </w:r>
          </w:p>
        </w:tc>
      </w:tr>
      <w:tr>
        <w:tc>
          <w:tcPr>
            <w:vMerge w:val="continue"/>
            <w:tcBorders>
              <w:top w:val="single" w:color="CBBF9E" w:sz="4"/>
              <w:left w:val="single" w:color="CBBF9E" w:sz="4"/>
              <w:bottom w:val="single" w:color="CBBF9E" w:sz="4"/>
              <w:right w:val="single" w:color="CBBF9E" w:sz="4"/>
            </w:tcBorders>
          </w:tcPr>
          <w:p/>
        </w:tc>
        <w:tc>
          <w:tcPr>
            <w:tcW w:type="dxa" w:w="1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48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188084,3</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206667,0</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48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Растениеводство</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96932,7</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107067,9</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48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Животноводство</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87542,3</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95844,6</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соответствующими удельными весами 51,7 % и 46,5 %.</w:t>
      </w:r>
    </w:p>
    <w:p>
      <w:pPr>
        <w:spacing w:after="120"/>
        <w:jc w:val="both"/>
      </w:pPr>
      <w:r>
        <w:rPr>
          <w:rFonts w:ascii="Arial" w:cs="Arial" w:eastAsia="Arial" w:hAnsi="Arial"/>
          <w:sz w:val="24"/>
          <w:szCs w:val="24"/>
        </w:rPr>
        <w:t xml:space="preserve">В 2015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улучшения сортов семян, обновления машинно-тракторного парка. Рост в основном будет обеспечен за счет увеличения производства: зерновых культур на 5,3 % за счет увеличения урожайности на 1,3 ц/га; сахарной свеклы – на 12,7 % за счет увеличения посевной площади на 0,7 тыс. га и повышения урожайности до 206,8 ц/га; хлопка – на 10,1 % за счет увеличения посевной площади на 1,7 тыс. га; масличных культур – на 8,7 % за счет увеличения посевной площади на 6,2 тыс. га, картофеля на – 3,3 % за счет увеличения посевной площади на 1,1 тыс. га.</w:t>
      </w:r>
    </w:p>
    <w:p>
      <w:pPr>
        <w:spacing w:after="120"/>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 В 2015 году рост производства мяса в живом весе прогнозируется на уровне 1,5 % и увеличится по сравнению с предыдущим годом на 5,3 тыс. тонн, молочная продукция - на 1,8 %, с увеличением на 26,0 тыс. тонн, яйца – на 1,5 %, с увеличением на 6,2 млн штук и шерсть – на 1,7 %, с увеличением на 0,2 тыс. тонн.</w:t>
      </w:r>
    </w:p>
    <w:p>
      <w:pPr>
        <w:spacing w:after="120"/>
        <w:jc w:val="both"/>
      </w:pPr>
      <w:r>
        <w:rPr>
          <w:rFonts w:ascii="Arial" w:cs="Arial" w:eastAsia="Arial" w:hAnsi="Arial"/>
          <w:sz w:val="24"/>
          <w:szCs w:val="24"/>
        </w:rPr>
        <w:t xml:space="preserve">На достижение целевых показателей производства сельского хозяйства в 2015 году будут влиять следующие предпосылки:</w:t>
      </w:r>
    </w:p>
    <w:p>
      <w:pPr>
        <w:spacing w:after="120"/>
        <w:jc w:val="both"/>
      </w:pPr>
      <w:r>
        <w:rPr>
          <w:rFonts w:ascii="Arial" w:cs="Arial" w:eastAsia="Arial" w:hAnsi="Arial"/>
          <w:sz w:val="24"/>
          <w:szCs w:val="24"/>
        </w:rPr>
        <w:t xml:space="preserve">- эффект предоставленных льготных кредитов по программам «Доступные кредиты фермерам» и «Доступные кредиты фермерам-2», «Финансирование сельского хозяйства», реализованные в 2011-2014 гг., в рамках которых выдано более 8 млрд сомов;</w:t>
      </w:r>
    </w:p>
    <w:p>
      <w:pPr>
        <w:spacing w:after="120"/>
        <w:jc w:val="both"/>
      </w:pPr>
      <w:r>
        <w:rPr>
          <w:rFonts w:ascii="Arial" w:cs="Arial" w:eastAsia="Arial" w:hAnsi="Arial"/>
          <w:sz w:val="24"/>
          <w:szCs w:val="24"/>
        </w:rPr>
        <w:t xml:space="preserve">- продолжение практики предоставления льготных кредитов сельскохозяйственным производителям,</w:t>
      </w:r>
    </w:p>
    <w:p>
      <w:pPr>
        <w:spacing w:after="120"/>
        <w:jc w:val="both"/>
      </w:pPr>
      <w:r>
        <w:rPr>
          <w:rFonts w:ascii="Arial" w:cs="Arial" w:eastAsia="Arial" w:hAnsi="Arial"/>
          <w:sz w:val="24"/>
          <w:szCs w:val="24"/>
        </w:rPr>
        <w:t xml:space="preserve">- продолжение государственной поддержки по предоставлению льгот к доступу к горюче-смазочным материалам, обеспечения фермеров необходимой сельхозтехникой на льготных кредитных условиях, путем закупа сельхозтехники по лизингу; решения проблемы обеспечения крестьян и фермеров азотными минеральными удобрениями;</w:t>
      </w:r>
    </w:p>
    <w:p>
      <w:pPr>
        <w:spacing w:after="120"/>
        <w:jc w:val="both"/>
      </w:pPr>
      <w:r>
        <w:rPr>
          <w:rFonts w:ascii="Arial" w:cs="Arial" w:eastAsia="Arial" w:hAnsi="Arial"/>
          <w:sz w:val="24"/>
          <w:szCs w:val="24"/>
        </w:rPr>
        <w:t xml:space="preserve">- реализации проекта Американского агентства ЮСАИД по развитию семенной индустрии Кыргызстана путем поддержки 14 отобранных семеноводческих хозяйств современной сельхозтехникой, оборудованием и семенами, а также наделением дополнительной орошаемой пашней;</w:t>
      </w:r>
    </w:p>
    <w:p>
      <w:pPr>
        <w:spacing w:after="120"/>
        <w:jc w:val="both"/>
      </w:pPr>
      <w:r>
        <w:rPr>
          <w:rFonts w:ascii="Arial" w:cs="Arial" w:eastAsia="Arial" w:hAnsi="Arial"/>
          <w:sz w:val="24"/>
          <w:szCs w:val="24"/>
        </w:rPr>
        <w:t xml:space="preserve">- укрепление и обновление материально-технической базы государственных сортоиспытательных станций и государственных сортоиспытательных участков, и увеличения объемов производства их семян в питомниках размножения для ускоренного внедрения в производство;</w:t>
      </w:r>
    </w:p>
    <w:p>
      <w:pPr>
        <w:spacing w:after="120"/>
        <w:jc w:val="both"/>
      </w:pPr>
      <w:r>
        <w:rPr>
          <w:rFonts w:ascii="Arial" w:cs="Arial" w:eastAsia="Arial" w:hAnsi="Arial"/>
          <w:sz w:val="24"/>
          <w:szCs w:val="24"/>
        </w:rPr>
        <w:t xml:space="preserve">- создание в регионах частных машинно-технологических станций, технических сервисных пунктов;</w:t>
      </w:r>
    </w:p>
    <w:p>
      <w:pPr>
        <w:spacing w:after="120"/>
        <w:jc w:val="both"/>
      </w:pPr>
      <w:r>
        <w:rPr>
          <w:rFonts w:ascii="Arial" w:cs="Arial" w:eastAsia="Arial" w:hAnsi="Arial"/>
          <w:sz w:val="24"/>
          <w:szCs w:val="24"/>
        </w:rPr>
        <w:t xml:space="preserve">- обеспечение благополучия эпизоотической обстановки в животноводстве по острозаразным болезням;</w:t>
      </w:r>
    </w:p>
    <w:p>
      <w:pPr>
        <w:spacing w:after="120"/>
        <w:jc w:val="both"/>
      </w:pPr>
      <w:r>
        <w:rPr>
          <w:rFonts w:ascii="Arial" w:cs="Arial" w:eastAsia="Arial" w:hAnsi="Arial"/>
          <w:sz w:val="24"/>
          <w:szCs w:val="24"/>
        </w:rPr>
        <w:t xml:space="preserve">- рациональное использование генофонда сельскохозяйственных животных и птиц, повышение эффективности селекционно-племенной работы, создание в каждом аильном округе пунктов искусственного осеменения с использованием ценного генетического материала;</w:t>
      </w:r>
    </w:p>
    <w:p>
      <w:pPr>
        <w:spacing w:after="120"/>
        <w:jc w:val="both"/>
      </w:pPr>
      <w:r>
        <w:rPr>
          <w:rFonts w:ascii="Arial" w:cs="Arial" w:eastAsia="Arial" w:hAnsi="Arial"/>
          <w:sz w:val="24"/>
          <w:szCs w:val="24"/>
        </w:rPr>
        <w:t xml:space="preserve">- улучшение воспроизводства стада, при этом выход молодняка крупного рогатого скота должно составить не менее 85-90 %, мелкого рогатого скота не менее 95-100 %, увеличения средне сдаточного веса животных на откорме крупного рогатого скота до 380-400 кг, мелкого рогатого скота до 50-60 кг путем применения сбалансированных и полноценных по питательным веществам рационов;</w:t>
      </w:r>
    </w:p>
    <w:p>
      <w:pPr>
        <w:spacing w:after="120"/>
        <w:jc w:val="both"/>
      </w:pPr>
      <w:r>
        <w:rPr>
          <w:rFonts w:ascii="Arial" w:cs="Arial" w:eastAsia="Arial" w:hAnsi="Arial"/>
          <w:sz w:val="24"/>
          <w:szCs w:val="24"/>
        </w:rPr>
        <w:t xml:space="preserve">- привлечение прямых инвестиций и собственных средств на развитие отрасли.</w:t>
      </w:r>
    </w:p>
    <w:p>
      <w:pPr>
        <w:spacing w:after="120"/>
        <w:jc w:val="both"/>
      </w:pPr>
      <w:r>
        <w:rPr>
          <w:rFonts w:ascii="Arial" w:cs="Arial" w:eastAsia="Arial" w:hAnsi="Arial"/>
          <w:sz w:val="24"/>
          <w:szCs w:val="24"/>
        </w:rPr>
        <w:t xml:space="preserve">Сельскохозяйственная отрасль представлена почти во всех регионах республики. Основную долю занимают Иссык-Кульская (11,6 %) Джалал-Абадская (18,5 %), Ошская (18,8 %), и Чуйская (24,2 %) области.</w:t>
      </w:r>
    </w:p>
    <w:p>
      <w:pPr>
        <w:spacing w:after="120"/>
        <w:jc w:val="both"/>
      </w:pPr>
      <w:r>
        <w:rPr>
          <w:rFonts w:ascii="Arial" w:cs="Arial" w:eastAsia="Arial" w:hAnsi="Arial"/>
          <w:sz w:val="24"/>
          <w:szCs w:val="24"/>
        </w:rPr>
        <w:t xml:space="preserve">Основными рисками в данном секторе будут неблагоприятные природно-климатические условия, в т.ч. нехватка водных ресурсов; дефицит и снижение качества минеральных удобрений; недостаточная обеспеченность семенами сельскохозяйственных культур; нехватка и неудовлетворительный уровень качества сельхозтехники; непредсказуемость цен на топливо и ГСМ; недостаточная заготовка кормов на зимний период; неблагоприятная эпизоотическая ситуация; неблагоприятное для производителя изменение рыночных цен; неэффективное использование направляемых льготных кредитных ресурсов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4.5.2. Промышленность</w:t>
      </w:r>
      <w:hyperlink w:history="1" r:id="rIdf00nhrakcs9ydeibtsdrc">
        <w:r>
          <w:rPr>
            <w:rFonts w:ascii="Arial" w:cs="Arial" w:eastAsia="Arial" w:hAnsi="Arial"/>
            <w:color w:val="1D4ED8"/>
            <w:sz w:val="24"/>
            <w:szCs w:val="24"/>
            <w:u w:val="single"/>
          </w:rPr>
          <w:t xml:space="preserve">[10]</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объем промышленной продукции (почти 90,0 %) производится пятью экономикообразующими отраслями: производство основных металлов и готовых металлических изделий, кроме машин и оборудования с удельным весом – 44,2 %; производство пищевых продуктов, включая напитки и табак – 15,0 %; текстильное производство, производство одежды и обуви, кожи и прочих кожаных изделий – 5,6 %; производство резиновых и пластмассовых изделий, прочих неметаллических минеральных продуктов – 10,1 % и обеспечение (снабжение) электроэнергией, газом, паром и кондиционированным воздухом с удельным весом 13,4 %.</w:t>
      </w:r>
    </w:p>
    <w:p>
      <w:pPr>
        <w:spacing w:after="120"/>
        <w:jc w:val="both"/>
      </w:pPr>
      <w:r>
        <w:rPr>
          <w:rFonts w:ascii="Arial" w:cs="Arial" w:eastAsia="Arial" w:hAnsi="Arial"/>
          <w:sz w:val="24"/>
          <w:szCs w:val="24"/>
        </w:rPr>
        <w:t xml:space="preserve">Для формирования комплексного подхода по решению вопросов развития промышленности будет продолжена реализация Программы развития обрабатывающей промышленности Кыргызской Республики на 2013-2015 годы (постановление Правительства Кыргызской Республики от 14 марта 2013 года № 133), где определены основные стратегические направления промышленной политики - развитие торговли, обеспечение благоприятного налогового климата, содействие инвестициям, экспорту и кооперации, стимулирование развития переработки отечественного сырья, подготовка кадров, продвижение исследований, разработок и инноваций, усиление роли общественных организаций и др.</w:t>
      </w:r>
    </w:p>
    <w:p>
      <w:pPr>
        <w:spacing w:after="120"/>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активизации деятельности действующих предприятий, предприятий с государственной долей участия и запуска новых производств, простаивающих предприятий.</w:t>
      </w:r>
    </w:p>
    <w:p>
      <w:pPr>
        <w:spacing w:after="120"/>
        <w:jc w:val="both"/>
      </w:pPr>
      <w:r>
        <w:rPr>
          <w:rFonts w:ascii="Arial" w:cs="Arial" w:eastAsia="Arial" w:hAnsi="Arial"/>
          <w:sz w:val="24"/>
          <w:szCs w:val="24"/>
        </w:rPr>
        <w:t xml:space="preserve">Будет продолжена реализация Программы развития текстильного и швейного производства на 2013-2015 годы направленного на формирование благоприятных условий (постановление Правительства Кыргызской Республики от 6 марта 2013 года № 123) и повышение конкурентоспособности отрасли, обеспечение занятости населения. Важность швейной отрасли для экономики республики обусловлена не только ее значительным объемом производства и экспорта, но прежде всего, социальной значимостью. Планируется проведение мероприятий по организации швейного технополиса в Чуйской области, где предусматривается создание новых рабочих мест.</w:t>
      </w:r>
    </w:p>
    <w:p>
      <w:pPr>
        <w:spacing w:after="120"/>
        <w:jc w:val="both"/>
      </w:pPr>
      <w:r>
        <w:rPr>
          <w:rFonts w:ascii="Arial" w:cs="Arial" w:eastAsia="Arial" w:hAnsi="Arial"/>
          <w:sz w:val="24"/>
          <w:szCs w:val="24"/>
        </w:rPr>
        <w:t xml:space="preserve">Эксплуатация и наращивание объемов нефтеперерабатывающего завода ОсОО «Чайна Петроль Компани «Джунда» и Токмокского НПЗ позволят создать дополнительно 1000 рабочих мест, обеспечить бесперебойную поставку ГСМ отрасли экономики и населению.</w:t>
      </w:r>
    </w:p>
    <w:p>
      <w:pPr>
        <w:spacing w:after="120"/>
        <w:jc w:val="both"/>
      </w:pPr>
      <w:r>
        <w:rPr>
          <w:rFonts w:ascii="Arial" w:cs="Arial" w:eastAsia="Arial" w:hAnsi="Arial"/>
          <w:sz w:val="24"/>
          <w:szCs w:val="24"/>
        </w:rPr>
        <w:t xml:space="preserve">Стимулированию процесса обновления основных фондов будет способствовать освобождение поставок по лизинговым операциям от налога на добавленную стоимость и налога с продаж. Для привлечения инвесторов, новых технологий для производства современных видов продукции планируется создание экспортно-промышленных зон.</w:t>
      </w:r>
    </w:p>
    <w:p>
      <w:pPr>
        <w:spacing w:after="120"/>
        <w:jc w:val="both"/>
      </w:pPr>
      <w:r>
        <w:rPr>
          <w:rFonts w:ascii="Arial" w:cs="Arial" w:eastAsia="Arial" w:hAnsi="Arial"/>
          <w:sz w:val="24"/>
          <w:szCs w:val="24"/>
        </w:rPr>
        <w:t xml:space="preserve">Изменение торговых условий, связанных с введением норм и требований Таможенного союза, будет учтено при заключении международных договоров по стандартизации с целью применения на территории Кыргызстана технических регламентов стран Таможенного союза. Будет проведена работа по модернизации испытательных лабораторий.</w:t>
      </w:r>
    </w:p>
    <w:p>
      <w:pPr>
        <w:spacing w:after="120"/>
        <w:jc w:val="both"/>
      </w:pPr>
      <w:r>
        <w:rPr>
          <w:rFonts w:ascii="Arial" w:cs="Arial" w:eastAsia="Arial" w:hAnsi="Arial"/>
          <w:sz w:val="24"/>
          <w:szCs w:val="24"/>
        </w:rPr>
        <w:t xml:space="preserve">Для развития энергетики будут реализованы меры, заложенные в Среднесрочной стратегии развития электроэнергетики на 2012-2017 годы (постановление Правительства Кыргызской Республики от 28 мая 2012 года № 330).</w:t>
      </w:r>
    </w:p>
    <w:p>
      <w:pPr>
        <w:spacing w:after="120"/>
        <w:jc w:val="both"/>
      </w:pPr>
      <w:r>
        <w:rPr>
          <w:rFonts w:ascii="Arial" w:cs="Arial" w:eastAsia="Arial" w:hAnsi="Arial"/>
          <w:sz w:val="24"/>
          <w:szCs w:val="24"/>
        </w:rPr>
        <w:t xml:space="preserve">В результате в промышленном секторе на 2015 год прогнозируется реальный рост объемов производства на 6,0 % за счет устойчивой работы действующих промышленных предприятий и ввода в эксплуатацию новых месторождений. Положительный вклад в рост ВВП составит 1,2 процентного пункта, с удельным весом в общем объеме ВВП 14,8 %. Без учета предприятий по разработке месторождения Кумтор, рост промышленного производства прогнозируется на уровне 7,5 %.</w:t>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Динамика темпов роста в отраслях промышленности,</w:t>
      </w:r>
    </w:p>
    <w:p>
      <w:pPr>
        <w:spacing w:after="120"/>
        <w:jc w:val="both"/>
      </w:pPr>
      <w:r>
        <w:rPr>
          <w:rFonts w:ascii="Arial" w:cs="Arial" w:eastAsia="Arial" w:hAnsi="Arial"/>
          <w:sz w:val="24"/>
          <w:szCs w:val="24"/>
        </w:rPr>
        <w:t xml:space="preserve">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
        <w:gridCol w:w="7070"/>
        <w:gridCol w:w="1258"/>
        <w:gridCol w:w="1207"/>
      </w:tblGrid>
      <w:tr>
        <w:tc>
          <w:tcPr>
            <w:tcW w:type="dxa" w:w="64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5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20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6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Промышленность, всего</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6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r>
      <w:tr>
        <w:tc>
          <w:tcPr>
            <w:tcW w:type="dxa" w:w="6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7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Добыча полезных ископаемых</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r>
      <w:tr>
        <w:tc>
          <w:tcPr>
            <w:tcW w:type="dxa" w:w="6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7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Обрабатывающие производства</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6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7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r>
      <w:tr>
        <w:tc>
          <w:tcPr>
            <w:tcW w:type="dxa" w:w="6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7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обрабатывающем производстве, с самым высоким удельным весом (82,5 %) в производстве промышленной продукции, прогнозируется реальный прирост на 7,0 %, который будет обеспечен в основном за счет:</w:t>
      </w:r>
    </w:p>
    <w:p>
      <w:pPr>
        <w:spacing w:after="120"/>
        <w:jc w:val="both"/>
      </w:pPr>
      <w:r>
        <w:rPr>
          <w:rFonts w:ascii="Arial" w:cs="Arial" w:eastAsia="Arial" w:hAnsi="Arial"/>
          <w:sz w:val="24"/>
          <w:szCs w:val="24"/>
        </w:rPr>
        <w:t xml:space="preserve">- производства основных металлов и готовых металлических изделий (рост на 5,6 %), уд. вес в общем объеме промышленности составит 44,2 %: (а) стабильная работа предприятий по разработке месторождения Кумтор, где прогнозируется прирост объемов на 1,6 %; (б) наращивание объемов месторождений Бозымчак, Талды-Булак Левобережный;</w:t>
      </w:r>
    </w:p>
    <w:p>
      <w:pPr>
        <w:spacing w:after="120"/>
        <w:jc w:val="both"/>
      </w:pPr>
      <w:r>
        <w:rPr>
          <w:rFonts w:ascii="Arial" w:cs="Arial" w:eastAsia="Arial" w:hAnsi="Arial"/>
          <w:sz w:val="24"/>
          <w:szCs w:val="24"/>
        </w:rPr>
        <w:t xml:space="preserve">- производства резиновых и пластмассовых изделий, прочих неметаллических минеральных продуктов (рост на 4,0 %), уд. вес в общем объеме промышленности которого составит 10,1 %: (а) наращивание объемов производства ОсОО «Интергласс», где объем производства листового стекла возрастет на 18,7 % по сравнению с 2014 годом и достигнет 23,5 млн кв. м; (б) рост производства цемента и асбестоцементных изделий прогнозируется за счет развития мощностей ЗАО «Южно Кыргызский Цемент», ОсОО «Южный комбинат строительных материалов», ОАО «Кантский цементный завод», ОсОО «Ак-Сай Цемент», что позволит полностью покрыть потребность внутреннего рынка в цементе;</w:t>
      </w:r>
    </w:p>
    <w:p>
      <w:pPr>
        <w:spacing w:after="120"/>
        <w:jc w:val="both"/>
      </w:pPr>
      <w:r>
        <w:rPr>
          <w:rFonts w:ascii="Arial" w:cs="Arial" w:eastAsia="Arial" w:hAnsi="Arial"/>
          <w:sz w:val="24"/>
          <w:szCs w:val="24"/>
        </w:rPr>
        <w:t xml:space="preserve">- текстильного производства; производство одежды и обуви, кожи и прочих кожаных изделий (уд. вес в общем объеме промышленности – 5,6 %), где прогнозируется реальный прирост на 6,0 %. Наибольший удельный вес в текстильно-швейном производстве занимает швейное производство (более 80,0 %), где прогнозируется рост на 5,0 % за счет роста производства белья нижнего, трикотажного, машинного или ручного вязания, свитеров, джемперов, пуловеров, кардиганов, жилетов и аналогичных изделий трикотажных, машинного или ручного вязания. Прогноз умеренного роста обусловлен возможными рисками при экспорте товаров в условиях вхождения в ТС;</w:t>
      </w:r>
    </w:p>
    <w:p>
      <w:pPr>
        <w:spacing w:after="120"/>
        <w:jc w:val="both"/>
      </w:pPr>
      <w:r>
        <w:rPr>
          <w:rFonts w:ascii="Arial" w:cs="Arial" w:eastAsia="Arial" w:hAnsi="Arial"/>
          <w:sz w:val="24"/>
          <w:szCs w:val="24"/>
        </w:rPr>
        <w:t xml:space="preserve">- реального роста производства продуктов (включая напитки) и табачных изделий (уд. вес – 15,0 %), где прогнозируется рост на 6,7 % за счет роста выпуска сахара на 2,1 %, этилового спирта – на 9,7 %, молочной продукции – на 16,9 %, мукомольно-крупяной продукции – на 2,4 %, пивоваренной продукции – на 9,0 %, безалкогольных напитков – на 4,7 %;</w:t>
      </w:r>
    </w:p>
    <w:p>
      <w:pPr>
        <w:spacing w:after="120"/>
        <w:jc w:val="both"/>
      </w:pPr>
      <w:r>
        <w:rPr>
          <w:rFonts w:ascii="Arial" w:cs="Arial" w:eastAsia="Arial" w:hAnsi="Arial"/>
          <w:sz w:val="24"/>
          <w:szCs w:val="24"/>
        </w:rPr>
        <w:t xml:space="preserve">- увеличения объемов производства нефтепродуктов в 1,9 раза за счет наращивания мощностей нефтеперерабатывающих заводов в гг. Кара-Балта и Токмок;</w:t>
      </w:r>
    </w:p>
    <w:p>
      <w:pPr>
        <w:spacing w:after="120"/>
        <w:jc w:val="both"/>
      </w:pPr>
      <w:r>
        <w:rPr>
          <w:rFonts w:ascii="Arial" w:cs="Arial" w:eastAsia="Arial" w:hAnsi="Arial"/>
          <w:sz w:val="24"/>
          <w:szCs w:val="24"/>
        </w:rPr>
        <w:t xml:space="preserve">- устойчивой работы предприятий по производству электрического оборудования (на 4,3 %) за счет роста выпуска производства трансформаторов малой мощности, ламп накаливания, производства деревянных и бумажных изделий; полиграфической деятельности (на 8,0 %), химического производства (на 29,5 %), производства фармацевтической продукции (на 14,8 %), транспортных средств (на 6,0 %) и т.д.</w:t>
      </w:r>
    </w:p>
    <w:p>
      <w:pPr>
        <w:spacing w:after="120"/>
        <w:jc w:val="both"/>
      </w:pPr>
      <w:r>
        <w:rPr>
          <w:rFonts w:ascii="Arial" w:cs="Arial" w:eastAsia="Arial" w:hAnsi="Arial"/>
          <w:sz w:val="24"/>
          <w:szCs w:val="24"/>
        </w:rPr>
        <w:t xml:space="preserve">(2) В добыче полезных ископаемых (уд. вес 3,3 % в объеме промышленного производства) в 2015 году рост объема производства прогнозируется на уровне 4,6 %. Добыча каменного угля и бурого угля увеличится на 6,7 %, сырой нефти и природного газа – на 1,0 %, металлических руд - на 3,0 %, прочих полезных ископаемых на 8,6 %.</w:t>
      </w:r>
    </w:p>
    <w:p>
      <w:pPr>
        <w:spacing w:after="120"/>
        <w:jc w:val="both"/>
      </w:pPr>
      <w:r>
        <w:rPr>
          <w:rFonts w:ascii="Arial" w:cs="Arial" w:eastAsia="Arial" w:hAnsi="Arial"/>
          <w:sz w:val="24"/>
          <w:szCs w:val="24"/>
        </w:rPr>
        <w:t xml:space="preserve">(3) В обеспечение (снабжение) электроэнергией, газом, паром и кондиционированным воздухом (уд. вес 13,4 %) на 2015 год объемы прогнозируются почти на уровне ожидаемых показателей в 2014 году.</w:t>
      </w:r>
    </w:p>
    <w:p>
      <w:pPr>
        <w:spacing w:after="120"/>
        <w:jc w:val="both"/>
      </w:pPr>
      <w:r>
        <w:rPr>
          <w:rFonts w:ascii="Arial" w:cs="Arial" w:eastAsia="Arial" w:hAnsi="Arial"/>
          <w:sz w:val="24"/>
          <w:szCs w:val="24"/>
        </w:rPr>
        <w:t xml:space="preserve">Выработка электроэнергии прогнозируется на уровне 14 364,5 млн кВт. ч, которая рассчитана с учетом среднемноголетней приточности р. Нарын в створе Токтогульского гидроузла выше среднемноголетнего значения на 10 %, индекс физического объема составит 100,6 % за счет незначительного роста выработки электроэнергии, а также увеличения объема выработки тепловой энергии и покупного газа.</w:t>
      </w:r>
    </w:p>
    <w:p>
      <w:pPr>
        <w:spacing w:after="120"/>
        <w:jc w:val="both"/>
      </w:pPr>
      <w:r>
        <w:rPr>
          <w:rFonts w:ascii="Arial" w:cs="Arial" w:eastAsia="Arial" w:hAnsi="Arial"/>
          <w:sz w:val="24"/>
          <w:szCs w:val="24"/>
        </w:rPr>
        <w:t xml:space="preserve">В 2015 году предусмотрены:</w:t>
      </w:r>
    </w:p>
    <w:p>
      <w:pPr>
        <w:spacing w:after="120"/>
        <w:jc w:val="both"/>
      </w:pPr>
      <w:r>
        <w:rPr>
          <w:rFonts w:ascii="Arial" w:cs="Arial" w:eastAsia="Arial" w:hAnsi="Arial"/>
          <w:sz w:val="24"/>
          <w:szCs w:val="24"/>
        </w:rPr>
        <w:t xml:space="preserve">- продолжение реконструкции ТЭЦ г. Бишкек (завершение - 2016г.), результатом которой станет увеличение мощности на 300 МВт и использование кыргызских углей, что позволит заменить износившееся оборудование, введенное 50 лет назад, для создания базовой, гарантированной электрической мощности, неподверженной водным режимам;</w:t>
      </w:r>
    </w:p>
    <w:p>
      <w:pPr>
        <w:spacing w:after="120"/>
        <w:jc w:val="both"/>
      </w:pPr>
      <w:r>
        <w:rPr>
          <w:rFonts w:ascii="Arial" w:cs="Arial" w:eastAsia="Arial" w:hAnsi="Arial"/>
          <w:sz w:val="24"/>
          <w:szCs w:val="24"/>
        </w:rPr>
        <w:t xml:space="preserve">- ввод в работу гидроагрегата №2 Камбаратинской ГЭС-2 – 2015-2016гг.;</w:t>
      </w:r>
    </w:p>
    <w:p>
      <w:pPr>
        <w:spacing w:after="120"/>
        <w:jc w:val="both"/>
      </w:pPr>
      <w:r>
        <w:rPr>
          <w:rFonts w:ascii="Arial" w:cs="Arial" w:eastAsia="Arial" w:hAnsi="Arial"/>
          <w:sz w:val="24"/>
          <w:szCs w:val="24"/>
        </w:rPr>
        <w:t xml:space="preserve">- продолжение реконструкции Токтогульской ГЭС (завершение в 2016г.).</w:t>
      </w:r>
    </w:p>
    <w:p>
      <w:pPr>
        <w:spacing w:after="120"/>
        <w:jc w:val="both"/>
      </w:pPr>
      <w:r>
        <w:rPr>
          <w:rFonts w:ascii="Arial" w:cs="Arial" w:eastAsia="Arial" w:hAnsi="Arial"/>
          <w:sz w:val="24"/>
          <w:szCs w:val="24"/>
        </w:rPr>
        <w:t xml:space="preserve">Всего в 2015 году поступление природного газа в Кыргызскую Республику прогнозируется в объеме 520,3 млн м3, что в 1,7 раза больше по сравнению с ожидаемым в 2014 году.</w:t>
      </w:r>
    </w:p>
    <w:p>
      <w:pPr>
        <w:spacing w:after="120"/>
        <w:jc w:val="both"/>
      </w:pPr>
      <w:r>
        <w:rPr>
          <w:rFonts w:ascii="Arial" w:cs="Arial" w:eastAsia="Arial" w:hAnsi="Arial"/>
          <w:sz w:val="24"/>
          <w:szCs w:val="24"/>
        </w:rPr>
        <w:t xml:space="preserve">Политика развития энергетического сектора будет сфокусирована на четырех приоритетных направлениях для осуществления реформы:</w:t>
      </w:r>
    </w:p>
    <w:p>
      <w:pPr>
        <w:spacing w:after="120"/>
        <w:jc w:val="both"/>
      </w:pPr>
      <w:r>
        <w:rPr>
          <w:rFonts w:ascii="Arial" w:cs="Arial" w:eastAsia="Arial" w:hAnsi="Arial"/>
          <w:sz w:val="24"/>
          <w:szCs w:val="24"/>
        </w:rPr>
        <w:t xml:space="preserve">- совершенствование регулирования развития энергетического сектора (реформа тарифной политики, реформа энергосектора);</w:t>
      </w:r>
    </w:p>
    <w:p>
      <w:pPr>
        <w:spacing w:after="120"/>
        <w:jc w:val="both"/>
      </w:pPr>
      <w:r>
        <w:rPr>
          <w:rFonts w:ascii="Arial" w:cs="Arial" w:eastAsia="Arial" w:hAnsi="Arial"/>
          <w:sz w:val="24"/>
          <w:szCs w:val="24"/>
        </w:rPr>
        <w:t xml:space="preserve">- создание условий для стимулирования энергосбережения (реформа энергосбережения);</w:t>
      </w:r>
    </w:p>
    <w:p>
      <w:pPr>
        <w:spacing w:after="120"/>
        <w:jc w:val="both"/>
      </w:pPr>
      <w:r>
        <w:rPr>
          <w:rFonts w:ascii="Arial" w:cs="Arial" w:eastAsia="Arial" w:hAnsi="Arial"/>
          <w:sz w:val="24"/>
          <w:szCs w:val="24"/>
        </w:rPr>
        <w:t xml:space="preserve">- развитие возобновляемых источников энергии;</w:t>
      </w:r>
    </w:p>
    <w:p>
      <w:pPr>
        <w:spacing w:after="120"/>
        <w:jc w:val="both"/>
      </w:pPr>
      <w:r>
        <w:rPr>
          <w:rFonts w:ascii="Arial" w:cs="Arial" w:eastAsia="Arial" w:hAnsi="Arial"/>
          <w:sz w:val="24"/>
          <w:szCs w:val="24"/>
        </w:rPr>
        <w:t xml:space="preserve">- устойчивое развитие энергетического сектора и соблюдение норм экологической безопасности (реформа экспортоориентированной энергетики).</w:t>
      </w:r>
    </w:p>
    <w:p>
      <w:pPr>
        <w:spacing w:after="120"/>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занимает незначительный удельный вес (0,8 %), прогнозируется реальный рост на уровне 4,2 % за счет сбора, обработки и распределения воды (водоснабжение) (рост на 3,5 %), сбора, обработки и уничтожения отходов, получения вторичного сырья (на 5,0 %) и проведения обеззараживания и прочей обработки отходов (на 6,0 %).</w:t>
      </w:r>
    </w:p>
    <w:p>
      <w:pPr>
        <w:spacing w:after="120"/>
        <w:jc w:val="both"/>
      </w:pPr>
      <w:r>
        <w:rPr>
          <w:rFonts w:ascii="Arial" w:cs="Arial" w:eastAsia="Arial" w:hAnsi="Arial"/>
          <w:sz w:val="24"/>
          <w:szCs w:val="24"/>
        </w:rPr>
        <w:t xml:space="preserve">Рост физического объема промышленной продукции прогнозируется достичь во всех регионах республики. Основной вклад в объем промышленного производства традиционно внесет Чуйская (35,7 %), Иссык-Кульская (19,9 %), Джалал-Абадская (11,3 %) области и гор. Бишкек (24,3 %), суммарная доля которых составит 91,1 %. В Иссык-Кульской и Чуйской областях рост объемов производства промышленной продукции прогнозируется за счет активизации работы предприятий по разработке месторождений Кумтор, Джалал-Абадской области – ввода в эксплуатацию месторождения Бозымчак.</w:t>
      </w:r>
    </w:p>
    <w:p>
      <w:pPr>
        <w:spacing w:after="120"/>
        <w:jc w:val="both"/>
      </w:pPr>
      <w:r>
        <w:rPr>
          <w:rFonts w:ascii="Arial" w:cs="Arial" w:eastAsia="Arial" w:hAnsi="Arial"/>
          <w:sz w:val="24"/>
          <w:szCs w:val="24"/>
        </w:rPr>
        <w:t xml:space="preserve">Возможными рисками является увеличение контрафактной швейной продукции китайского производства под брендом «Сделано в Кыргызстане», изменение условий при экспорте/импорте товаров в рамках вхождения в Таможенный союз, несвоевременный ввод запланированных месторождений, остановка производства на руднике Кумтор из-за техногенных факторов, необеспеченность сырьем введенных нефтеперерабатывающих предприятий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4.5.3.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2015 году развитие строительного сектора экономики прогнозируется ускоренными темпами и станет одним из значимых направлений, обеспечивающих устойчивый рост национальной экономики за счет реализации крупных инвестиционных проектов, заложенных в Программе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В результате принятия комплексных мер развития, в строительном комплексе страны в 2015 году прогнозируется увеличение капитальных вложений на 22,0 % и объемы составят 131,4 млрд сомов.</w:t>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Динамика темпов роста в строительной отрасли на 2014 -2015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49"/>
        <w:gridCol w:w="1355"/>
        <w:gridCol w:w="1355"/>
        <w:gridCol w:w="1209"/>
        <w:gridCol w:w="1209"/>
      </w:tblGrid>
      <w:tr>
        <w:tc>
          <w:tcPr>
            <w:tcW w:type="dxa" w:w="504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271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ожид.</w:t>
            </w:r>
          </w:p>
        </w:tc>
        <w:tc>
          <w:tcPr>
            <w:tcW w:type="dxa" w:w="24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 прогноз</w:t>
            </w:r>
          </w:p>
        </w:tc>
      </w:tr>
      <w:tr>
        <w:tc>
          <w:tcPr>
            <w:vMerge w:val="continue"/>
            <w:tcBorders>
              <w:top w:val="single" w:color="CBBF9E" w:sz="4"/>
              <w:left w:val="single" w:color="CBBF9E" w:sz="4"/>
              <w:bottom w:val="single" w:color="CBBF9E" w:sz="4"/>
              <w:right w:val="single" w:color="CBBF9E" w:sz="4"/>
            </w:tcBorders>
          </w:tcP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1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504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Инвестиции в основной капитал</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99645,8</w:t>
            </w:r>
          </w:p>
        </w:tc>
        <w:tc>
          <w:tcPr>
            <w:tcW w:type="dxa" w:w="1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118,0</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131391,5</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122,0</w:t>
            </w:r>
          </w:p>
        </w:tc>
      </w:tr>
      <w:tr>
        <w:tc>
          <w:tcPr>
            <w:tcW w:type="dxa" w:w="504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4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Внутренние инвестиции</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59102,6</w:t>
            </w:r>
          </w:p>
        </w:tc>
        <w:tc>
          <w:tcPr>
            <w:tcW w:type="dxa" w:w="1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73041,9</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r>
      <w:tr>
        <w:tc>
          <w:tcPr>
            <w:tcW w:type="dxa" w:w="504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Внешние инвестиции</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40543,2</w:t>
            </w:r>
          </w:p>
        </w:tc>
        <w:tc>
          <w:tcPr>
            <w:tcW w:type="dxa" w:w="1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133,8</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58349,6</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133,1</w:t>
            </w:r>
          </w:p>
        </w:tc>
      </w:tr>
      <w:tr>
        <w:tc>
          <w:tcPr>
            <w:tcW w:type="dxa" w:w="504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строительства</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89754,3</w:t>
            </w:r>
          </w:p>
        </w:tc>
        <w:tc>
          <w:tcPr>
            <w:tcW w:type="dxa" w:w="1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117,5</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115071,0</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капитальных вложений относительно ожидаемого 2014 года изменится в сторону сокращения доли внутренних инвестиций с 59,3 % до 55,6 % и, соответственно, увеличения доли внешних инвестиций с 40,7 % до 44,4 %.</w:t>
      </w:r>
    </w:p>
    <w:p>
      <w:pPr>
        <w:spacing w:after="120"/>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составляя 85,8 %.</w:t>
      </w:r>
    </w:p>
    <w:p>
      <w:pPr>
        <w:spacing w:after="120"/>
        <w:jc w:val="both"/>
      </w:pPr>
      <w:r>
        <w:rPr>
          <w:rFonts w:ascii="Arial" w:cs="Arial" w:eastAsia="Arial" w:hAnsi="Arial"/>
          <w:sz w:val="24"/>
          <w:szCs w:val="24"/>
        </w:rPr>
        <w:t xml:space="preserve">Приоритетными направлениями в строительстве в 2015 году будут объекты строительства индивидуального жилья; объекты транспортной магистрали; объекты энергетики (работы по строительству линий электропередачи, связывающих территорию страны в единое энергетическое кольцо).</w:t>
      </w:r>
    </w:p>
    <w:p>
      <w:pPr>
        <w:spacing w:after="120"/>
        <w:jc w:val="both"/>
      </w:pPr>
      <w:r>
        <w:rPr>
          <w:rFonts w:ascii="Arial" w:cs="Arial" w:eastAsia="Arial" w:hAnsi="Arial"/>
          <w:sz w:val="24"/>
          <w:szCs w:val="24"/>
        </w:rPr>
        <w:t xml:space="preserve">В 2015 году за счет республиканского бюджета капитальные вложения будут направлены на:</w:t>
      </w:r>
    </w:p>
    <w:p>
      <w:pPr>
        <w:spacing w:after="120"/>
        <w:jc w:val="both"/>
      </w:pPr>
      <w:r>
        <w:rPr>
          <w:rFonts w:ascii="Arial" w:cs="Arial" w:eastAsia="Arial" w:hAnsi="Arial"/>
          <w:sz w:val="24"/>
          <w:szCs w:val="24"/>
        </w:rPr>
        <w:t xml:space="preserve">- строительство и реконструкцию объектов инфраструктуры социально-культурного назначения, строительство объектов образования, автомобильных дорог и др.;</w:t>
      </w:r>
    </w:p>
    <w:p>
      <w:pPr>
        <w:spacing w:after="120"/>
        <w:jc w:val="both"/>
      </w:pPr>
      <w:r>
        <w:rPr>
          <w:rFonts w:ascii="Arial" w:cs="Arial" w:eastAsia="Arial" w:hAnsi="Arial"/>
          <w:sz w:val="24"/>
          <w:szCs w:val="24"/>
        </w:rPr>
        <w:t xml:space="preserve">- реализацию мероприятий согласно Государственной программе строительства водохозяйственных объектов и освоения новых орошаемых земель в Кыргызской Республике на 2011-2015 годы, утвержденной постановлением Правительства Кыргызской Республики от 16 мая 2011 года № 229;</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2015 году:</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55,0 млн долл. США, из них планируется освоить в 2015 году 911,6 млн сомов;</w:t>
      </w:r>
    </w:p>
    <w:p>
      <w:pPr>
        <w:spacing w:after="120"/>
        <w:jc w:val="both"/>
      </w:pPr>
      <w:r>
        <w:rPr>
          <w:rFonts w:ascii="Arial" w:cs="Arial" w:eastAsia="Arial" w:hAnsi="Arial"/>
          <w:sz w:val="24"/>
          <w:szCs w:val="24"/>
        </w:rPr>
        <w:t xml:space="preserve">- строительство Верхне-Нарынского каскада ГЭС, с объемом финансирования в размере 116,7 млн долл. США;</w:t>
      </w:r>
    </w:p>
    <w:p>
      <w:pPr>
        <w:spacing w:after="120"/>
        <w:jc w:val="both"/>
      </w:pPr>
      <w:r>
        <w:rPr>
          <w:rFonts w:ascii="Arial" w:cs="Arial" w:eastAsia="Arial" w:hAnsi="Arial"/>
          <w:sz w:val="24"/>
          <w:szCs w:val="24"/>
        </w:rPr>
        <w:t xml:space="preserve">- строительство Камбар-Атинской ГЭС-1, с объемом финансирования в размере 340 млн долл. США;</w:t>
      </w:r>
    </w:p>
    <w:p>
      <w:pPr>
        <w:spacing w:after="120"/>
        <w:jc w:val="both"/>
      </w:pPr>
      <w:r>
        <w:rPr>
          <w:rFonts w:ascii="Arial" w:cs="Arial" w:eastAsia="Arial" w:hAnsi="Arial"/>
          <w:sz w:val="24"/>
          <w:szCs w:val="24"/>
        </w:rPr>
        <w:t xml:space="preserve">- обеспечение пуска 2-го гидроагрегата Камбар-Атинской ГЭС-2, с объемом финансирования в размере 37,5 млн долл. США;</w:t>
      </w:r>
    </w:p>
    <w:p>
      <w:pPr>
        <w:spacing w:after="120"/>
        <w:jc w:val="both"/>
      </w:pPr>
      <w:r>
        <w:rPr>
          <w:rFonts w:ascii="Arial" w:cs="Arial" w:eastAsia="Arial" w:hAnsi="Arial"/>
          <w:sz w:val="24"/>
          <w:szCs w:val="24"/>
        </w:rPr>
        <w:t xml:space="preserve">- реконструкция ТЭЦ города Бишкек (КНР, кредит) с объемом финансирования в размере 8739 млн сомов;</w:t>
      </w:r>
    </w:p>
    <w:p>
      <w:pPr>
        <w:spacing w:after="120"/>
        <w:jc w:val="both"/>
      </w:pPr>
      <w:r>
        <w:rPr>
          <w:rFonts w:ascii="Arial" w:cs="Arial" w:eastAsia="Arial" w:hAnsi="Arial"/>
          <w:sz w:val="24"/>
          <w:szCs w:val="24"/>
        </w:rPr>
        <w:t xml:space="preserve">- проект «Строительство ЛЭП 500 кВ «Датка-Кемин» и ПС 500 кВ «Кемин» (Экспортно-импортный банк Китая, кредит), с объемом финансирования в размере 1495,4 млн сомов.</w:t>
      </w:r>
    </w:p>
    <w:p>
      <w:pPr>
        <w:spacing w:after="120"/>
        <w:jc w:val="both"/>
      </w:pPr>
      <w:r>
        <w:rPr>
          <w:rFonts w:ascii="Arial" w:cs="Arial" w:eastAsia="Arial" w:hAnsi="Arial"/>
          <w:sz w:val="24"/>
          <w:szCs w:val="24"/>
        </w:rPr>
        <w:t xml:space="preserve">В части работы по дорожно-транспортной инфраструктуре в 2015 году прогнозируется продолжение реализации следующих проектов:</w:t>
      </w:r>
    </w:p>
    <w:p>
      <w:pPr>
        <w:spacing w:after="120"/>
        <w:jc w:val="both"/>
      </w:pPr>
      <w:r>
        <w:rPr>
          <w:rFonts w:ascii="Arial" w:cs="Arial" w:eastAsia="Arial" w:hAnsi="Arial"/>
          <w:sz w:val="24"/>
          <w:szCs w:val="24"/>
        </w:rPr>
        <w:t xml:space="preserve">- реабилитация автодороги «Тараз-Талас-Суусамыр» с 75 по 105 км, с объемом финансирования в размере 396,2 млн сомов;</w:t>
      </w:r>
    </w:p>
    <w:p>
      <w:pPr>
        <w:spacing w:after="120"/>
        <w:jc w:val="both"/>
      </w:pPr>
      <w:r>
        <w:rPr>
          <w:rFonts w:ascii="Arial" w:cs="Arial" w:eastAsia="Arial" w:hAnsi="Arial"/>
          <w:sz w:val="24"/>
          <w:szCs w:val="24"/>
        </w:rPr>
        <w:t xml:space="preserve">- реабилитация автодороги «Ош-Баткен-Исфана», с объемом финансирования в размере 362,2 млн сомов;</w:t>
      </w:r>
    </w:p>
    <w:p>
      <w:pPr>
        <w:spacing w:after="120"/>
        <w:jc w:val="both"/>
      </w:pPr>
      <w:r>
        <w:rPr>
          <w:rFonts w:ascii="Arial" w:cs="Arial" w:eastAsia="Arial" w:hAnsi="Arial"/>
          <w:sz w:val="24"/>
          <w:szCs w:val="24"/>
        </w:rPr>
        <w:t xml:space="preserve">- реабилитация автодороги «Бишкек-Нарын-Торугарт», с объемом финансирования в размере 924,2 млн сомов;</w:t>
      </w:r>
    </w:p>
    <w:p>
      <w:pPr>
        <w:spacing w:after="120"/>
        <w:jc w:val="both"/>
      </w:pPr>
      <w:r>
        <w:rPr>
          <w:rFonts w:ascii="Arial" w:cs="Arial" w:eastAsia="Arial" w:hAnsi="Arial"/>
          <w:sz w:val="24"/>
          <w:szCs w:val="24"/>
        </w:rPr>
        <w:t xml:space="preserve">- строительство альтернативной дороги «Север-Юг» (КНР) с объемом финансирования в размере 4527,9 млн сомов;</w:t>
      </w:r>
    </w:p>
    <w:p>
      <w:pPr>
        <w:spacing w:after="120"/>
        <w:jc w:val="both"/>
      </w:pPr>
      <w:r>
        <w:rPr>
          <w:rFonts w:ascii="Arial" w:cs="Arial" w:eastAsia="Arial" w:hAnsi="Arial"/>
          <w:sz w:val="24"/>
          <w:szCs w:val="24"/>
        </w:rPr>
        <w:t xml:space="preserve">- начало строительства автодороги Бишкек-Ош (фаза IV) (АБР, ЕАБР).</w:t>
      </w:r>
    </w:p>
    <w:p>
      <w:pPr>
        <w:spacing w:after="120"/>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на 2015 год прогнозируется на 18,6 % и составит 115,1 млрд сомов. Влияние строительного сектора на темпы экономического роста будет положительным и составит 1,4 процентного пункта, удельный вес строительства в структуре производства ВВП – 8,7 %.</w:t>
      </w:r>
    </w:p>
    <w:p>
      <w:pPr>
        <w:spacing w:after="120"/>
        <w:jc w:val="both"/>
      </w:pPr>
      <w:r>
        <w:rPr>
          <w:rFonts w:ascii="Arial" w:cs="Arial" w:eastAsia="Arial" w:hAnsi="Arial"/>
          <w:sz w:val="24"/>
          <w:szCs w:val="24"/>
        </w:rPr>
        <w:t xml:space="preserve">Рост объемов строительства прогнозируется во всех регионах за счет ввода ранее начатых социальных объектов, активизации реализации инвестиционных проектов в горнодобывающей и энергетической отраслях. Основную долю будут занимать гор. Бишкек (30,5 %), Иссык-Кульская (17,7 %), Чуйская (20,0 %) и Джалал-Абадская (11,2 %) области.</w:t>
      </w:r>
    </w:p>
    <w:p>
      <w:pPr>
        <w:spacing w:after="120"/>
        <w:jc w:val="both"/>
      </w:pPr>
      <w:r>
        <w:rPr>
          <w:rFonts w:ascii="Arial" w:cs="Arial" w:eastAsia="Arial" w:hAnsi="Arial"/>
          <w:sz w:val="24"/>
          <w:szCs w:val="24"/>
        </w:rPr>
        <w:t xml:space="preserve">Исходя из ожидаемого уровня капитальных вложений в экономику, объем валовых инвестиций, необходимый для экономического роста на уровне 6,2 %, прогнозируется в сумме 159,4 млрд сомов или 36,0 % к ВВП и реально увеличится по сравнению с ожидаемым показателем 2014 года на 5,6 %. При этом объем государственных инвестиций прогнозируется в сумме 25,4 млрд сомов или 5,7 % к ВВП, в том числе доля ПГИ – 5,1 % к ВВП. Ресурсы ПГИ будут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прогнозируются в сумме 134,0 млрд сомов или 30,3 % к ВВП. Рост частных инвестиций предположительно будет обусловлен притоком инвестиций в крупные среднесрочные и долгосрочные национальные проекты.</w:t>
      </w:r>
    </w:p>
    <w:p>
      <w:pPr>
        <w:spacing w:after="120"/>
        <w:jc w:val="both"/>
      </w:pPr>
      <w:r>
        <w:rPr>
          <w:rFonts w:ascii="Arial" w:cs="Arial" w:eastAsia="Arial" w:hAnsi="Arial"/>
          <w:sz w:val="24"/>
          <w:szCs w:val="24"/>
        </w:rPr>
        <w:t xml:space="preserve">Современные тенденции развития мировой и отечественной экономики показывают, что в случае последующего усиления негативного влияния инфляционных процессов, вызванных внешними шоками и нестабильной макроэкономической ситуацией, могут возникнуть следующие риски и угрозы:</w:t>
      </w:r>
    </w:p>
    <w:p>
      <w:pPr>
        <w:spacing w:after="120"/>
        <w:jc w:val="both"/>
      </w:pPr>
      <w:r>
        <w:rPr>
          <w:rFonts w:ascii="Arial" w:cs="Arial" w:eastAsia="Arial" w:hAnsi="Arial"/>
          <w:sz w:val="24"/>
          <w:szCs w:val="24"/>
        </w:rPr>
        <w:t xml:space="preserve">- снижение объемов производства;</w:t>
      </w:r>
    </w:p>
    <w:p>
      <w:pPr>
        <w:spacing w:after="120"/>
        <w:jc w:val="both"/>
      </w:pPr>
      <w:r>
        <w:rPr>
          <w:rFonts w:ascii="Arial" w:cs="Arial" w:eastAsia="Arial" w:hAnsi="Arial"/>
          <w:sz w:val="24"/>
          <w:szCs w:val="24"/>
        </w:rPr>
        <w:t xml:space="preserve">- снижение инвестиций в основной капитал;</w:t>
      </w:r>
    </w:p>
    <w:p>
      <w:pPr>
        <w:spacing w:after="120"/>
        <w:jc w:val="both"/>
      </w:pPr>
      <w:r>
        <w:rPr>
          <w:rFonts w:ascii="Arial" w:cs="Arial" w:eastAsia="Arial" w:hAnsi="Arial"/>
          <w:sz w:val="24"/>
          <w:szCs w:val="24"/>
        </w:rPr>
        <w:t xml:space="preserve">- приостановка строящихся объектов;</w:t>
      </w:r>
    </w:p>
    <w:p>
      <w:pPr>
        <w:spacing w:after="120"/>
        <w:jc w:val="both"/>
      </w:pPr>
      <w:r>
        <w:rPr>
          <w:rFonts w:ascii="Arial" w:cs="Arial" w:eastAsia="Arial" w:hAnsi="Arial"/>
          <w:sz w:val="24"/>
          <w:szCs w:val="24"/>
        </w:rPr>
        <w:t xml:space="preserve">- несвоевременный ввод в эксплуатацию жилья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2015 году сфера услуг внесет наибольшее влияние в рост экономики республики. Прогнозируется, что доля сферы услуг в общем объеме ВВП останется наибольшей и составит порядка 48,0 %, вклад в рост ВВП составит 2,3 процентного пункта.</w:t>
      </w:r>
    </w:p>
    <w:p>
      <w:pPr>
        <w:spacing w:after="120"/>
        <w:jc w:val="both"/>
      </w:pPr>
      <w:r>
        <w:rPr>
          <w:rFonts w:ascii="Arial" w:cs="Arial" w:eastAsia="Arial" w:hAnsi="Arial"/>
          <w:sz w:val="24"/>
          <w:szCs w:val="24"/>
        </w:rPr>
        <w:t xml:space="preserve">Валовой выпуск сферы услуг в 2015 году прогнозируется в объеме 377,3 млрд сомов, где рост составит 105,1 %. Основными источниками роста будут: оптовая и розничная торговля; ремонт автомобилей и мотоциклов, где рост прогнозируется на уровне 5,4 %, информация и связь – на 13,1 %, транспортная деятельность и хранение грузов – на 7,3 %, деятельность гостиниц и ресторанов – на 9,5 % и финансовое посредничество и страхование – на 2,1 %.</w:t>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Динамика темпов роста в отраслях сферы услуг,</w:t>
      </w:r>
    </w:p>
    <w:p>
      <w:pPr>
        <w:spacing w:after="120"/>
        <w:jc w:val="both"/>
      </w:pPr>
      <w:r>
        <w:rPr>
          <w:rFonts w:ascii="Arial" w:cs="Arial" w:eastAsia="Arial" w:hAnsi="Arial"/>
          <w:sz w:val="24"/>
          <w:szCs w:val="24"/>
        </w:rPr>
        <w:t xml:space="preserve">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8"/>
        <w:gridCol w:w="1645"/>
        <w:gridCol w:w="1645"/>
      </w:tblGrid>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Сфера услуг</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 по отраслям:</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Транспортная деятельность и хранение грузов</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Информация и связь</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Финансовое посредничество и страхование</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Операции с недвижимым имуществом</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Административная и вспомогательная деятельность</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Образование</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Искусство, развлечения и отдых</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Прочая обслуживающая деятельность</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Рост всех секторов сферы услуг будет поддерживаться номинальным ростом денежных доходов населения на уровне 10,3 %.</w:t>
      </w:r>
    </w:p>
    <w:p>
      <w:pPr>
        <w:spacing w:after="120"/>
        <w:jc w:val="both"/>
      </w:pPr>
      <w:r>
        <w:rPr>
          <w:rFonts w:ascii="Arial" w:cs="Arial" w:eastAsia="Arial" w:hAnsi="Arial"/>
          <w:sz w:val="24"/>
          <w:szCs w:val="24"/>
        </w:rPr>
        <w:t xml:space="preserve">Оптовая и розничная торговля; ремонт автомобилей и мотоциклов занимает в сфере услуг наибольшую долю, порядка 33,8 %, и будет вносить основной вклад, который оценивается на уровне 1,8 процентного пункта. Росту оптовой и розничной торговли; ремонта автомобилей и мотоциклов на уровне 105,4 % будут способствовать меры политики направленные на (а) совершенствование регуляторной политики в области торговли и создание благоприятной бизнес среды; (б) внедрение современных форм торговли; (в) обеспечение роста доступности потребительских рынков для широкого населения; (г) установление государственно-частного партнерства для расширения торговли и сокращения неофициальной деятельности; (д) развитие электронной торговли; (е) расширение крупных торговых центров.</w:t>
      </w:r>
    </w:p>
    <w:p>
      <w:pPr>
        <w:spacing w:after="120"/>
        <w:jc w:val="both"/>
      </w:pPr>
      <w:r>
        <w:rPr>
          <w:rFonts w:ascii="Arial" w:cs="Arial" w:eastAsia="Arial" w:hAnsi="Arial"/>
          <w:sz w:val="24"/>
          <w:szCs w:val="24"/>
        </w:rPr>
        <w:t xml:space="preserve">Рынок коммуникаций в настоящее время развивается достаточно большими темпами. Активное использование населением новых технологий связи будет способствовать расширению услуг связи и информации. Рост в данном секторе прогнозируется на уровне 113,1 %, вклад при этом оценивается на уровне 1,2 процентного пункта.</w:t>
      </w:r>
    </w:p>
    <w:p>
      <w:pPr>
        <w:spacing w:after="120"/>
        <w:jc w:val="both"/>
      </w:pPr>
      <w:r>
        <w:rPr>
          <w:rFonts w:ascii="Arial" w:cs="Arial" w:eastAsia="Arial" w:hAnsi="Arial"/>
          <w:sz w:val="24"/>
          <w:szCs w:val="24"/>
        </w:rPr>
        <w:t xml:space="preserve">Для сферы услуг связи основными факторами развития станут дальнейшее увеличение общего количества пользователей интернета, через увеличение зоны покрытия обслуживания населения, проживающего вне черты города; продолжение строительства волоконно-оптических линий связи; внедрению цифровых видов предоставления информации; расширению спектра предоставляемых поставщиками услуг связи и информации.</w:t>
      </w:r>
    </w:p>
    <w:p>
      <w:pPr>
        <w:spacing w:after="120"/>
        <w:jc w:val="both"/>
      </w:pPr>
      <w:r>
        <w:rPr>
          <w:rFonts w:ascii="Arial" w:cs="Arial" w:eastAsia="Arial" w:hAnsi="Arial"/>
          <w:sz w:val="24"/>
          <w:szCs w:val="24"/>
        </w:rPr>
        <w:t xml:space="preserve">Валовой выпуск услуг транспортной деятельности и хранения грузов в 2015 году прогнозируется на уровне 54,0 млрд сомов. В реальном выражении уровень оказанных услуг транспортной деятельности и хранения грузов превысит показатель 2014 года на 7,3 %, а вклад в рост сферы услуг составит 1,0 процентного пункта.</w:t>
      </w:r>
    </w:p>
    <w:p>
      <w:pPr>
        <w:spacing w:after="120"/>
        <w:jc w:val="both"/>
      </w:pPr>
      <w:r>
        <w:rPr>
          <w:rFonts w:ascii="Arial" w:cs="Arial" w:eastAsia="Arial" w:hAnsi="Arial"/>
          <w:sz w:val="24"/>
          <w:szCs w:val="24"/>
        </w:rPr>
        <w:t xml:space="preserve">Для поддержания развития услуг транспортной деятельности будут приняты меры по улучшению автотранспортной системы путем реабилитации международных транспортных коридоров и также поддержания на должном уровне и улучшения качества дорог, имеющих внутреннее значение. Кроме того будут продолжены работы по модернизации в сфере предоставления транспортных услуг воздушным транспортом через улучшения аэронавигационного оборудования.</w:t>
      </w:r>
    </w:p>
    <w:p>
      <w:pPr>
        <w:spacing w:after="120"/>
        <w:jc w:val="both"/>
      </w:pPr>
      <w:r>
        <w:rPr>
          <w:rFonts w:ascii="Arial" w:cs="Arial" w:eastAsia="Arial" w:hAnsi="Arial"/>
          <w:sz w:val="24"/>
          <w:szCs w:val="24"/>
        </w:rPr>
        <w:t xml:space="preserve">Развитие туризма будет нацелено на формирование конкурентоспособной туристической индустрии. С учетом тенденций развития мирового туристического рынка меры будут направлены на развитие четырех основных вида туризма в Кыргызстане, способных дать высокую экономическую отдачу в 2015 году - это курортно-рекреационный туризм, ориентированный на Казахстан, Россию (Сибирь и Урал), Узбекистан; туризм на Великом Шелковом пути, ориентированный на страны ЕС, Японию, Южную Корею и другие страны; горно-приключенческий туризм, включая экологический туризм, ориентированный на страны ЕС, Казахстан, Россию и другие страны, и деловой туризм - за счет использования выгодного географического расположения Кыргызстана. Рост экспорта туристических услуг прогнозируется на уровне 770,0 млн долл. США, удельный вес которых в ВВП в 2015 году возрастет до 5,0 %.</w:t>
      </w:r>
    </w:p>
    <w:p>
      <w:pPr>
        <w:spacing w:after="120"/>
        <w:jc w:val="both"/>
      </w:pPr>
      <w:r>
        <w:rPr>
          <w:rFonts w:ascii="Arial" w:cs="Arial" w:eastAsia="Arial" w:hAnsi="Arial"/>
          <w:sz w:val="24"/>
          <w:szCs w:val="24"/>
        </w:rPr>
        <w:t xml:space="preserve">Политика меры в области развития туризма будет направлена на решение таких задач, как:</w:t>
      </w:r>
    </w:p>
    <w:p>
      <w:pPr>
        <w:spacing w:after="120"/>
        <w:jc w:val="both"/>
      </w:pPr>
      <w:r>
        <w:rPr>
          <w:rFonts w:ascii="Arial" w:cs="Arial" w:eastAsia="Arial" w:hAnsi="Arial"/>
          <w:sz w:val="24"/>
          <w:szCs w:val="24"/>
        </w:rPr>
        <w:t xml:space="preserve">- поддержка отечественного предпринимательства в сфере туризма;</w:t>
      </w:r>
    </w:p>
    <w:p>
      <w:pPr>
        <w:spacing w:after="120"/>
        <w:jc w:val="both"/>
      </w:pPr>
      <w:r>
        <w:rPr>
          <w:rFonts w:ascii="Arial" w:cs="Arial" w:eastAsia="Arial" w:hAnsi="Arial"/>
          <w:sz w:val="24"/>
          <w:szCs w:val="24"/>
        </w:rPr>
        <w:t xml:space="preserve">- формирование современной инфраструктуры туристического обслуживания;</w:t>
      </w:r>
    </w:p>
    <w:p>
      <w:pPr>
        <w:spacing w:after="120"/>
        <w:jc w:val="both"/>
      </w:pPr>
      <w:r>
        <w:rPr>
          <w:rFonts w:ascii="Arial" w:cs="Arial" w:eastAsia="Arial" w:hAnsi="Arial"/>
          <w:sz w:val="24"/>
          <w:szCs w:val="24"/>
        </w:rPr>
        <w:t xml:space="preserve">- активизация рекламных кампаний на туристических рынках;</w:t>
      </w:r>
    </w:p>
    <w:p>
      <w:pPr>
        <w:spacing w:after="120"/>
        <w:jc w:val="both"/>
      </w:pPr>
      <w:r>
        <w:rPr>
          <w:rFonts w:ascii="Arial" w:cs="Arial" w:eastAsia="Arial" w:hAnsi="Arial"/>
          <w:sz w:val="24"/>
          <w:szCs w:val="24"/>
        </w:rPr>
        <w:t xml:space="preserve">- создание благоприятных условий для кооперации туристических, банковских, транспортных и гостиничных структур;</w:t>
      </w:r>
    </w:p>
    <w:p>
      <w:pPr>
        <w:spacing w:after="120"/>
        <w:jc w:val="both"/>
      </w:pPr>
      <w:r>
        <w:rPr>
          <w:rFonts w:ascii="Arial" w:cs="Arial" w:eastAsia="Arial" w:hAnsi="Arial"/>
          <w:sz w:val="24"/>
          <w:szCs w:val="24"/>
        </w:rPr>
        <w:t xml:space="preserve">- формирование имиджа гостеприимной страны, обеспечение узнаваемости туристического продукта Кыргызстана, укрепление и расширение позиций туристического продукта Кыргызстана на внешних рынках.</w:t>
      </w:r>
    </w:p>
    <w:p>
      <w:pPr>
        <w:spacing w:after="120"/>
        <w:jc w:val="both"/>
      </w:pPr>
      <w:r>
        <w:rPr>
          <w:rFonts w:ascii="Arial" w:cs="Arial" w:eastAsia="Arial" w:hAnsi="Arial"/>
          <w:sz w:val="24"/>
          <w:szCs w:val="24"/>
        </w:rPr>
        <w:t xml:space="preserve">В 2015 году в региональном разрезе основной вклад в объем рыночных услуг прогнозируется от гор. Бишкек (54,1 %), а также Чуйской (9,6 %), Джалал-Абадской (8,5 %) областей. Их суммарный вклад составит 72,3 %,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4.6. Внешнеэкономическая деятельность</w:t>
      </w:r>
      <w:r>
        <w:rPr>
          <w:rFonts w:ascii="Arial" w:cs="Arial" w:eastAsia="Arial" w:hAnsi="Arial"/>
          <w:sz w:val="24"/>
          <w:szCs w:val="24"/>
        </w:rPr>
        <w:t xml:space="preserve"> в 2015 году будет направлена на создание благоприятных условий для роста и развития экспортного потенциала республики. Основным направлением будет являться обеспечение проведения процесса и процедур по вступлению Кыргызской Республики в ТС и ЕЭП, гармонизация в сфере технического регулирования НПА Кыргызской Республики с документами ТС. В рамках реализации приоритетов предполагается принятие следующих мер: разработка и утверждение проекта Стратегии развития экспорта Кыргызской Республики; получение статуса бенефициара всеобщей системы преференций + (ВСП+) для Кыргызской Республики; проведение переговоров с международными организациями по вопросам применения международных стандартов и с основными торгово-экономическими партнерами по применению международных и региональных стандартов в качестве кыргызских национальных стандартов; подготовка и проведение процедур подписания международных договоров по техническому регулированию и стандартизации для применения на территории страны международных и региональных стандартов в качестве национальных стандартов и технических регламентов стран Таможенного союза; гармонизация национальных стандартов с международными нормами и правилами; заключение соглашений с основными торгово-экономическими партнерами о взаимном признании результатов оценки соответствия стандартов; переоснащение лабораторно-испытательной и эталонной баз с привлечением средств донорских организаций; внесение изменений и дополнений в законодательство по стимулированию хозяйствующих субъектов, внедряющих менеджмент качества и безопасности продуктов; проведение консультационно-информационных мероприятий для частного сектора по вопросам доступа товаров на рынки стран ТС.</w:t>
      </w:r>
    </w:p>
    <w:p>
      <w:pPr>
        <w:spacing w:after="120"/>
        <w:jc w:val="both"/>
      </w:pPr>
      <w:r>
        <w:rPr>
          <w:rFonts w:ascii="Arial" w:cs="Arial" w:eastAsia="Arial" w:hAnsi="Arial"/>
          <w:sz w:val="24"/>
          <w:szCs w:val="24"/>
        </w:rPr>
        <w:t xml:space="preserve">Объем внешнеторгового оборота прогнозируется на уровне 9000 млн долл. США, с номинальным превышением уровня 2014 года на 5,9 %.</w:t>
      </w:r>
    </w:p>
    <w:p>
      <w:pPr>
        <w:spacing w:after="120"/>
        <w:jc w:val="both"/>
      </w:pPr>
      <w:r>
        <w:rPr>
          <w:rFonts w:ascii="Arial" w:cs="Arial" w:eastAsia="Arial" w:hAnsi="Arial"/>
          <w:sz w:val="24"/>
          <w:szCs w:val="24"/>
        </w:rPr>
        <w:t xml:space="preserve">Прогнозируется, что номинальный объем экспортных поставок составит до 2,4 млрд долл. США, и темп роста сложится на уровне 9,1 %, за счёт увеличения поставки швейных изделий на 10,8 %, ламп накаливания - на 40,0 %, овощей и фруктов - на 10,5 %, хлопка-волокна - на 8,6 % и др.</w:t>
      </w:r>
    </w:p>
    <w:p>
      <w:pPr>
        <w:spacing w:after="120"/>
        <w:jc w:val="both"/>
      </w:pPr>
      <w:r>
        <w:rPr>
          <w:rFonts w:ascii="Arial" w:cs="Arial" w:eastAsia="Arial" w:hAnsi="Arial"/>
          <w:sz w:val="24"/>
          <w:szCs w:val="24"/>
        </w:rPr>
        <w:t xml:space="preserve">Что касается импорта, то его объём сложится в размере 6,6 млрд долл. США и номинальный рост составит 104,8 %, который будет определяться ростом потребительского спроса, связанным с увеличением объёмов поставок нефтепродуктов на 9,7 % (доля в структуре импорта – 21,6 %), промежуточных и инвестиционных товаров, а также потребительских товаров. Импорт инвестиционных товаров возрастет на 10,4 %, что создаст надёжные предпосылки для поддержания экономического роста.</w:t>
      </w:r>
    </w:p>
    <w:p>
      <w:pPr>
        <w:spacing w:after="120"/>
        <w:jc w:val="both"/>
      </w:pPr>
      <w:r>
        <w:rPr>
          <w:rFonts w:ascii="Arial" w:cs="Arial" w:eastAsia="Arial" w:hAnsi="Arial"/>
          <w:sz w:val="24"/>
          <w:szCs w:val="24"/>
        </w:rPr>
        <w:t xml:space="preserve">В результате отрицательное сальдо торгового баланса сложится на уровне 4,2 млрд долл. США.</w:t>
      </w:r>
    </w:p>
    <w:p>
      <w:pPr>
        <w:spacing w:after="120"/>
        <w:jc w:val="both"/>
      </w:pPr>
      <w:r>
        <w:rPr>
          <w:rFonts w:ascii="Arial" w:cs="Arial" w:eastAsia="Arial" w:hAnsi="Arial"/>
          <w:sz w:val="24"/>
          <w:szCs w:val="24"/>
        </w:rPr>
        <w:t xml:space="preserve">Отрицательное сальдо чистого экспорта товаров и услуг к ВВП улучшится с (-)51,6 % в 2014 году до (-)48,9 % в 2015 году.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40"/>
        <w:gridCol w:w="3161"/>
        <w:gridCol w:w="1977"/>
      </w:tblGrid>
      <w:tr>
        <w:tc>
          <w:tcPr>
            <w:tcW w:type="dxa" w:w="504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31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9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r>
      <w:tr>
        <w:tc>
          <w:tcPr>
            <w:vMerge w:val="continue"/>
            <w:tcBorders>
              <w:top w:val="single" w:color="CBBF9E" w:sz="4"/>
              <w:left w:val="single" w:color="CBBF9E" w:sz="4"/>
              <w:bottom w:val="single" w:color="CBBF9E" w:sz="4"/>
              <w:right w:val="single" w:color="CBBF9E" w:sz="4"/>
            </w:tcBorders>
          </w:tcPr>
          <w:p/>
        </w:tc>
        <w:tc>
          <w:tcPr>
            <w:tcW w:type="dxa" w:w="31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19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Потребление</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115,1</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112,9</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Частное</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97,0</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95,5</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Валовые инвестиции</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36,6</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Государственные инвестиции</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них ПГИ (внешние)</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Частные инвестиции</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32,1</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Экспорт (товары и услуги)</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47,3</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45,1</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(товары и  услуги)</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99,0</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93,9</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Чистый экспорт</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-51,6</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Прогнозируется, что в 2015 году доля частного потребления составит 95,5 % от объема ВВП, темп реального роста сложится на уровне 4,6 %. Частные потребительские расходы будут подкреплены прогнозируемым номинальным ростом денежных доходов населения на 10,3 % за счёт создания новых рабочих мест и ростом средней номинальной заработной платы на 9,0 %.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Социальная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Правительства является улучшение благосостояния и условий жизни населения. Поэтому, в 2015 году социальная политика будет направлена на сокращение бедности и решение социальных вопросов. В 2015 году будут продолжены реформы в сфере социальной защиты, здравоохранения, социального страхования, образования, рынка труда и гендерной политики.</w:t>
      </w:r>
    </w:p>
    <w:p>
      <w:pPr>
        <w:spacing w:after="120"/>
        <w:jc w:val="both"/>
      </w:pPr>
      <w:r>
        <w:rPr>
          <w:rFonts w:ascii="Arial" w:cs="Arial" w:eastAsia="Arial" w:hAnsi="Arial"/>
          <w:sz w:val="24"/>
          <w:szCs w:val="24"/>
        </w:rPr>
        <w:t xml:space="preserve">Учитывая, что работа по реализации Стратегии развития социальной защиты населения завершается в 2014 году, планируется разработка проекта нового стратегического документа в соответствии с целями и задачами Национальной стратегии устойчивого развития до 2017 года.</w:t>
      </w:r>
    </w:p>
    <w:p>
      <w:pPr>
        <w:spacing w:after="120"/>
        <w:jc w:val="both"/>
      </w:pPr>
      <w:r>
        <w:rPr>
          <w:rFonts w:ascii="Arial" w:cs="Arial" w:eastAsia="Arial" w:hAnsi="Arial"/>
          <w:sz w:val="24"/>
          <w:szCs w:val="24"/>
        </w:rPr>
        <w:t xml:space="preserve">Основной целью формирования устойчивой государственной системы социальной защиты является оказание качественных услуг и гарантия равных возможностей для граждан. В связи с этим, будет продолжена работа по усовершенствованию нормативной правовой базы, создание системы социального сопровождения детей, находящихся в трудной жизненной ситуации, развитию системы социального обслуживания и интеграции ЛОВЗ в общество, созданию условий социализации и интеграции пожилых граждан в общество, усилению адресности предоставления и расширения доступа к социальной помощи социально - незащищенным категориям граждан, а также улучшению системы информирования населения.</w:t>
      </w:r>
    </w:p>
    <w:p>
      <w:pPr>
        <w:spacing w:after="120"/>
        <w:jc w:val="both"/>
      </w:pPr>
      <w:r>
        <w:rPr>
          <w:rFonts w:ascii="Arial" w:cs="Arial" w:eastAsia="Arial" w:hAnsi="Arial"/>
          <w:sz w:val="24"/>
          <w:szCs w:val="24"/>
        </w:rPr>
        <w:t xml:space="preserve">Также, намечены создание системы повышения квалификации кадров и построение единой информационной системы в сфере социальной защиты с учетом межсекторального взаимодействия.</w:t>
      </w:r>
    </w:p>
    <w:p>
      <w:pPr>
        <w:spacing w:after="120"/>
        <w:jc w:val="both"/>
      </w:pPr>
      <w:r>
        <w:rPr>
          <w:rFonts w:ascii="Arial" w:cs="Arial" w:eastAsia="Arial" w:hAnsi="Arial"/>
          <w:sz w:val="24"/>
          <w:szCs w:val="24"/>
        </w:rPr>
        <w:t xml:space="preserve">Пенсионная политика в 2015 году будет сфокусирована на следующих приоритетных направлениях:</w:t>
      </w:r>
    </w:p>
    <w:p>
      <w:pPr>
        <w:spacing w:after="120"/>
        <w:jc w:val="both"/>
      </w:pPr>
      <w:r>
        <w:rPr>
          <w:rFonts w:ascii="Arial" w:cs="Arial" w:eastAsia="Arial" w:hAnsi="Arial"/>
          <w:sz w:val="24"/>
          <w:szCs w:val="24"/>
        </w:rPr>
        <w:t xml:space="preserve">- обеспечение гарантий государства в области пенсионного обеспечения;</w:t>
      </w:r>
    </w:p>
    <w:p>
      <w:pPr>
        <w:spacing w:after="120"/>
        <w:jc w:val="both"/>
      </w:pPr>
      <w:r>
        <w:rPr>
          <w:rFonts w:ascii="Arial" w:cs="Arial" w:eastAsia="Arial" w:hAnsi="Arial"/>
          <w:sz w:val="24"/>
          <w:szCs w:val="24"/>
        </w:rPr>
        <w:t xml:space="preserve">- обеспечение финансовой устойчивости системы государственного социального страхования;</w:t>
      </w:r>
    </w:p>
    <w:p>
      <w:pPr>
        <w:spacing w:after="120"/>
        <w:jc w:val="both"/>
      </w:pPr>
      <w:r>
        <w:rPr>
          <w:rFonts w:ascii="Arial" w:cs="Arial" w:eastAsia="Arial" w:hAnsi="Arial"/>
          <w:sz w:val="24"/>
          <w:szCs w:val="24"/>
        </w:rPr>
        <w:t xml:space="preserve">- повышение жизненного уровня пенсионеров с учетом финансовой возможности Социального фонда;</w:t>
      </w:r>
    </w:p>
    <w:p>
      <w:pPr>
        <w:spacing w:after="120"/>
        <w:jc w:val="both"/>
      </w:pPr>
      <w:r>
        <w:rPr>
          <w:rFonts w:ascii="Arial" w:cs="Arial" w:eastAsia="Arial" w:hAnsi="Arial"/>
          <w:sz w:val="24"/>
          <w:szCs w:val="24"/>
        </w:rPr>
        <w:t xml:space="preserve">- дальнейшая реализация мероприятий по автоматизации системы Социального фонда.</w:t>
      </w:r>
    </w:p>
    <w:p>
      <w:pPr>
        <w:spacing w:after="120"/>
        <w:jc w:val="both"/>
      </w:pPr>
      <w:r>
        <w:rPr>
          <w:rFonts w:ascii="Arial" w:cs="Arial" w:eastAsia="Arial" w:hAnsi="Arial"/>
          <w:sz w:val="24"/>
          <w:szCs w:val="24"/>
        </w:rPr>
        <w:t xml:space="preserve">- наращивание потенциала системы пенсионного обеспечения для оказания качественных услуг населению;</w:t>
      </w:r>
    </w:p>
    <w:p>
      <w:pPr>
        <w:spacing w:after="120"/>
        <w:jc w:val="both"/>
      </w:pPr>
      <w:r>
        <w:rPr>
          <w:rFonts w:ascii="Arial" w:cs="Arial" w:eastAsia="Arial" w:hAnsi="Arial"/>
          <w:sz w:val="24"/>
          <w:szCs w:val="24"/>
        </w:rPr>
        <w:t xml:space="preserve">Для решения задачи по повышению размеров пенсий с учетом финансовой возможности Социального фонда Кыргызской Республики и республиканского бюджета необходимо:</w:t>
      </w:r>
    </w:p>
    <w:p>
      <w:pPr>
        <w:spacing w:after="120"/>
        <w:jc w:val="both"/>
      </w:pPr>
      <w:r>
        <w:rPr>
          <w:rFonts w:ascii="Arial" w:cs="Arial" w:eastAsia="Arial" w:hAnsi="Arial"/>
          <w:sz w:val="24"/>
          <w:szCs w:val="24"/>
        </w:rPr>
        <w:t xml:space="preserve">- обеспечение роста размера пенсий с учётом финансовых возможностей бюджета Социального фонда и республиканского бюджета</w:t>
      </w:r>
    </w:p>
    <w:p>
      <w:pPr>
        <w:spacing w:after="120"/>
        <w:jc w:val="both"/>
      </w:pPr>
      <w:r>
        <w:rPr>
          <w:rFonts w:ascii="Arial" w:cs="Arial" w:eastAsia="Arial" w:hAnsi="Arial"/>
          <w:sz w:val="24"/>
          <w:szCs w:val="24"/>
        </w:rPr>
        <w:t xml:space="preserve">- поддержание базовой части пенсий на уровне не менее 12 % от СЗП за предыдущий год;</w:t>
      </w:r>
    </w:p>
    <w:p>
      <w:pPr>
        <w:spacing w:after="120"/>
        <w:jc w:val="both"/>
      </w:pPr>
      <w:r>
        <w:rPr>
          <w:rFonts w:ascii="Arial" w:cs="Arial" w:eastAsia="Arial" w:hAnsi="Arial"/>
          <w:sz w:val="24"/>
          <w:szCs w:val="24"/>
        </w:rPr>
        <w:t xml:space="preserve">- ежегодная индексация страховых частей пенсии.</w:t>
      </w:r>
    </w:p>
    <w:p>
      <w:pPr>
        <w:spacing w:after="120"/>
        <w:jc w:val="both"/>
      </w:pPr>
      <w:r>
        <w:rPr>
          <w:rFonts w:ascii="Arial" w:cs="Arial" w:eastAsia="Arial" w:hAnsi="Arial"/>
          <w:sz w:val="24"/>
          <w:szCs w:val="24"/>
        </w:rPr>
        <w:t xml:space="preserve">В рамках приоритета по наращиванию потенциала системы пенсионного обеспечения для оказания качественных услуг населению необходимо решение следующих задач:</w:t>
      </w:r>
    </w:p>
    <w:p>
      <w:pPr>
        <w:spacing w:after="120"/>
        <w:jc w:val="both"/>
      </w:pPr>
      <w:r>
        <w:rPr>
          <w:rFonts w:ascii="Arial" w:cs="Arial" w:eastAsia="Arial" w:hAnsi="Arial"/>
          <w:sz w:val="24"/>
          <w:szCs w:val="24"/>
        </w:rPr>
        <w:t xml:space="preserve">- создать систему повышения квалификации кадров;</w:t>
      </w:r>
    </w:p>
    <w:p>
      <w:pPr>
        <w:spacing w:after="120"/>
        <w:jc w:val="both"/>
      </w:pPr>
      <w:r>
        <w:rPr>
          <w:rFonts w:ascii="Arial" w:cs="Arial" w:eastAsia="Arial" w:hAnsi="Arial"/>
          <w:sz w:val="24"/>
          <w:szCs w:val="24"/>
        </w:rPr>
        <w:t xml:space="preserve">- построить единую информационную систему в сфере социальной защиты;</w:t>
      </w:r>
    </w:p>
    <w:p>
      <w:pPr>
        <w:spacing w:after="120"/>
        <w:jc w:val="both"/>
      </w:pPr>
      <w:r>
        <w:rPr>
          <w:rFonts w:ascii="Arial" w:cs="Arial" w:eastAsia="Arial" w:hAnsi="Arial"/>
          <w:sz w:val="24"/>
          <w:szCs w:val="24"/>
        </w:rPr>
        <w:t xml:space="preserve">- автоматизировать процесс сбора страховых взносов, назначения и перерасчета пенсий.</w:t>
      </w:r>
    </w:p>
    <w:p>
      <w:pPr>
        <w:spacing w:after="120"/>
        <w:jc w:val="both"/>
      </w:pPr>
      <w:r>
        <w:rPr>
          <w:rFonts w:ascii="Arial" w:cs="Arial" w:eastAsia="Arial" w:hAnsi="Arial"/>
          <w:sz w:val="24"/>
          <w:szCs w:val="24"/>
        </w:rPr>
        <w:t xml:space="preserve">- разработать и заключить межгосударственные соглашения по  государственному социальному страхованию</w:t>
      </w:r>
    </w:p>
    <w:p>
      <w:pPr>
        <w:spacing w:after="120"/>
        <w:jc w:val="both"/>
      </w:pPr>
      <w:r>
        <w:rPr>
          <w:rFonts w:ascii="Arial" w:cs="Arial" w:eastAsia="Arial" w:hAnsi="Arial"/>
          <w:sz w:val="24"/>
          <w:szCs w:val="24"/>
        </w:rPr>
        <w:t xml:space="preserve">Реализация представленных мероприятий по данному приоритету приведет к следующим результатам:</w:t>
      </w:r>
    </w:p>
    <w:p>
      <w:pPr>
        <w:spacing w:after="120"/>
        <w:jc w:val="both"/>
      </w:pPr>
      <w:r>
        <w:rPr>
          <w:rFonts w:ascii="Arial" w:cs="Arial" w:eastAsia="Arial" w:hAnsi="Arial"/>
          <w:sz w:val="24"/>
          <w:szCs w:val="24"/>
        </w:rPr>
        <w:t xml:space="preserve">- обеспечению роста размера пенсий с учётом финансовых возможностей бюджета Социального фонда и республиканского бюджета,</w:t>
      </w:r>
    </w:p>
    <w:p>
      <w:pPr>
        <w:spacing w:after="120"/>
        <w:jc w:val="both"/>
      </w:pPr>
      <w:r>
        <w:rPr>
          <w:rFonts w:ascii="Arial" w:cs="Arial" w:eastAsia="Arial" w:hAnsi="Arial"/>
          <w:sz w:val="24"/>
          <w:szCs w:val="24"/>
        </w:rPr>
        <w:t xml:space="preserve">- сбалансированности пенсионной системы,</w:t>
      </w:r>
    </w:p>
    <w:p>
      <w:pPr>
        <w:spacing w:after="120"/>
        <w:jc w:val="both"/>
      </w:pPr>
      <w:r>
        <w:rPr>
          <w:rFonts w:ascii="Arial" w:cs="Arial" w:eastAsia="Arial" w:hAnsi="Arial"/>
          <w:sz w:val="24"/>
          <w:szCs w:val="24"/>
        </w:rPr>
        <w:t xml:space="preserve">- сокращению доли пенсионеров, получающих пенсии ниже уровня прожиточного минимума пенсионера.</w:t>
      </w:r>
    </w:p>
    <w:p>
      <w:pPr>
        <w:spacing w:after="120"/>
        <w:jc w:val="both"/>
      </w:pPr>
      <w:r>
        <w:rPr>
          <w:rFonts w:ascii="Arial" w:cs="Arial" w:eastAsia="Arial" w:hAnsi="Arial"/>
          <w:sz w:val="24"/>
          <w:szCs w:val="24"/>
        </w:rPr>
        <w:t xml:space="preserve">Политика занятости будет, как и прежде, ориентирована на создание дополнительных рабочих мест для роста численности занятых в экономике, на защиту прав и интересов граждан Кыргызстана за рубежом, создание благоприятных условий для свободного передвижения товаров, услуг и рабочей силы между Кыргызстаном и Россией, странами Центральной Азии и Турцией, обеспечение права на труд для уязвимых слоев населения: женщин, молодежи, ЛОВЗ. С учетом присоединения Кыргызской Республики к Таможенному союзу в конце 2015 года планируется заключение соглашения между Кыргызской Республикой и странами ТС по организованному найму, социальному страхованию и защите трудовых мигрантов.</w:t>
      </w:r>
    </w:p>
    <w:p>
      <w:pPr>
        <w:spacing w:after="120"/>
        <w:jc w:val="both"/>
      </w:pPr>
      <w:r>
        <w:rPr>
          <w:rFonts w:ascii="Arial" w:cs="Arial" w:eastAsia="Arial" w:hAnsi="Arial"/>
          <w:sz w:val="24"/>
          <w:szCs w:val="24"/>
        </w:rPr>
        <w:t xml:space="preserve">Наиболее важным этапом реформирования системы образования в Кыргызстане является принятие Стратегии развития образования на 2012-2020 годы. Ее реализация направлена на построение гибкой, открытой, соответствующей современным требованиям, национальной системы образования, с учетом лучших традиций отечественного образования и международного опыта. </w:t>
      </w:r>
    </w:p>
    <w:p>
      <w:pPr>
        <w:spacing w:after="120"/>
        <w:jc w:val="both"/>
      </w:pPr>
      <w:r>
        <w:rPr>
          <w:rFonts w:ascii="Arial" w:cs="Arial" w:eastAsia="Arial" w:hAnsi="Arial"/>
          <w:sz w:val="24"/>
          <w:szCs w:val="24"/>
        </w:rPr>
        <w:t xml:space="preserve">В рамках дошкольного образования планируется открытие и поэтапное оснащение классов по предшкольной подготовке детей, внедрение соответствующих программ; повышение квалификации педагогов для реализации этих программ, разработка и утверждение нормативных правовых документов в целях обеспечения обязательной предшкольной подготовки за государственный счет.</w:t>
      </w:r>
    </w:p>
    <w:p>
      <w:pPr>
        <w:spacing w:after="120"/>
        <w:jc w:val="both"/>
      </w:pPr>
      <w:r>
        <w:rPr>
          <w:rFonts w:ascii="Arial" w:cs="Arial" w:eastAsia="Arial" w:hAnsi="Arial"/>
          <w:sz w:val="24"/>
          <w:szCs w:val="24"/>
        </w:rPr>
        <w:t xml:space="preserve">В секторе школьного образования будут реализовываться такие меры как:</w:t>
      </w:r>
    </w:p>
    <w:p>
      <w:pPr>
        <w:spacing w:after="120"/>
        <w:jc w:val="both"/>
      </w:pPr>
      <w:r>
        <w:rPr>
          <w:rFonts w:ascii="Arial" w:cs="Arial" w:eastAsia="Arial" w:hAnsi="Arial"/>
          <w:sz w:val="24"/>
          <w:szCs w:val="24"/>
        </w:rPr>
        <w:t xml:space="preserve">- поддержание функционирования сети в соответствии со стандартами;</w:t>
      </w:r>
    </w:p>
    <w:p>
      <w:pPr>
        <w:spacing w:after="120"/>
        <w:jc w:val="both"/>
      </w:pPr>
      <w:r>
        <w:rPr>
          <w:rFonts w:ascii="Arial" w:cs="Arial" w:eastAsia="Arial" w:hAnsi="Arial"/>
          <w:sz w:val="24"/>
          <w:szCs w:val="24"/>
        </w:rPr>
        <w:t xml:space="preserve">- реализация проекта 100 инновационных интерактивных школ;</w:t>
      </w:r>
    </w:p>
    <w:p>
      <w:pPr>
        <w:spacing w:after="120"/>
        <w:jc w:val="both"/>
      </w:pPr>
      <w:r>
        <w:rPr>
          <w:rFonts w:ascii="Arial" w:cs="Arial" w:eastAsia="Arial" w:hAnsi="Arial"/>
          <w:sz w:val="24"/>
          <w:szCs w:val="24"/>
        </w:rPr>
        <w:t xml:space="preserve">- оптимизация управления и финансирования детских учреждений интернатного типа;</w:t>
      </w:r>
    </w:p>
    <w:p>
      <w:pPr>
        <w:spacing w:after="120"/>
        <w:jc w:val="both"/>
      </w:pPr>
      <w:r>
        <w:rPr>
          <w:rFonts w:ascii="Arial" w:cs="Arial" w:eastAsia="Arial" w:hAnsi="Arial"/>
          <w:sz w:val="24"/>
          <w:szCs w:val="24"/>
        </w:rPr>
        <w:t xml:space="preserve">- модернизация содержания образования с учетом компетентностного подхода;</w:t>
      </w:r>
    </w:p>
    <w:p>
      <w:pPr>
        <w:spacing w:after="120"/>
        <w:jc w:val="both"/>
      </w:pPr>
      <w:r>
        <w:rPr>
          <w:rFonts w:ascii="Arial" w:cs="Arial" w:eastAsia="Arial" w:hAnsi="Arial"/>
          <w:sz w:val="24"/>
          <w:szCs w:val="24"/>
        </w:rPr>
        <w:t xml:space="preserve">- повышение уровня обеспеченности УМК учащихся 5-11 классов;</w:t>
      </w:r>
    </w:p>
    <w:p>
      <w:pPr>
        <w:spacing w:after="120"/>
        <w:jc w:val="both"/>
      </w:pPr>
      <w:r>
        <w:rPr>
          <w:rFonts w:ascii="Arial" w:cs="Arial" w:eastAsia="Arial" w:hAnsi="Arial"/>
          <w:sz w:val="24"/>
          <w:szCs w:val="24"/>
        </w:rPr>
        <w:t xml:space="preserve">- обеспечение условий предоставления инклюзивного образования детям с особыми потребностями на базе общеобразовательных и специализированных школ;</w:t>
      </w:r>
    </w:p>
    <w:p>
      <w:pPr>
        <w:spacing w:after="120"/>
        <w:jc w:val="both"/>
      </w:pPr>
      <w:r>
        <w:rPr>
          <w:rFonts w:ascii="Arial" w:cs="Arial" w:eastAsia="Arial" w:hAnsi="Arial"/>
          <w:sz w:val="24"/>
          <w:szCs w:val="24"/>
        </w:rPr>
        <w:t xml:space="preserve">- перевод общеобразовательных организаций на принципы финансово-административной самостоятельности, основанной на ответственности перед получателем образовательных услуг.</w:t>
      </w:r>
    </w:p>
    <w:p>
      <w:pPr>
        <w:spacing w:after="120"/>
        <w:jc w:val="both"/>
      </w:pPr>
      <w:r>
        <w:rPr>
          <w:rFonts w:ascii="Arial" w:cs="Arial" w:eastAsia="Arial" w:hAnsi="Arial"/>
          <w:sz w:val="24"/>
          <w:szCs w:val="24"/>
        </w:rPr>
        <w:t xml:space="preserve">Главными приоритетами в среднем специальном образовании и профессиональном образовании является изменение структуры подготовки кадров на основе анализа страновых приоритетов и экономических стратегий регионов, привлечение работодателей к формированию квалификационной характеристики и процессу оценки квалификации выпускников, создание условий для развития системы повышения квалификации преподавателей вузов.</w:t>
      </w:r>
    </w:p>
    <w:p>
      <w:pPr>
        <w:spacing w:after="120"/>
        <w:jc w:val="both"/>
      </w:pPr>
      <w:r>
        <w:rPr>
          <w:rFonts w:ascii="Arial" w:cs="Arial" w:eastAsia="Arial" w:hAnsi="Arial"/>
          <w:sz w:val="24"/>
          <w:szCs w:val="24"/>
        </w:rPr>
        <w:t xml:space="preserve">Основные направления деятельности в системе здравоохранения также будут реализовываться согласно Национальной программе реформирования системы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В соответствии со стратегией государственная политика в сфере здравоохранения будет направлена на решение задач по следующим приоритетным направлениям:</w:t>
      </w:r>
    </w:p>
    <w:p>
      <w:pPr>
        <w:spacing w:after="120"/>
        <w:jc w:val="both"/>
      </w:pPr>
      <w:r>
        <w:rPr>
          <w:rFonts w:ascii="Arial" w:cs="Arial" w:eastAsia="Arial" w:hAnsi="Arial"/>
          <w:sz w:val="24"/>
          <w:szCs w:val="24"/>
        </w:rPr>
        <w:t xml:space="preserve">- укрепление потенциала системы здравоохранения, направленного на предоставление качественных медицинских услуг населению;</w:t>
      </w:r>
    </w:p>
    <w:p>
      <w:pPr>
        <w:spacing w:after="120"/>
        <w:jc w:val="both"/>
      </w:pPr>
      <w:r>
        <w:rPr>
          <w:rFonts w:ascii="Arial" w:cs="Arial" w:eastAsia="Arial" w:hAnsi="Arial"/>
          <w:sz w:val="24"/>
          <w:szCs w:val="24"/>
        </w:rPr>
        <w:t xml:space="preserve">- создание необходимых условий для охраны и укрепления здоровья населения и каждого человека в отдельности.</w:t>
      </w:r>
    </w:p>
    <w:p>
      <w:pPr>
        <w:spacing w:after="120"/>
        <w:jc w:val="both"/>
      </w:pPr>
      <w:r>
        <w:rPr>
          <w:rFonts w:ascii="Arial" w:cs="Arial" w:eastAsia="Arial" w:hAnsi="Arial"/>
          <w:sz w:val="24"/>
          <w:szCs w:val="24"/>
        </w:rPr>
        <w:t xml:space="preserve">Государственная политика по достижению гендерного равенства в Кыргызской Республике реализуется в рамках Национальной стратегии Кыргызской Республики по достижению гендерного равенства до 2020 года (постановление Правительства Кыргызской Республики от 27 июня 2012 года № 443).</w:t>
      </w:r>
    </w:p>
    <w:p>
      <w:pPr>
        <w:spacing w:after="120"/>
        <w:jc w:val="both"/>
      </w:pPr>
      <w:r>
        <w:rPr>
          <w:rFonts w:ascii="Arial" w:cs="Arial" w:eastAsia="Arial" w:hAnsi="Arial"/>
          <w:sz w:val="24"/>
          <w:szCs w:val="24"/>
        </w:rPr>
        <w:t xml:space="preserve">Согласно данной стратегии будет реализован комплекс мер по следующим приоритетным направлениям:</w:t>
      </w:r>
    </w:p>
    <w:p>
      <w:pPr>
        <w:spacing w:after="120"/>
        <w:jc w:val="both"/>
      </w:pPr>
      <w:r>
        <w:rPr>
          <w:rFonts w:ascii="Arial" w:cs="Arial" w:eastAsia="Arial" w:hAnsi="Arial"/>
          <w:sz w:val="24"/>
          <w:szCs w:val="24"/>
        </w:rPr>
        <w:t xml:space="preserve">- расширение экономических возможностей женщин,</w:t>
      </w:r>
    </w:p>
    <w:p>
      <w:pPr>
        <w:spacing w:after="120"/>
        <w:jc w:val="both"/>
      </w:pPr>
      <w:r>
        <w:rPr>
          <w:rFonts w:ascii="Arial" w:cs="Arial" w:eastAsia="Arial" w:hAnsi="Arial"/>
          <w:sz w:val="24"/>
          <w:szCs w:val="24"/>
        </w:rPr>
        <w:t xml:space="preserve">- создание системы функционального образования,</w:t>
      </w:r>
    </w:p>
    <w:p>
      <w:pPr>
        <w:spacing w:after="120"/>
        <w:jc w:val="both"/>
      </w:pPr>
      <w:r>
        <w:rPr>
          <w:rFonts w:ascii="Arial" w:cs="Arial" w:eastAsia="Arial" w:hAnsi="Arial"/>
          <w:sz w:val="24"/>
          <w:szCs w:val="24"/>
        </w:rPr>
        <w:t xml:space="preserve">- искоренение гендерной дискриминации и расширение доступа женщин к правосудию,</w:t>
      </w:r>
    </w:p>
    <w:p>
      <w:pPr>
        <w:spacing w:after="120"/>
        <w:jc w:val="both"/>
      </w:pPr>
      <w:r>
        <w:rPr>
          <w:rFonts w:ascii="Arial" w:cs="Arial" w:eastAsia="Arial" w:hAnsi="Arial"/>
          <w:sz w:val="24"/>
          <w:szCs w:val="24"/>
        </w:rPr>
        <w:t xml:space="preserve">- продвижение гендерного паритета в принятии решений и развитие женского политического участия.</w:t>
      </w:r>
    </w:p>
    <w:p>
      <w:pPr>
        <w:spacing w:after="120"/>
        <w:jc w:val="both"/>
      </w:pPr>
      <w:r>
        <w:rPr>
          <w:rFonts w:ascii="Arial" w:cs="Arial" w:eastAsia="Arial" w:hAnsi="Arial"/>
          <w:sz w:val="24"/>
          <w:szCs w:val="24"/>
        </w:rPr>
        <w:t xml:space="preserve">Исходя из прогнозируемых параметров развития экономики в 2015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Объем ВВП на душу населения в 2015 году увеличится относительно 2014 года с 1329,5 до 1460,1 долл. США, или на 9,8 %.</w:t>
      </w:r>
    </w:p>
    <w:p>
      <w:pPr>
        <w:spacing w:after="120"/>
        <w:jc w:val="both"/>
      </w:pPr>
      <w:r>
        <w:rPr>
          <w:rFonts w:ascii="Arial" w:cs="Arial" w:eastAsia="Arial" w:hAnsi="Arial"/>
          <w:sz w:val="24"/>
          <w:szCs w:val="24"/>
        </w:rPr>
        <w:t xml:space="preserve">Номинальные денежные доходы населения возрастут на 10,3 % относительно 2014 года и их объем составит 276,2 млрд сомов. С учетом прогнозируемого роста потребительских цен, реальный темп прироста денежных доходов составит 1,2 %. В структуре денежных доходов увеличится «заработная плата», где номинальный размер возрастет на 9,0 % и составит 13350,0 сомов. Номинальный размер средней пенсии вырастет на 3,7 % и составит 4728,0 сомов. Прожиточный минимум прогнозируется в размере 5389,2 сомов.</w:t>
      </w:r>
    </w:p>
    <w:p>
      <w:pPr>
        <w:spacing w:after="120"/>
        <w:jc w:val="both"/>
      </w:pPr>
      <w:r>
        <w:rPr>
          <w:rFonts w:ascii="Arial" w:cs="Arial" w:eastAsia="Arial" w:hAnsi="Arial"/>
          <w:sz w:val="24"/>
          <w:szCs w:val="24"/>
        </w:rPr>
        <w:t xml:space="preserve">Таким образом, прогнозируемый экономический рост в 2015 году на 6,2 % будет обеспечен положительным ростом всех секторов экономики. Для достижения прогнозируемых макроэкономических параметров будет проводиться согласованная денежно-кредитная, налогово-бюджетная, инвестиционная, инновационная политика всеми участниками экономического процесса, которые создадут основу для разработки соответствующих мероприятий, включающих комплекс экономических, организационных и правовых мер для поэтапного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Макроэкономический прогноз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2016-2017 годы главными целями экономической политики будут закрепление наметившихся позитивных тенденций в социально-экономическом развитии, упреждение ожидаемых проблем и обеспечение устойчивого экономического роста.</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Реальные вклады секторов производства ВВП на 2016-2017 годы,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2"/>
        <w:gridCol w:w="1191"/>
        <w:gridCol w:w="1191"/>
        <w:gridCol w:w="1305"/>
        <w:gridCol w:w="1305"/>
        <w:gridCol w:w="1345"/>
      </w:tblGrid>
      <w:tr>
        <w:tc>
          <w:tcPr>
            <w:tcW w:type="dxa" w:w="38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 прогноз</w:t>
            </w:r>
          </w:p>
        </w:tc>
        <w:tc>
          <w:tcPr>
            <w:tcW w:type="dxa" w:w="11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 прогноз</w:t>
            </w:r>
          </w:p>
        </w:tc>
        <w:tc>
          <w:tcPr>
            <w:tcW w:type="dxa" w:w="130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Средний удель-ный вес на 2016-</w:t>
            </w:r>
            <w:r>
              <w:rPr>
                <w:rFonts w:ascii="Arial" w:cs="Arial" w:eastAsia="Arial" w:hAnsi="Arial"/>
                <w:sz w:val="24"/>
                <w:szCs w:val="24"/>
              </w:rPr>
              <w:t xml:space="preserve">2017 гг.</w:t>
            </w:r>
          </w:p>
        </w:tc>
        <w:tc>
          <w:tcPr>
            <w:tcW w:type="dxa" w:w="130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Средний темп роста на 2016-</w:t>
            </w:r>
            <w:r>
              <w:rPr>
                <w:rFonts w:ascii="Arial" w:cs="Arial" w:eastAsia="Arial" w:hAnsi="Arial"/>
                <w:sz w:val="24"/>
                <w:szCs w:val="24"/>
              </w:rPr>
              <w:t xml:space="preserve">2017 гг.</w:t>
            </w:r>
          </w:p>
        </w:tc>
        <w:tc>
          <w:tcPr>
            <w:tcW w:type="dxa" w:w="13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Вклад в прирост ВВП на 2016-</w:t>
            </w:r>
            <w:r>
              <w:rPr>
                <w:rFonts w:ascii="Arial" w:cs="Arial" w:eastAsia="Arial" w:hAnsi="Arial"/>
                <w:sz w:val="24"/>
                <w:szCs w:val="24"/>
              </w:rPr>
              <w:t xml:space="preserve">2017 гг.</w:t>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13,35</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120,7</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0,98</w:t>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2014 году и прогнозируемых показателей на 2015 год, среднегодовой реальный рост ВВП на 2016-2017 годы прогнозируется на уровне 6,8 %.</w:t>
      </w:r>
    </w:p>
    <w:p>
      <w:pPr>
        <w:spacing w:after="120"/>
        <w:jc w:val="both"/>
      </w:pPr>
      <w:r>
        <w:rPr>
          <w:rFonts w:ascii="Arial" w:cs="Arial" w:eastAsia="Arial" w:hAnsi="Arial"/>
          <w:sz w:val="24"/>
          <w:szCs w:val="24"/>
        </w:rPr>
        <w:t xml:space="preserve">В секторальном разрезе в 2016-2017 годах прогнозируемые среднегодовые темпы роста составят: в сельском хозяйстве – 2,9 %, в промышленности – 7,4 %, в строительстве –  20,5 %, в сфере предоставления услуг – 5,4 %.</w:t>
      </w:r>
    </w:p>
    <w:p>
      <w:pPr>
        <w:spacing w:after="120"/>
        <w:jc w:val="both"/>
      </w:pPr>
      <w:r>
        <w:rPr>
          <w:rFonts w:ascii="Arial" w:cs="Arial" w:eastAsia="Arial" w:hAnsi="Arial"/>
          <w:sz w:val="24"/>
          <w:szCs w:val="24"/>
        </w:rPr>
        <w:t xml:space="preserve">На 2016-2017 годы рост ВВП прогнозируется традиционно в основном за счет Чуйской, Джалал-Абадской, Иссык-Кульской, Ошской областей и гор. Бишкек.</w:t>
      </w:r>
    </w:p>
    <w:p>
      <w:pPr>
        <w:spacing w:after="120"/>
        <w:jc w:val="both"/>
      </w:pPr>
      <w:r>
        <w:rPr>
          <w:rFonts w:ascii="Arial" w:cs="Arial" w:eastAsia="Arial" w:hAnsi="Arial"/>
          <w:sz w:val="24"/>
          <w:szCs w:val="24"/>
        </w:rPr>
        <w:t xml:space="preserve">В целом за период 2016-2017 гг. уровень инфляции прогнозируется на уровне однозначных показателей при условии отсутствия шоков, в основу которого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jc w:val="both"/>
      </w:pPr>
      <w:r>
        <w:rPr>
          <w:rFonts w:ascii="Arial" w:cs="Arial" w:eastAsia="Arial" w:hAnsi="Arial"/>
          <w:sz w:val="24"/>
          <w:szCs w:val="24"/>
        </w:rPr>
        <w:t xml:space="preserve">Основные направления денежно-кредитной, налогово-бюджетной, инвестиционной, социальной политики будут проводиться в соответствии с принятыми Совместными заявлениями Правительства Кыргызской Республики и Национального банка Кыргызской Республики об экономической политике на каждые предстоящие годы.</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умеренный рост цен на продовольственные и непродовольственные товары на внутреннем рынке; (б) умеренный рост цен на нефтепродукты (Urals) в пределах 100 долларов США за баррель; (в) сдерживание резких колебаний обменного курса инструментами денежно-кредитной политики; (г) сезонные колебания цен на продовольственные товары; (д) условия функционирования экономики в Таможенном союзе; (е) умеренные показатели инфляции в странах - основных торговых партнерах (Россия – 4,5 – 4,8 %, Казахстан - 6,0-8,0 %, Китай - 3,0 %, еврозона – 1,4-1,6 %, мир – 3,5 %).</w:t>
      </w:r>
    </w:p>
    <w:p>
      <w:pPr>
        <w:spacing w:after="120"/>
        <w:jc w:val="both"/>
      </w:pPr>
      <w:r>
        <w:rPr>
          <w:rFonts w:ascii="Arial" w:cs="Arial" w:eastAsia="Arial" w:hAnsi="Arial"/>
          <w:sz w:val="24"/>
          <w:szCs w:val="24"/>
        </w:rPr>
        <w:t xml:space="preserve">Во всех секторах экономики прогнозируются положительные темпы роста.</w:t>
      </w:r>
    </w:p>
    <w:p>
      <w:pPr>
        <w:spacing w:after="120"/>
        <w:jc w:val="both"/>
      </w:pPr>
      <w:r>
        <w:rPr>
          <w:rFonts w:ascii="Arial" w:cs="Arial" w:eastAsia="Arial" w:hAnsi="Arial"/>
          <w:sz w:val="24"/>
          <w:szCs w:val="24"/>
        </w:rPr>
        <w:t xml:space="preserve">Сфера услуг в 2016-2017 годах, по прежнему, будет занимать основную долю в структуре ВВП (47,8 %). Реальный рост всех видов услуг в среднем на 5,4 % будет поддерживаться реальным ростом денежных доходов населения, прогнозируемых в пределах 4,2 % в среднем за год.</w:t>
      </w:r>
    </w:p>
    <w:p>
      <w:pPr>
        <w:spacing w:after="120"/>
        <w:jc w:val="both"/>
      </w:pPr>
      <w:r>
        <w:rPr>
          <w:rFonts w:ascii="Arial" w:cs="Arial" w:eastAsia="Arial" w:hAnsi="Arial"/>
          <w:sz w:val="24"/>
          <w:szCs w:val="24"/>
        </w:rPr>
        <w:t xml:space="preserve">Политика в секторе услуг в 2016-2017 годах будет направлена на улучшение доступности жизненно необходимых услуг и расширения их на всей территории Кыргызской Республики, включая услуги связи, транспорта, услуги микрофинансовых организаций, торговли и других.</w:t>
      </w:r>
    </w:p>
    <w:p>
      <w:pPr>
        <w:spacing w:after="120"/>
        <w:jc w:val="both"/>
      </w:pPr>
      <w:r>
        <w:rPr>
          <w:rFonts w:ascii="Arial" w:cs="Arial" w:eastAsia="Arial" w:hAnsi="Arial"/>
          <w:sz w:val="24"/>
          <w:szCs w:val="24"/>
        </w:rPr>
        <w:t xml:space="preserve">Создаваемые благоприятные условия для бизнеса в республике будут способствовать развитию сектора услуг, где рост в основном будет обеспечен за счет рыночных услуг, вклад которых в среднем за год составит 4,8 процентного пункта, вклад нерыночных услуг – 0,6 процентного пункта ежегодно. Способствующим фактором расширения рыночных услуг станет оптимизация и сокращение количества государственных услуг.</w:t>
      </w:r>
    </w:p>
    <w:p>
      <w:pPr>
        <w:spacing w:after="120"/>
        <w:jc w:val="both"/>
      </w:pPr>
      <w:r>
        <w:rPr>
          <w:rFonts w:ascii="Arial" w:cs="Arial" w:eastAsia="Arial" w:hAnsi="Arial"/>
          <w:sz w:val="24"/>
          <w:szCs w:val="24"/>
        </w:rPr>
        <w:t xml:space="preserve">Основными источниками увеличению объемов рыночных услуг будут торговля, услуги транспорта и связи, удельный вес которых составит в среднем 77,4 % в общем объёме рыночных услуг.</w:t>
      </w:r>
    </w:p>
    <w:p>
      <w:pPr>
        <w:spacing w:after="120"/>
        <w:jc w:val="both"/>
      </w:pPr>
      <w:r>
        <w:rPr>
          <w:rFonts w:ascii="Arial" w:cs="Arial" w:eastAsia="Arial" w:hAnsi="Arial"/>
          <w:sz w:val="24"/>
          <w:szCs w:val="24"/>
        </w:rPr>
        <w:t xml:space="preserve">Среднегодовой темп реального роста торговли прогнозируется на уровне 5,6 %, а удельный вес – 47,8 % в структуре рыночных услуг. Для сокращения наличия неформальной торговли, составляющей порядка 70,0 % от общего объёма торговли, будут решаться такие основные задачи, как: (1) совершенствование нормативно-правовой базы; (2) всемерное обеспечение прав граждан на безопасность и качество товаров; (3) обеспечение для населения экономической доступности потребительского рынка в цивилизованных формах его организации; (4) повышение статуса и компетенции уполномоченных органов исполнительной власти и местного самоуправления в сфере торговли.</w:t>
      </w:r>
    </w:p>
    <w:p>
      <w:pPr>
        <w:spacing w:after="120"/>
        <w:jc w:val="both"/>
      </w:pPr>
      <w:r>
        <w:rPr>
          <w:rFonts w:ascii="Arial" w:cs="Arial" w:eastAsia="Arial" w:hAnsi="Arial"/>
          <w:sz w:val="24"/>
          <w:szCs w:val="24"/>
        </w:rPr>
        <w:t xml:space="preserve">Другим важным направлением развития рыночных услуг является развитие услуг транспортной деятельности и хранения грузов, где прогнозируется реальный рост на 7,1 % в среднем за год, с удельным весом 21,3 % в общем объёме рыночных услуг.</w:t>
      </w:r>
    </w:p>
    <w:p>
      <w:pPr>
        <w:spacing w:after="120"/>
        <w:jc w:val="both"/>
      </w:pPr>
      <w:r>
        <w:rPr>
          <w:rFonts w:ascii="Arial" w:cs="Arial" w:eastAsia="Arial" w:hAnsi="Arial"/>
          <w:sz w:val="24"/>
          <w:szCs w:val="24"/>
        </w:rPr>
        <w:t xml:space="preserve">Учитывая, что основным видом транспорта, используемым в республике, является автомобильный транспорт (дорожная сеть обеспечивает до 95 % всех внутренних пассажирских и грузовых автомобильных перевозок), основным приоритетами в среднесрочной перспективе будут: (а) удовлетворение потребностей населения в пассажирских и грузовых транспортных перевозках; (б) обновление и пополнение парка автотранспортных средств; (в) реабилитация и поддержание внутренней дорожной сети.</w:t>
      </w:r>
    </w:p>
    <w:p>
      <w:pPr>
        <w:spacing w:after="120"/>
        <w:jc w:val="both"/>
      </w:pPr>
      <w:r>
        <w:rPr>
          <w:rFonts w:ascii="Arial" w:cs="Arial" w:eastAsia="Arial" w:hAnsi="Arial"/>
          <w:sz w:val="24"/>
          <w:szCs w:val="24"/>
        </w:rPr>
        <w:t xml:space="preserve">Внедрение механизмов государственно-частного партнерства станет базовой основой политики в сфере развития транспортных услуг.</w:t>
      </w:r>
    </w:p>
    <w:p>
      <w:pPr>
        <w:spacing w:after="120"/>
        <w:jc w:val="both"/>
      </w:pPr>
      <w:r>
        <w:rPr>
          <w:rFonts w:ascii="Arial" w:cs="Arial" w:eastAsia="Arial" w:hAnsi="Arial"/>
          <w:sz w:val="24"/>
          <w:szCs w:val="24"/>
        </w:rPr>
        <w:t xml:space="preserve">Услуги связи и информации являются одним из основных направлений поддержания устойчивого роста рыночных услуг, реальный рост которых прогнозируется в среднем на уровне – 13,4 %.</w:t>
      </w:r>
    </w:p>
    <w:p>
      <w:pPr>
        <w:spacing w:after="120"/>
        <w:jc w:val="both"/>
      </w:pPr>
      <w:r>
        <w:rPr>
          <w:rFonts w:ascii="Arial" w:cs="Arial" w:eastAsia="Arial" w:hAnsi="Arial"/>
          <w:sz w:val="24"/>
          <w:szCs w:val="24"/>
        </w:rPr>
        <w:t xml:space="preserve">Кыргызстан активно расширяет свое присутствие в перспективных сегментах телекоммуникационного рынка. Создаются возможности предоставления населению высокотехнологичных, доступных информационно-коммуникационных услуг. Развитие телекоммуникационной инфраструктуры в прогнозируемом периоде станет одним из важнейших благоприятных факторов подъема национальной экономики и роста деловой активности населения.</w:t>
      </w:r>
    </w:p>
    <w:p>
      <w:pPr>
        <w:spacing w:after="120"/>
        <w:jc w:val="both"/>
      </w:pPr>
      <w:r>
        <w:rPr>
          <w:rFonts w:ascii="Arial" w:cs="Arial" w:eastAsia="Arial" w:hAnsi="Arial"/>
          <w:sz w:val="24"/>
          <w:szCs w:val="24"/>
        </w:rPr>
        <w:t xml:space="preserve">Также в сфере услуг основным направлением будет развитие туристической индустрии, сфокусированной на следующих приоритетных направлениях: (1) повышение эффективности государственного регулирования развития туристской индустрии; (2) содействие повышению качества и диверсификации туристских услуг и продуктов.</w:t>
      </w:r>
    </w:p>
    <w:p>
      <w:pPr>
        <w:spacing w:after="120"/>
        <w:jc w:val="both"/>
      </w:pPr>
      <w:r>
        <w:rPr>
          <w:rFonts w:ascii="Arial" w:cs="Arial" w:eastAsia="Arial" w:hAnsi="Arial"/>
          <w:sz w:val="24"/>
          <w:szCs w:val="24"/>
        </w:rPr>
        <w:t xml:space="preserve">Рост промышленного производства</w:t>
      </w:r>
      <w:hyperlink w:history="1" r:id="rId1ti8zpjmgnietwt7zhiok">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 2016-2017 годы прогнозируется в среднем за год на уровне 106,2 %. При этом темпы роста производства без предприятий, разрабатывающих месторождение Кумтор прогнозируются к 2017 году на уровне 107,8 %.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освоения и добычи золота на месторождениях Жамгыр, Бозымчак, Караказык, Куру-Тегерек, Носоновское, Талды-Булак Левобережный, выхода на проектную производственную мощность нефтеперерабатывающего завода в г. Кара-Балта.</w:t>
      </w:r>
    </w:p>
    <w:p>
      <w:pPr>
        <w:spacing w:after="120"/>
        <w:jc w:val="both"/>
      </w:pPr>
      <w:r>
        <w:rPr>
          <w:rFonts w:ascii="Arial" w:cs="Arial" w:eastAsia="Arial" w:hAnsi="Arial"/>
          <w:sz w:val="24"/>
          <w:szCs w:val="24"/>
        </w:rPr>
        <w:t xml:space="preserve">В 2016-2017 годах прогнозируется увеличение реальных темпов роста сельского хозяйства в среднем на 2,9 % за счет принимаемых государством и частным сектором мер по увеличению урожайности растениеводства и увеличению продуктивности животноводства. Будут реализованы мероприятия для достижений реальных темпов роста сельскохозяйственной отрасли к концу 2017 года: 1) систематическое увеличение всей посевной площади сельскохозяйственных культур за счет сокращения неиспользованных земель; 2) увеличение урожайности и валовых сборов сельскохозяйственных культур за счет улучшения почвенного плодородия с применением органических, минеральных и органоминеральных удобрений; 3) увеличение объемов производства семян пшеницы и ячменя с сохранением высоких урожайных свойств, технологических и хлебопекарных качеств возделываемых сортов.</w:t>
      </w:r>
    </w:p>
    <w:p>
      <w:pPr>
        <w:spacing w:after="120"/>
        <w:jc w:val="both"/>
      </w:pPr>
      <w:r>
        <w:rPr>
          <w:rFonts w:ascii="Arial" w:cs="Arial" w:eastAsia="Arial" w:hAnsi="Arial"/>
          <w:sz w:val="24"/>
          <w:szCs w:val="24"/>
        </w:rPr>
        <w:t xml:space="preserve">В 2016-2017 годах приоритетными направлениями развития строительной отрасли будут: а) создание институциональной структуры, обеспечивающей разработку политики, направленной на поступательное увеличение экономической доступности населения к сейсмически безопасному комфортному жилью, при улучшении энергоэффективности и уменьшении эмиссии углерода зданиями; б) повышение потенциала профессионалов в области управления, проектирования, строительства и инновационных мероприятий, обеспечивающих снижение потребления энергии вводимыми зданиями к 2017 году на 30-40 % по сравнению с современным состоянием.</w:t>
      </w:r>
    </w:p>
    <w:p>
      <w:pPr>
        <w:spacing w:after="120"/>
        <w:jc w:val="both"/>
      </w:pPr>
      <w:r>
        <w:rPr>
          <w:rFonts w:ascii="Arial" w:cs="Arial" w:eastAsia="Arial" w:hAnsi="Arial"/>
          <w:sz w:val="24"/>
          <w:szCs w:val="24"/>
        </w:rPr>
        <w:t xml:space="preserve">Для реализации этих направлений будут приняты такие основные меры, как: создание в строительном секторе системы реализации политики и управления практикой энергоэффективности, сейсмической безопасности и экономической доступности жилья для населения; разработка механизмов введения жестких санкций за несоблюдение норм и стандартов сейсмостойкости и энергоэффективности; разработка и введение в действие учебную программу «Строительный сектор для устойчивого развития» в системе повышения квалификации специалистов государственного управления в строительстве и т.д.</w:t>
      </w:r>
    </w:p>
    <w:p>
      <w:pPr>
        <w:spacing w:after="120"/>
        <w:jc w:val="both"/>
      </w:pPr>
      <w:r>
        <w:rPr>
          <w:rFonts w:ascii="Arial" w:cs="Arial" w:eastAsia="Arial" w:hAnsi="Arial"/>
          <w:sz w:val="24"/>
          <w:szCs w:val="24"/>
        </w:rPr>
        <w:t xml:space="preserve">В 2016-2017 годах расходы на капитальные вложения в приоритетном порядке будут направлены на строительство и реконструкцию объектов социального значения, в том числе в сферу образования, здравоохранения, культуры и спорта, жилищного строительства, а также на строительство и реконструкцию автодорог в республике.</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2016-2017 годах возрастет в среднем на 21,1 % (с 169,9 млрд. сомов в 2016 году до 220,3 млрд. сомов в 2017 году). Структура капитальных вложений, относительно прогнозируемой, в 2015 году изменится в сторону увеличения доли внешних инвестиций на 4,7 процентного пункта, что составит 49,1 % от общего объема капитальных вложений, связанная с увеличением вливания иностранных кредитов на объектах строительства энергетики и осуществления реконструкции автомобильных дорог.</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20,5 % в среднем за год. Влияние строительного сектора на темпы экономического роста будет положительным и составит в среднем 1,9 процентного пункта.</w:t>
      </w:r>
    </w:p>
    <w:p>
      <w:pPr>
        <w:spacing w:after="120"/>
        <w:jc w:val="both"/>
      </w:pPr>
      <w:r>
        <w:rPr>
          <w:rFonts w:ascii="Arial" w:cs="Arial" w:eastAsia="Arial" w:hAnsi="Arial"/>
          <w:sz w:val="24"/>
          <w:szCs w:val="24"/>
        </w:rPr>
        <w:t xml:space="preserve">Проводимая государством политика в области привлечения инвестиций позволит увеличить уровень частных инвестиций до 30,3 % к ВВП в 2017 году. Валовые инвестиции в экономику увеличатся до 36,1 % к ВВП в 2017 году, что будет способствовать экономическому росту в среднем на 6,8 % за год.</w:t>
      </w:r>
    </w:p>
    <w:p>
      <w:pPr>
        <w:spacing w:after="120"/>
        <w:jc w:val="both"/>
      </w:pPr>
      <w:r>
        <w:rPr>
          <w:rFonts w:ascii="Arial" w:cs="Arial" w:eastAsia="Arial" w:hAnsi="Arial"/>
          <w:sz w:val="24"/>
          <w:szCs w:val="24"/>
        </w:rPr>
        <w:t xml:space="preserve">Прогнозируется снижение доли частного потребления с 95,5 % к ВВП в 2015 году до 94,1 % в 2017 году, обусловленное замедлением темпов притока денежных переводов физических лиц за счет ужесточения миграционного законодательства в странах пребывания.</w:t>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Использование ВВП в 2016-2017 годах,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08"/>
        <w:gridCol w:w="1472"/>
        <w:gridCol w:w="1498"/>
      </w:tblGrid>
      <w:tr>
        <w:tc>
          <w:tcPr>
            <w:tcW w:type="dxa" w:w="720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14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149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r>
      <w:tr>
        <w:tc>
          <w:tcPr>
            <w:vMerge w:val="continue"/>
            <w:tcBorders>
              <w:top w:val="single" w:color="CBBF9E" w:sz="4"/>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в рыночных ценах</w:t>
            </w: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Потребление</w:t>
            </w: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Государственное</w:t>
            </w: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Частное</w:t>
            </w: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94,8</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94,1</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Валовые инвестиции</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1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Государственные инвестиции</w:t>
            </w:r>
          </w:p>
        </w:tc>
        <w:tc>
          <w:tcPr>
            <w:tcW w:type="dxa" w:w="14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из них ПГИ (внешние)</w:t>
            </w:r>
          </w:p>
        </w:tc>
        <w:tc>
          <w:tcPr>
            <w:tcW w:type="dxa" w:w="14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Частные инвестиции</w:t>
            </w:r>
          </w:p>
        </w:tc>
        <w:tc>
          <w:tcPr>
            <w:tcW w:type="dxa" w:w="14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30,4</w:t>
            </w:r>
          </w:p>
        </w:tc>
        <w:tc>
          <w:tcPr>
            <w:tcW w:type="dxa" w:w="1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Экспорт (товары и нефакторные услуги)</w:t>
            </w: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43,4</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Импорт (товары и нефакторные услуги)</w:t>
            </w: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90,8</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86,9</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Чистый экспорт</w:t>
            </w: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-47,4</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предпосылками развития внешнеэкономической деятельности в среднесрочном периоде будут: (а) благоприятное географическое положение Кыргызской Республики по соседству с такими странами, как Россия, Казахстан, Узбекистан и Китай, рынки которых могут обеспечить рост экспортного потенциала Кыргызской Республики; (б) политическая стабильность в соседних государствах; в) активное использование членства Кыргызской Республики в ВТО; (г) функционирование экономики в условиях ТС; (д) расширение внешнеэкономического сотрудничества в рамках Шанхайской организации сотрудничества (ШОС), ЕврАзЭС, СНГ; е) углубление сотрудничества с международными экономическими и финансовыми организациями.</w:t>
      </w:r>
    </w:p>
    <w:p>
      <w:pPr>
        <w:spacing w:after="120"/>
        <w:jc w:val="both"/>
      </w:pPr>
      <w:r>
        <w:rPr>
          <w:rFonts w:ascii="Arial" w:cs="Arial" w:eastAsia="Arial" w:hAnsi="Arial"/>
          <w:sz w:val="24"/>
          <w:szCs w:val="24"/>
        </w:rPr>
        <w:t xml:space="preserve">Объем внешнеторгового оборота в 2016-2017 годы будет расти в среднем на 17,1 % ежегодно и достигнет уровня 10,7 млрд долл. США в 2017 году.</w:t>
      </w:r>
    </w:p>
    <w:p>
      <w:pPr>
        <w:spacing w:after="120"/>
        <w:jc w:val="both"/>
      </w:pPr>
      <w:r>
        <w:rPr>
          <w:rFonts w:ascii="Arial" w:cs="Arial" w:eastAsia="Arial" w:hAnsi="Arial"/>
          <w:sz w:val="24"/>
          <w:szCs w:val="24"/>
        </w:rPr>
        <w:t xml:space="preserve">Прогнозируется, что номинальный объем экспорта увеличится до 2,9 млрд долл. США и вырастет по сравнению с 2016 годом на 7,4 %. Рост экспорта будет обусловлен восстановлением объемов экспортных поставок золота на 6,1 %, а также продукции сельскохозяйственного происхождения (овощи и фрукты – на 10,9 %), строительных материалов (стекло листовое – на 11,4 %) и предметов одежды и их принадлежностей (на 10,3 %).</w:t>
      </w:r>
    </w:p>
    <w:p>
      <w:pPr>
        <w:spacing w:after="120"/>
        <w:jc w:val="both"/>
      </w:pPr>
      <w:r>
        <w:rPr>
          <w:rFonts w:ascii="Arial" w:cs="Arial" w:eastAsia="Arial" w:hAnsi="Arial"/>
          <w:sz w:val="24"/>
          <w:szCs w:val="24"/>
        </w:rPr>
        <w:t xml:space="preserve">Увеличение импортных поступлений в страну прогнозируется на 8,7 % в среднем в год и достигнут уровня 7,8 млрд долл. США в 2017 году. Объем  налогооблагаемого импорта, неосвобожденного от налогообложения, вырастет на 9,8 % по сравнению с 2016 годом и сложится на уровне 5,6 млрд долл. США. Рост импорта будет обусловлен увеличением объема ввоза нефтепродуктов, уровень которого по отношению к 2016 году составит 108,1 %, электрических машин, оборудования и аппаратуры, машин – 108,1 %. Рост ввоза инвестиционных товаров на 12,8 % в среднем за год обусловлен реализацией инвестиционных проектов.</w:t>
      </w:r>
    </w:p>
    <w:p>
      <w:pPr>
        <w:spacing w:after="120"/>
        <w:jc w:val="both"/>
      </w:pPr>
      <w:r>
        <w:rPr>
          <w:rFonts w:ascii="Arial" w:cs="Arial" w:eastAsia="Arial" w:hAnsi="Arial"/>
          <w:sz w:val="24"/>
          <w:szCs w:val="24"/>
        </w:rPr>
        <w:t xml:space="preserve">В результате отрицательное сальдо торгового баланса ухудшится с 4,2 млрд долл. США в 2015  году до 4,9 млрд долл. США в 2017 году.</w:t>
      </w:r>
    </w:p>
    <w:p>
      <w:pPr>
        <w:spacing w:after="120"/>
        <w:jc w:val="both"/>
      </w:pPr>
      <w:r>
        <w:rPr>
          <w:rFonts w:ascii="Arial" w:cs="Arial" w:eastAsia="Arial" w:hAnsi="Arial"/>
          <w:sz w:val="24"/>
          <w:szCs w:val="24"/>
        </w:rPr>
        <w:t xml:space="preserve">Отрицательное сальдо чистого экспорта товаров и услуг к ВВП улучшится с (-)48,9 % в 2015 году до (-)46,1 % в 2017 году за счет структурного изменения объемов импортных и экспортных поставок, где доля экспортных поставок постепенно увеличивается с 26,7 % в 2015 году до 27,1 % в 2017 году.</w:t>
      </w:r>
    </w:p>
    <w:p>
      <w:pPr>
        <w:spacing w:after="120"/>
        <w:jc w:val="both"/>
      </w:pPr>
      <w:r>
        <w:rPr>
          <w:rFonts w:ascii="Arial" w:cs="Arial" w:eastAsia="Arial" w:hAnsi="Arial"/>
          <w:sz w:val="24"/>
          <w:szCs w:val="24"/>
        </w:rPr>
        <w:t xml:space="preserve">Политика социального развития в 2016-2017 года, как и прежде, будет направлена в первую очередь на выполнение государством социальных гарантий гражданам страны, на улучшение качества жизни населения и снижение масштабов бедности с учетом современных требований и возможностей государства.</w:t>
      </w:r>
    </w:p>
    <w:p>
      <w:pPr>
        <w:spacing w:after="120"/>
        <w:jc w:val="both"/>
      </w:pPr>
      <w:r>
        <w:rPr>
          <w:rFonts w:ascii="Arial" w:cs="Arial" w:eastAsia="Arial" w:hAnsi="Arial"/>
          <w:sz w:val="24"/>
          <w:szCs w:val="24"/>
        </w:rPr>
        <w:t xml:space="preserve">Среднесрочная политика страны в развитии социальной сферы будет сфокусирована на следующих приоритетных направлениях:</w:t>
      </w:r>
    </w:p>
    <w:p>
      <w:pPr>
        <w:spacing w:after="120"/>
        <w:jc w:val="both"/>
      </w:pPr>
      <w:r>
        <w:rPr>
          <w:rFonts w:ascii="Arial" w:cs="Arial" w:eastAsia="Arial" w:hAnsi="Arial"/>
          <w:sz w:val="24"/>
          <w:szCs w:val="24"/>
        </w:rPr>
        <w:t xml:space="preserve">- государственная поддержка занятости населения, а также граждан Кыргызской Республики, занятых на внешних рынках труда;</w:t>
      </w:r>
    </w:p>
    <w:p>
      <w:pPr>
        <w:spacing w:after="120"/>
        <w:jc w:val="both"/>
      </w:pPr>
      <w:r>
        <w:rPr>
          <w:rFonts w:ascii="Arial" w:cs="Arial" w:eastAsia="Arial" w:hAnsi="Arial"/>
          <w:sz w:val="24"/>
          <w:szCs w:val="24"/>
        </w:rPr>
        <w:t xml:space="preserve">- обеспечение права на труд для уязвимых слоев населения: женщин, молодежи, ЛОВЗ;</w:t>
      </w:r>
    </w:p>
    <w:p>
      <w:pPr>
        <w:spacing w:after="120"/>
        <w:jc w:val="both"/>
      </w:pPr>
      <w:r>
        <w:rPr>
          <w:rFonts w:ascii="Arial" w:cs="Arial" w:eastAsia="Arial" w:hAnsi="Arial"/>
          <w:sz w:val="24"/>
          <w:szCs w:val="24"/>
        </w:rPr>
        <w:t xml:space="preserve">- повышение эффективности государственного регулирования развития сферы образования;</w:t>
      </w:r>
    </w:p>
    <w:p>
      <w:pPr>
        <w:spacing w:after="120"/>
        <w:jc w:val="both"/>
      </w:pPr>
      <w:r>
        <w:rPr>
          <w:rFonts w:ascii="Arial" w:cs="Arial" w:eastAsia="Arial" w:hAnsi="Arial"/>
          <w:sz w:val="24"/>
          <w:szCs w:val="24"/>
        </w:rPr>
        <w:t xml:space="preserve">- предоставление качественного и доступного образования в соответствии с возрастными потребностями человека;</w:t>
      </w:r>
    </w:p>
    <w:p>
      <w:pPr>
        <w:spacing w:after="120"/>
        <w:jc w:val="both"/>
      </w:pPr>
      <w:r>
        <w:rPr>
          <w:rFonts w:ascii="Arial" w:cs="Arial" w:eastAsia="Arial" w:hAnsi="Arial"/>
          <w:sz w:val="24"/>
          <w:szCs w:val="24"/>
        </w:rPr>
        <w:t xml:space="preserve">- переориентация научной сферы, в том числе – вузовской, на работу с конкретным заказчиком, ориентированным на продвижение устойчивого развития страны;</w:t>
      </w:r>
    </w:p>
    <w:p>
      <w:pPr>
        <w:spacing w:after="120"/>
        <w:jc w:val="both"/>
      </w:pPr>
      <w:r>
        <w:rPr>
          <w:rFonts w:ascii="Arial" w:cs="Arial" w:eastAsia="Arial" w:hAnsi="Arial"/>
          <w:sz w:val="24"/>
          <w:szCs w:val="24"/>
        </w:rPr>
        <w:t xml:space="preserve">- укрепление потенциала системы здравоохранения, направленного на предоставление качественных медицинских услуг населению;</w:t>
      </w:r>
    </w:p>
    <w:p>
      <w:pPr>
        <w:spacing w:after="120"/>
        <w:jc w:val="both"/>
      </w:pPr>
      <w:r>
        <w:rPr>
          <w:rFonts w:ascii="Arial" w:cs="Arial" w:eastAsia="Arial" w:hAnsi="Arial"/>
          <w:sz w:val="24"/>
          <w:szCs w:val="24"/>
        </w:rPr>
        <w:t xml:space="preserve">- создание необходимых условий для охраны и укрепления здоровья населения и каждого человека в отдельности;</w:t>
      </w:r>
    </w:p>
    <w:p>
      <w:pPr>
        <w:spacing w:after="120"/>
        <w:jc w:val="both"/>
      </w:pPr>
      <w:r>
        <w:rPr>
          <w:rFonts w:ascii="Arial" w:cs="Arial" w:eastAsia="Arial" w:hAnsi="Arial"/>
          <w:sz w:val="24"/>
          <w:szCs w:val="24"/>
        </w:rPr>
        <w:t xml:space="preserve">- обеспечение гарантий государства в области социальной защиты для наиболее уязвимых категорий граждан;</w:t>
      </w:r>
    </w:p>
    <w:p>
      <w:pPr>
        <w:spacing w:after="120"/>
        <w:jc w:val="both"/>
      </w:pPr>
      <w:r>
        <w:rPr>
          <w:rFonts w:ascii="Arial" w:cs="Arial" w:eastAsia="Arial" w:hAnsi="Arial"/>
          <w:sz w:val="24"/>
          <w:szCs w:val="24"/>
        </w:rPr>
        <w:t xml:space="preserve">- наращивание потенциала системы социальной защиты и пенсионного обеспечения для оказания качественных услуг населению;</w:t>
      </w:r>
    </w:p>
    <w:p>
      <w:pPr>
        <w:spacing w:after="120"/>
        <w:jc w:val="both"/>
      </w:pPr>
      <w:r>
        <w:rPr>
          <w:rFonts w:ascii="Arial" w:cs="Arial" w:eastAsia="Arial" w:hAnsi="Arial"/>
          <w:sz w:val="24"/>
          <w:szCs w:val="24"/>
        </w:rPr>
        <w:t xml:space="preserve">- проведение структурных реформ в сфере культуры для повышения качества услуг населению, расширения участия в культурной жизни;</w:t>
      </w:r>
    </w:p>
    <w:p>
      <w:pPr>
        <w:spacing w:after="120"/>
        <w:jc w:val="both"/>
      </w:pPr>
      <w:r>
        <w:rPr>
          <w:rFonts w:ascii="Arial" w:cs="Arial" w:eastAsia="Arial" w:hAnsi="Arial"/>
          <w:sz w:val="24"/>
          <w:szCs w:val="24"/>
        </w:rPr>
        <w:t xml:space="preserve">- сохранение культурного и природного наследия страны;</w:t>
      </w:r>
    </w:p>
    <w:p>
      <w:pPr>
        <w:spacing w:after="120"/>
        <w:jc w:val="both"/>
      </w:pPr>
      <w:r>
        <w:rPr>
          <w:rFonts w:ascii="Arial" w:cs="Arial" w:eastAsia="Arial" w:hAnsi="Arial"/>
          <w:sz w:val="24"/>
          <w:szCs w:val="24"/>
        </w:rPr>
        <w:t xml:space="preserve">- формирование имиджа страны на основе развития культурной среды;</w:t>
      </w:r>
    </w:p>
    <w:p>
      <w:pPr>
        <w:spacing w:after="120"/>
        <w:jc w:val="both"/>
      </w:pPr>
      <w:r>
        <w:rPr>
          <w:rFonts w:ascii="Arial" w:cs="Arial" w:eastAsia="Arial" w:hAnsi="Arial"/>
          <w:sz w:val="24"/>
          <w:szCs w:val="24"/>
        </w:rPr>
        <w:t xml:space="preserve">- развитие физической культуры и массового спорта.</w:t>
      </w:r>
    </w:p>
    <w:p>
      <w:pPr>
        <w:spacing w:after="120"/>
        <w:jc w:val="both"/>
      </w:pPr>
      <w:r>
        <w:rPr>
          <w:rFonts w:ascii="Arial" w:cs="Arial" w:eastAsia="Arial" w:hAnsi="Arial"/>
          <w:sz w:val="24"/>
          <w:szCs w:val="24"/>
        </w:rPr>
        <w:t xml:space="preserve">Указанные приоритетные направления будут продвигаться за счет реализации мер, принятых Программой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Реальный рост денежных доходов населения в 2016-2017 годах прогнозируется в среднем на уровне 4,2 %, что будет способствовать росту частного потребления на 5,3 % в среднем за год. В прогнозируемом периоде доля государственного потребления сократится на 1,4 процентного пункта по сравнению с 2015 годом и составит в 2017 году 15,9 % к ВВП. Источником роста денежных доходов будет устойчивый экономический рост, прогнозируемый на период 2015-2017 годы.</w:t>
      </w:r>
    </w:p>
    <w:p>
      <w:pPr>
        <w:spacing w:after="120"/>
        <w:jc w:val="both"/>
      </w:pPr>
      <w:r>
        <w:rPr>
          <w:rFonts w:ascii="Arial" w:cs="Arial" w:eastAsia="Arial" w:hAnsi="Arial"/>
          <w:sz w:val="24"/>
          <w:szCs w:val="24"/>
        </w:rPr>
        <w:t xml:space="preserve">В структуре денежных доходов номинальный размер средней заработной платы возрастет в среднем на 10,6 % и составит в 2017 году 16320 сомов.</w:t>
      </w:r>
    </w:p>
    <w:p>
      <w:pPr>
        <w:spacing w:after="120"/>
        <w:jc w:val="both"/>
      </w:pPr>
      <w:r>
        <w:rPr>
          <w:rFonts w:ascii="Arial" w:cs="Arial" w:eastAsia="Arial" w:hAnsi="Arial"/>
          <w:sz w:val="24"/>
          <w:szCs w:val="24"/>
        </w:rPr>
        <w:t xml:space="preserve">Прогнозируется увеличение размера прожиточного минимума (ПМ) с 5389,2 сомов в 2015 году до 6429,2 сома в 2017 году. Коэффициент отношения СЗП к ПМ на взрослое население трудоспособного возраста сложится на уровне 2,3 к 2017 году.</w:t>
      </w:r>
    </w:p>
    <w:p>
      <w:pPr>
        <w:spacing w:after="120"/>
        <w:jc w:val="both"/>
      </w:pPr>
      <w:r>
        <w:rPr>
          <w:rFonts w:ascii="Arial" w:cs="Arial" w:eastAsia="Arial" w:hAnsi="Arial"/>
          <w:sz w:val="24"/>
          <w:szCs w:val="24"/>
        </w:rPr>
        <w:t xml:space="preserve">Номинальный размер пенсии увеличится относительно 2015 года на 7,5 % и составит в 2017 году 5082,0 сомов.</w:t>
      </w:r>
    </w:p>
    <w:p>
      <w:pPr>
        <w:spacing w:after="120"/>
        <w:jc w:val="both"/>
      </w:pPr>
      <w:r>
        <w:rPr>
          <w:rFonts w:ascii="Arial" w:cs="Arial" w:eastAsia="Arial" w:hAnsi="Arial"/>
          <w:sz w:val="24"/>
          <w:szCs w:val="24"/>
        </w:rPr>
        <w:t xml:space="preserve">Прогнозируется снижение уровня общей безработицы и составит к 2017 году 7,9 %, относительно 8,3 % фактически сложившегося уровня в 2013 году.</w:t>
      </w:r>
    </w:p>
    <w:p>
      <w:pPr>
        <w:spacing w:after="120"/>
        <w:jc w:val="both"/>
      </w:pPr>
      <w:r>
        <w:rPr>
          <w:rFonts w:ascii="Arial" w:cs="Arial" w:eastAsia="Arial" w:hAnsi="Arial"/>
          <w:sz w:val="24"/>
          <w:szCs w:val="24"/>
        </w:rPr>
        <w:t xml:space="preserve">Уровень бедности к 2017 году прогнозируется на уровне 34,7 % и снизится на 1,1 процентный пункт по сравнению с 2015 годом.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минимизация влияющих на экономику внешних и внутренних шоков.</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w:t>
      </w:r>
    </w:p>
    <w:p>
      <w:pPr>
        <w:spacing w:after="120"/>
        <w:jc w:val="both"/>
      </w:pPr>
      <w:r>
        <w:rPr>
          <w:rFonts w:ascii="Arial" w:cs="Arial" w:eastAsia="Arial" w:hAnsi="Arial"/>
          <w:sz w:val="24"/>
          <w:szCs w:val="24"/>
        </w:rPr>
        <w:t xml:space="preserve">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 прогнозируемому на период 2015-2017 годы на уровне 6,6 % в среднем за год.</w:t>
      </w:r>
    </w:p>
    <w:p>
      <w:pPr>
        <w:spacing w:after="120"/>
        <w:jc w:val="both"/>
      </w:pPr>
      <w:r>
        <w:rPr>
          <w:rFonts w:ascii="Arial" w:cs="Arial" w:eastAsia="Arial" w:hAnsi="Arial"/>
          <w:sz w:val="24"/>
          <w:szCs w:val="24"/>
        </w:rPr>
        <w:t xml:space="preserve">Прогнозируемые показатели основаны на Национальной стратегии устойчивого развития Кыргызской Республики на период 2013-2017 годы, Программе Правительства по переходу Кыргызской Республики к устойчивому развитию (2013-2017 годы) и будут реализоваться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будут периодически детально анализироваться достигнутый прогресс, определяться «слабые места» и на основании полученных результатов оперативно пересматриваться прогнозные значения показателей.</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направленных на смягчение возможного шокового воздействия на экономику негативных процессов, связанных с ухудшением мировой конъюнктуры, и возникающих внутренних неблагоприятных условий.</w:t>
      </w:r>
    </w:p>
    <w:p>
      <w:pPr>
        <w:spacing w:after="120"/>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1–15 к настоящему Прогнозу социально-экономического развития Кыргызской Республики на 2015 год и 2016-2017 годы.</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8"/>
      </w:tblGrid>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ВВП:</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Номинальный ВВП</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350028,4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388813,7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442808,1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75597,4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170759,3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305558,4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506329,9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580037,7</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Добавленная стоимость</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56480,3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58504,0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65392,6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12553,2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24365,2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38573,7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72947,3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80074,7</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лесное хозяйство и рыболовство</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53091,5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58065,1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63801,9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7094,2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17739,9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51371,0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69325,0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75617,7</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23644,5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30004,9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38468,2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5678,4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13660,5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25938,4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49609,2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63950,1</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120,7</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Сфера услуг</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166575,2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186391,7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211569,4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39335,1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89243,2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144996,2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241790,8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277223,3</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 и импорт</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50236,9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63575,8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10936,6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25750,5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44679,1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72657,6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83171,9</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Справка: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без учета предприятий по разработке месторождения</w:t>
            </w:r>
          </w:p>
          <w:p>
            <w:pPr>
              <w:jc w:val="left"/>
            </w:pPr>
            <w:r>
              <w:rPr>
                <w:rFonts w:ascii="Arial" w:cs="Arial" w:eastAsia="Arial" w:hAnsi="Arial"/>
                <w:sz w:val="24"/>
                <w:szCs w:val="24"/>
              </w:rPr>
              <w:t xml:space="preserve">Кумтор</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322856,9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364325,5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417927,0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70906,3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162059,2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293291,9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480861,0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554300,8</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ИСПОЛЬЗОВАНИЕ ВВП:</w:t>
            </w:r>
            <w:hyperlink w:history="1" r:id="rIddmjpth87utpjte6jwymzm">
              <w:r>
                <w:rPr>
                  <w:rFonts w:ascii="Arial" w:cs="Arial" w:eastAsia="Arial" w:hAnsi="Arial"/>
                  <w:color w:val="1D4ED8"/>
                  <w:sz w:val="24"/>
                  <w:szCs w:val="24"/>
                  <w:u w:val="single"/>
                </w:rPr>
                <w:t xml:space="preserve">[12]</w:t>
              </w:r>
            </w:hyperlink>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Конечное потребление</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396157,5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447462,6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499719,0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563959,5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637979,9</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Частное потребление</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333008,0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377212,5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423071,8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479788,4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545893,3</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Государственное потребление</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63149,5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70250,0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76647,3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84171,1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92086,6</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Валовые инвестиции</w:t>
            </w:r>
            <w:hyperlink w:history="1" r:id="rIdfnvrttll2doc0qqh59feu">
              <w:r>
                <w:rPr>
                  <w:rFonts w:ascii="Arial" w:cs="Arial" w:eastAsia="Arial" w:hAnsi="Arial"/>
                  <w:color w:val="1D4ED8"/>
                  <w:sz w:val="24"/>
                  <w:szCs w:val="24"/>
                  <w:u w:val="single"/>
                </w:rPr>
                <w:t xml:space="preserve">[13]</w:t>
              </w:r>
            </w:hyperlink>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124549,5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142159,1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159410,9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182568,0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209672,8</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Государственные инвестиции</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18618,4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17160,7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25452,6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28477,5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34095,2</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 них: ПГИ (внешние)</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7372,7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13816,6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22694,5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23894,0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25 105,2</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Частные инвестиции</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105931,1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124998,5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133958,4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154090,5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175577,6</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Чистый экспорт товаров и услуг</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-170678,7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-200808,0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-216322,0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-240198,0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-267615,0</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 и услуг</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165100,8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183983,1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199570,4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219509,7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236469,8</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 и услуг</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335779,5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384791,1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415892,2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459707,4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504084,8</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8"/>
      </w:tblGrid>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III.СОЦИАЛЬНЫЕ ПОКАЗАТЕЛИ</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тыс.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долл. США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долл. США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1319,7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1329,5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581,0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1626,3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1817,2</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34,7</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230461,8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250545,5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276242,5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60483,9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125496,9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205343,9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311630,5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358052,0</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hyperlink w:history="1" r:id="rId7dmngnedle2540y1_xvqc">
              <w:r>
                <w:rPr>
                  <w:rFonts w:ascii="Arial" w:cs="Arial" w:eastAsia="Arial" w:hAnsi="Arial"/>
                  <w:color w:val="1D4ED8"/>
                  <w:sz w:val="24"/>
                  <w:szCs w:val="24"/>
                  <w:u w:val="single"/>
                </w:rPr>
                <w:t xml:space="preserve">[14]</w:t>
              </w:r>
            </w:hyperlink>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 в месяц</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4599,2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4948,7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5389,2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5145,3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5449,0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5256,2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6429,2</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hyperlink w:history="1" r:id="rId6jzvmn5rnuzyi4v_qb4lw">
              <w:r>
                <w:rPr>
                  <w:rFonts w:ascii="Arial" w:cs="Arial" w:eastAsia="Arial" w:hAnsi="Arial"/>
                  <w:color w:val="1D4ED8"/>
                  <w:sz w:val="24"/>
                  <w:szCs w:val="24"/>
                  <w:u w:val="single"/>
                </w:rPr>
                <w:t xml:space="preserve">[15]</w:t>
              </w:r>
            </w:hyperlink>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 в месяц</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5139,7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5530,3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6022,5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5733,3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6097,8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5885,1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6546,5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7184,8</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hyperlink w:history="1" r:id="rIdxkyapiiru7zpeqp2hjjyf">
              <w:r>
                <w:rPr>
                  <w:rFonts w:ascii="Arial" w:cs="Arial" w:eastAsia="Arial" w:hAnsi="Arial"/>
                  <w:color w:val="1D4ED8"/>
                  <w:sz w:val="24"/>
                  <w:szCs w:val="24"/>
                  <w:u w:val="single"/>
                </w:rPr>
                <w:t xml:space="preserve">[16]</w:t>
              </w:r>
            </w:hyperlink>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 в месяц</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4097,0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4800,7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4560,7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4864,7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4684,5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5218,4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5727,2</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5464,7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5570,5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5668,6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5598,7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5574,6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5765,4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5856,8</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11341,0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12250,0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13350,0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12920,0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14720,0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16320</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214,5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227,1</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w:t>
            </w:r>
            <w:hyperlink w:history="1" r:id="rId6tq6wqqskyg-ch_lp_ro0">
              <w:r>
                <w:rPr>
                  <w:rFonts w:ascii="Arial" w:cs="Arial" w:eastAsia="Arial" w:hAnsi="Arial"/>
                  <w:color w:val="1D4ED8"/>
                  <w:sz w:val="24"/>
                  <w:szCs w:val="24"/>
                  <w:u w:val="single"/>
                </w:rPr>
                <w:t xml:space="preserve">[17]</w:t>
              </w:r>
            </w:hyperlink>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4432,0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4728,0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4468,0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4468,0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4902,0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5082,0</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94,5</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88,7</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ТРУДОВЫЕ РЕСУРСЫ</w:t>
            </w:r>
            <w:hyperlink w:history="1" r:id="rIdyroyn_vj20m9pnozbke8y">
              <w:r>
                <w:rPr>
                  <w:rFonts w:ascii="Arial" w:cs="Arial" w:eastAsia="Arial" w:hAnsi="Arial"/>
                  <w:color w:val="1D4ED8"/>
                  <w:sz w:val="24"/>
                  <w:szCs w:val="24"/>
                  <w:u w:val="single"/>
                </w:rPr>
                <w:t xml:space="preserve">[18]</w:t>
              </w:r>
            </w:hyperlink>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2468,7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2472,3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2468,1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2470,3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2472,0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2473,0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2475,4</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2263,0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2268,3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2273,0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2283,1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2321,3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2275,4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2280,4</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202,2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195,0</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Национальные счета (% от ВВП)</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ВВП</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ИСПОЛЬЗОВАНИЕ ВВП</w:t>
            </w:r>
            <w:hyperlink w:history="1" r:id="rIddpv2zxi-lg30ijfa8ampn">
              <w:r>
                <w:rPr>
                  <w:rFonts w:ascii="Arial" w:cs="Arial" w:eastAsia="Arial" w:hAnsi="Arial"/>
                  <w:color w:val="1D4ED8"/>
                  <w:sz w:val="24"/>
                  <w:szCs w:val="24"/>
                  <w:u w:val="single"/>
                </w:rPr>
                <w:t xml:space="preserve">[19]</w:t>
              </w:r>
            </w:hyperlink>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86,9</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8"/>
        <w:gridCol w:w="864"/>
        <w:gridCol w:w="864"/>
        <w:gridCol w:w="864"/>
        <w:gridCol w:w="864"/>
        <w:gridCol w:w="864"/>
        <w:gridCol w:w="864"/>
        <w:gridCol w:w="864"/>
        <w:gridCol w:w="864"/>
      </w:tblGrid>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171973,8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188084,3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206667,0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23245,6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56604,9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166005,7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224557,4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244940,4</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hyperlink w:history="1" r:id="rIdtubw08fz_fr-zkqa2tebt">
              <w:r>
                <w:rPr>
                  <w:rFonts w:ascii="Arial" w:cs="Arial" w:eastAsia="Arial" w:hAnsi="Arial"/>
                  <w:color w:val="1D4ED8"/>
                  <w:sz w:val="24"/>
                  <w:szCs w:val="24"/>
                  <w:u w:val="single"/>
                </w:rPr>
                <w:t xml:space="preserve">[20]</w:t>
              </w:r>
            </w:hyperlink>
            <w:r>
              <w:rPr>
                <w:rFonts w:ascii="Arial" w:cs="Arial" w:eastAsia="Arial" w:hAnsi="Arial"/>
                <w:sz w:val="24"/>
                <w:szCs w:val="24"/>
              </w:rPr>
              <w:t xml:space="preserve">,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166876,8</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172856,1</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193209,2</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36168,8</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71033,9</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112839,3</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215530,1</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236589,0</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hyperlink w:history="1" r:id="rId9sj5cqopu523o5axqhoyr">
              <w:r>
                <w:rPr>
                  <w:rFonts w:ascii="Arial" w:cs="Arial" w:eastAsia="Arial" w:hAnsi="Arial"/>
                  <w:color w:val="1D4ED8"/>
                  <w:sz w:val="24"/>
                  <w:szCs w:val="24"/>
                  <w:u w:val="single"/>
                </w:rPr>
                <w:t xml:space="preserve">[21]</w:t>
              </w:r>
            </w:hyperlink>
            <w:r>
              <w:rPr>
                <w:rFonts w:ascii="Arial" w:cs="Arial" w:eastAsia="Arial" w:hAnsi="Arial"/>
                <w:sz w:val="24"/>
                <w:szCs w:val="24"/>
              </w:rPr>
              <w:t xml:space="preserve">,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165131,7</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168102,2</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183001,8</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36512,7</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70409,0</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110483,1</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200175,0</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217402,9</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5 456,4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5 715,0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6 129,1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2 138,0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4 159,2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6 584,1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7 186,8</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136 503,1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137 196,5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150 899,7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26 207,7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54 493,8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87 773,1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166 557,5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181 890,2</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21 955,0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23 792,3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24 443,2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9 015,9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13 008,6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17 446,6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25 393,6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26 529,4</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1 217,1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1 398,3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1 529,8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768,6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1 104,2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1 639,8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1 796,4</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84954,7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95842,9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109583,2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22814,9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45355,6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74287,2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125022,2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141459,0</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70728,4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89754,3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115071,0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16985,9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40863,3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77590,1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148397,4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191295,5</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120,7</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297091,5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332434,7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377340,0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69283,4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157104,0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255251,8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431240,6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494435,5</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97427,4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111615,6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127378,2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20312,6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47094,0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81774,9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146472,6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167997,5</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326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37015,9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45 334,9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53 931,3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10 308,3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22 640,9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37 275,0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63 812,3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76 582,2</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r>
      <w:tr>
        <w:tc>
          <w:tcPr>
            <w:tcW w:type="dxa" w:w="326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14555,6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17 467,2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20 828,8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2 952,6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7 078,4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13 289,1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24 835,7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29 480,2</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r>
      <w:tr>
        <w:tc>
          <w:tcPr>
            <w:tcW w:type="dxa" w:w="326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Информация и связь,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27710,3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30 316,2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34 424,7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7 877,0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15 906,1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24 961,2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39 065,2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44 673,3</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113,9</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сельского хозяйства, лесного хозяйства и рыболовства Кыргызской Республики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4"/>
        <w:gridCol w:w="979"/>
        <w:gridCol w:w="879"/>
        <w:gridCol w:w="881"/>
        <w:gridCol w:w="881"/>
        <w:gridCol w:w="881"/>
        <w:gridCol w:w="881"/>
        <w:gridCol w:w="879"/>
        <w:gridCol w:w="881"/>
      </w:tblGrid>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171973,8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188084,3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206667,0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23245,6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56604,9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166005,7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224557,4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244940,4</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Растениеводство,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86553,8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96932,7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107067,9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6745,4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88603,7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117884,2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125692,6</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Зерновые культуры (в весе после доработки),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27953,4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29631,4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34776,2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45755,3</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(в весе после доработки),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1681,0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1770,5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1905,0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Сахарная свекла (фабричная),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566,7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466,0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529,3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576,0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Хлопок (в зачетном весе),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2599,6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2420,7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2952,6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3096,0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Табак (в зачетном весе),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357,5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406,0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Масличные культуры,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1182,7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1286,6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1405,6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1453,5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1534,0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Картофель,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17366,4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18670,0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20328,0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21876,0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22440,0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1278,0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1336,0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Овощи,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15923,4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19143,9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22421,6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23079,0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24000,0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881,5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922,7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922,7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942,0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Бахчи продовольственные,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2844,8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2857,0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2914,5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3075,0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Плоды и ягоды,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7375,2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8008,0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8383,9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8541,0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Виноград,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452,2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497,4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514,3</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Прочее растениеводство</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11405,3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13668,6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12557,4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17383,4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21695,2</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Животноводство,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81676,2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87542,3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95844,6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22691,5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48129,2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74424,7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102773,6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115262,1</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Скот и птица на убой (в живом весе),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50033,0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53850,8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59491,0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64570,0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68840,0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Скот и птица на убой (в живом весе),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371,0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Молоко сырое,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26785,5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28452,6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30723,0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32078,0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33550,0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Молоко сырое,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1408,2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1437,0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1463,0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1492,0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1525,0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Яйца,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2845,3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3074,4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3534,6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3656,0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3825,0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Яйца, млн шт.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433,2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438,0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Шерсть,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432,5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488,0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516,6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531,2</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Шерсть,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Прочее животноводство</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1579,8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1676,5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1593,8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1953,0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2032,7</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w:t>
            </w:r>
            <w:hyperlink w:history="1" r:id="rIdlvtlrsdqecblio9zcrahe">
              <w:r>
                <w:rPr>
                  <w:rFonts w:ascii="Arial" w:cs="Arial" w:eastAsia="Arial" w:hAnsi="Arial"/>
                  <w:color w:val="1D4ED8"/>
                  <w:sz w:val="24"/>
                  <w:szCs w:val="24"/>
                  <w:u w:val="single"/>
                </w:rPr>
                <w:t xml:space="preserve">[22]</w:t>
              </w:r>
            </w:hyperlink>
            <w:r>
              <w:rPr>
                <w:rFonts w:ascii="Arial" w:cs="Arial" w:eastAsia="Arial" w:hAnsi="Arial"/>
                <w:sz w:val="24"/>
                <w:szCs w:val="24"/>
              </w:rPr>
              <w:t xml:space="preserve">,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3442,7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3307,5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3452,7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3597,9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3684,0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Лесное хозяйство,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229,7</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Рыбоводство, рыболовство,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2015 год и на 2016-2017 годы</w:t>
      </w:r>
    </w:p>
    <w:p>
      <w:pPr>
        <w:spacing w:after="120"/>
        <w:jc w:val="both"/>
      </w:pPr>
      <w:r>
        <w:rPr>
          <w:rFonts w:ascii="Arial" w:cs="Arial" w:eastAsia="Arial" w:hAnsi="Arial"/>
          <w:sz w:val="24"/>
          <w:szCs w:val="24"/>
        </w:rPr>
        <w:t xml:space="preserve">с учетом стоимости переработки давальческого сырья, без учета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6"/>
        <w:gridCol w:w="741"/>
        <w:gridCol w:w="767"/>
        <w:gridCol w:w="741"/>
        <w:gridCol w:w="2032"/>
        <w:gridCol w:w="670"/>
        <w:gridCol w:w="709"/>
        <w:gridCol w:w="741"/>
        <w:gridCol w:w="730"/>
      </w:tblGrid>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166876,8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172856,1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193209,2</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36168,8</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71033,9</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112839,3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215530,1</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236589,0</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86699,7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100596,8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119790,7</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22470,9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45980,5</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76643,4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140377,3</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160645,1</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Добыча полезных ископаемых,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5 456,4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5715,0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6129,1</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2137,9</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4159,2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6584,1</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7186,8</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каменного угля и бурого угля (лигнита),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1 740,1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1 938,5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2 115,3</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323,4</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655,8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1 359,8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2 303,7</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2 500,1</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сырой нефти и природного газа,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1 940,1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1 940,1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1 998,7</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426,7</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957,9</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1 538,3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2 038,7</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2 211,1</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металлических руд,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876,4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797,5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821,4</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469,4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862,4</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914,2</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83,9</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прочих полезных ископаемых,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899,8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1 039,0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1 193,8</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791,7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1 379,3</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1 561,4</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 Обрабатывающие производства,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145372,7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149604,5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168837,9</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28837,4</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59482,8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96054,5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189797,9</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209158,8</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26643,8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31414,4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35911,8</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6945,1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14942,0</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24124,7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40307,8</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45437,8</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8 712,0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9 957,5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11 504,9</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1 352,0</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3 110,4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7 556,3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13 431,7</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15 376,6</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2 083,5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2 210,4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2 482,8</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488,9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1 082,9</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1 726,9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2 644,0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2 786,0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4.Производство кокса и очищенных нефтепродуктов,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2 270,0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5 853,3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12 619,6</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947,3</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2 571,9</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3 798,8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19 014,1</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23 119,2</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186,7</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115,8</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115,5</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5.Производство химической продукции,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1 044,0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1 208,6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1 596,4</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305,3</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690,0</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1 093,0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1 944,2</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2 425,8</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129,5</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116,8</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117,1</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119,4</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247,4</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114,8</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16 207,8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17 528,7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18 594,4</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2 927,7</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7 595,6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13 919,4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19 156,0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19 541,0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128,9</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84 038,8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76 563,3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80 802,9</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14 642,6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27 123,1</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39 932,9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87 454,3</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94 202,5</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57,3</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60,7</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1 536,9</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1 734,6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1 899,6</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518,1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1 013,4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1 441,0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2 074,4</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2 222,1</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362,1</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148,2</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371,2</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386,2</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 Производство транспортных средств,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1 017,2</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1 079,1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1 260,5</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192,4</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422,2</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912,3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1 445,3</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1 547,9</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1 301,7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1 451,2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1 524,3</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678,6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1 117,5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1 648,5</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1 782,9</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III. Обеспечение (снабжение) электроэнергией, газом, паром и кондиционированным воздухом,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14 830,6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16 138,2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16 712,5</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6 042,2</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8 644,6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11 521,3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17 508,3</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18 447,0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IV. Водоснабжение, очистка, обработка отходов и получение вторичного сырья,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1 217,1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1 398,3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1 529,8</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768,6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1 104,2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1 639,8</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1 796,4</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2015 год и на 2016-2017 годы</w:t>
      </w:r>
    </w:p>
    <w:p>
      <w:pPr>
        <w:spacing w:after="120"/>
        <w:jc w:val="both"/>
      </w:pPr>
      <w:r>
        <w:rPr>
          <w:rFonts w:ascii="Arial" w:cs="Arial" w:eastAsia="Arial" w:hAnsi="Arial"/>
          <w:sz w:val="24"/>
          <w:szCs w:val="24"/>
        </w:rPr>
        <w:t xml:space="preserve">без учета стоимости переработки давальческого сырья, но с учетом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4"/>
        <w:gridCol w:w="1046"/>
        <w:gridCol w:w="951"/>
        <w:gridCol w:w="857"/>
        <w:gridCol w:w="761"/>
        <w:gridCol w:w="855"/>
        <w:gridCol w:w="857"/>
        <w:gridCol w:w="951"/>
        <w:gridCol w:w="1046"/>
      </w:tblGrid>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165131,7</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168102,2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183001,8</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36512,7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70409,0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110483,1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200175,0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217402,9</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84954,6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95842,9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109583,2</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22814,9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45355,6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74287,2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125022,2</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141459,0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 Добыча полезных ископаемых,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5 456,4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5 715,0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6 129,1</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903,5</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2 138,0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4 159,2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6 584,1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7 186,8</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Добыча каменного угля и бурого угля(лигнита),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1 740,1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1 938,5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2 115,3</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323,4</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655,8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1 359,8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2 303,7</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Добыча сырой нефти и природного газа,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1 940,1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1 940,1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1 998,7</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426,7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957,9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1 538,3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2 038,7</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2 211,1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Добыча металлических руд,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876,4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797,5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821,4</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469,4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862,4</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914,2</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Добыча прочих полезных ископаемых,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899,8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1 039,0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1 193,8</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791,7</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1 379,3</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1 561,4</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 Обрабатывающие производства,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136 503,1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137 196,5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150899,7</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26207,7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54 493,8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87 773,1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166 557,5</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181 890,2</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20331,3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23 974,7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27 407,1</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5 143,6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11 665,2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18 639,2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30 761,9</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34 677,1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7 816,0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8 933,3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10 321,6</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1 199,0</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2 912,4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7 179,0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12 050,2</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13 795,1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1 915,4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2 032,0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2 282,4</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463,1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1 012,8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1 599,1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2 430,6</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2 561,1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4.Производство кокса и очищенных нефтепродуктов,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833,9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2 150,3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4 636,0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308,4</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1 158,6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1 578,3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6 985,1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8 493,2</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186,7</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115,8</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115,5</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5.Производство химической продукции,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1 044,0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1 208,6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1 596,4</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305,3</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1 093,0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1 944,2</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2 425,8</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129,5</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116,8</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119,4</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247,4</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114,8</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16 193,2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17 512,9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18 577,7</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2 927,7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7 594,2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13 914,8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19 138,8</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19 523,4</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84 038,8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76 563,3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80 802,9</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14642,6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27 123,1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39 932,9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87 454,3</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94 202,5</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57,3</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60,7</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1 536,9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1 734,6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1 899,6</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518,1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1 009,8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1 441,0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2 074,4</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2 222,1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362,1</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371,2</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386,2</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 Производство транспортных средств,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1 017,2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1 079,1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1 260,5</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192,4</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912,3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1 445,3</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1 547,9</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1 259,4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1 404,1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1 474,9</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321,5</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652,7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1 051,6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1 595,1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1 725,1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III. Обеспечение (снабжение) электроэнергией, газом, паром и кондиционированным воздухом,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21 955,0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23 792,3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24 443,2</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9 015,9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13 008,6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17 446,6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25 393,6</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26 529,4</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IV. Водоснабжение, очистка, обработка отходов и получение вторичного сырья,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1 217,1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1 398,3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1 529,8</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768,6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1 104,2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1 639,8</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1 796,4</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натуральных видов продукции промышленности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4"/>
        <w:gridCol w:w="1173"/>
        <w:gridCol w:w="1105"/>
        <w:gridCol w:w="1105"/>
        <w:gridCol w:w="1105"/>
        <w:gridCol w:w="1205"/>
      </w:tblGrid>
      <w:tr>
        <w:tc>
          <w:tcPr>
            <w:tcW w:type="dxa" w:w="44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полезных ископаемых</w:t>
            </w:r>
          </w:p>
        </w:tc>
        <w:tc>
          <w:tcPr>
            <w:tcW w:type="dxa" w:w="11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1 424,6</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1 700,0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Сырая нефть,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83,7</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 млн м3</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Природные пески,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932,4</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Гранулы, каменная крошка, галька, гравий, щебень или дробленный камень,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1 160,1</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Глина и каолин,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Обрабатывающие производства</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Масло растительное,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14 086,8</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16 300,0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16 600,0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16 800,0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17 600,0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 тыс. дал.</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1 583,0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1 815,0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1 887,6</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1 963,1</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2 041,6</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 тыс. дал.</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2 389,5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2607,7</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2842,4</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3098,3</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3377,1</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2 772,6</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2 775,0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2 778,5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2 780,0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2 783,6</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Напитки безалкогольные, тыс. дал.</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11 722,5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12 302,5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12 882,5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13 462,0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14 042,0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Мука из зерновых культур,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276,6</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447,4</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458,0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482,7</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Сахар-песок,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Сигареты, млн шт.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934,8</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461,0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Табак, промышленно изготовленный и его заменители,т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5 551,3</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5 000,0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5 500,0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6 000,0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6 500,0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Волокно хлопковое кардочесанное и гребнечесанное,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Ткани готовые всех видов, тыс. м2</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333,6</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356,8</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7 816,0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8 933,3</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10 321,6</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12 050,2</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13795,1</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Листовое стекло, млн м2</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Тракторные прицепы, шт.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Радиаторы, тыс. шт.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136,7</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2 258,0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2700,0</w:t>
            </w:r>
          </w:p>
        </w:tc>
      </w:tr>
      <w:tr>
        <w:tc>
          <w:tcPr>
            <w:tcW w:type="dxa" w:w="44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Цемент, портландцемент,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1 675,8</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1 750,0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1 800,0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Золото,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Сурьма,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1 474,5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1 500,0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Ртуть,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Моторное топливо,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115,7</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Дизельное топливо,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Лампы накаливания, млн шт.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182,4</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 млн кВт. час</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14 096,7</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14 394,0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14 394,5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14 409,6</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14 431,9</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Тепловая энергия, Гкал</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2 782,3</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2 782,3</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3 103,3</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3 105,9</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3 105,9</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золота на 2015 год и на 2016-2017 годы</w:t>
      </w:r>
      <w:hyperlink w:history="1" r:id="rIdmbptebfmy-0a_jsfnjqn6">
        <w:r>
          <w:rPr>
            <w:rFonts w:ascii="Arial" w:cs="Arial" w:eastAsia="Arial" w:hAnsi="Arial"/>
            <w:color w:val="1D4ED8"/>
            <w:sz w:val="24"/>
            <w:szCs w:val="24"/>
            <w:u w:val="single"/>
          </w:rPr>
          <w:t xml:space="preserve">[23]</w:t>
        </w:r>
      </w:hyperlink>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70"/>
        <w:gridCol w:w="1437"/>
        <w:gridCol w:w="1315"/>
        <w:gridCol w:w="1195"/>
        <w:gridCol w:w="1079"/>
        <w:gridCol w:w="782"/>
      </w:tblGrid>
      <w:tr>
        <w:tc>
          <w:tcPr>
            <w:tcW w:type="dxa" w:w="43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золота, сплав Доре, т</w:t>
            </w:r>
          </w:p>
        </w:tc>
        <w:tc>
          <w:tcPr>
            <w:tcW w:type="dxa" w:w="14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13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11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w:t>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w:t>
            </w:r>
          </w:p>
        </w:tc>
      </w:tr>
      <w:tr>
        <w:tc>
          <w:tcPr>
            <w:tcW w:type="dxa" w:w="43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Закрытое акционерное общество «Кумтор Голд Компани»</w:t>
            </w:r>
          </w:p>
        </w:tc>
        <w:tc>
          <w:tcPr>
            <w:tcW w:type="dxa" w:w="14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золота, сплав Доре, т</w:t>
            </w:r>
          </w:p>
        </w:tc>
        <w:tc>
          <w:tcPr>
            <w:tcW w:type="dxa" w:w="14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18 674,4</w:t>
            </w:r>
          </w:p>
        </w:tc>
        <w:tc>
          <w:tcPr>
            <w:tcW w:type="dxa" w:w="13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18 700,0</w:t>
            </w:r>
          </w:p>
        </w:tc>
        <w:tc>
          <w:tcPr>
            <w:tcW w:type="dxa" w:w="11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19 000,0</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19 000,0</w:t>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19 200,0</w:t>
            </w:r>
          </w:p>
        </w:tc>
      </w:tr>
      <w:tr>
        <w:tc>
          <w:tcPr>
            <w:tcW w:type="dxa" w:w="43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4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190,5</w:t>
            </w:r>
          </w:p>
        </w:tc>
        <w:tc>
          <w:tcPr>
            <w:tcW w:type="dxa" w:w="13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1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сферы услуг в Кыргызской Республике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1"/>
        <w:gridCol w:w="871"/>
        <w:gridCol w:w="851"/>
        <w:gridCol w:w="851"/>
        <w:gridCol w:w="965"/>
        <w:gridCol w:w="953"/>
        <w:gridCol w:w="857"/>
        <w:gridCol w:w="857"/>
        <w:gridCol w:w="851"/>
      </w:tblGrid>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Валовой выпуск сферы услуг,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297091,5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332434,7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377340,0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69283,4</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157104,0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255251,8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431240,6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494435,5</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97427,4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111615,6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127378,2</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20312,6</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47094,0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81774,9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146472,6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167997,5</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37015,9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45 334,9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53 931,3</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10 308,3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22 640,9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37 275,0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63 812,3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76 582,2</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14555,6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17 467,2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20 828,8</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2 952,6</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7 078,4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13 289,1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24 835,7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29 480,2</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Информация и связь,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27710,3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30 316,2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34 424,7</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7 877,0</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15 906,1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24 961,2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39 065,2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44 673,3</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113,9</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Финансовое посредничество и страхование,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17329,2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18 748,8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20 425,0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3 897,0</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9 234,8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14 705,6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22 939,7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25 931,7</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Операции с недвижимым имуществом,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12409,4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13 154,0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14 667,2</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3 291,6</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6 641,4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10 455,9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16 465,2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18 669,2</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Профессиональная, научная и техническая деятельность,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9049,8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10 702,7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11 659,1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2 623,6</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5 641,3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8 624,7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12 686,0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13 789,0</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Административная и вспомогательная деятельность,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2296,4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2 372,2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2 544,4</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562,2</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1 178,3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1 843,1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2 737,1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2 941,4</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27621,9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27 400,4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30 499,7</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6 063,2</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14 335,4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21 144,7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34 582,2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39 278,0</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Образование,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24765,0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26 469,6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28 648,0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5 178,4</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13 482,0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18 805,8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31 092,4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33 551,1</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Здравоохранение и социальное обслуживание населения,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16597,0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17 872,0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20 509,9</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3 843,9</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8 450,6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13 953,0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23 776,7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27 720,2</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113,3</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Искусство, развлечения и отдых,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3186,8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3 646,6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3 985,1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665,5</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1 697,6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2 748,9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4 367,3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4 794,4</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Прочая обслуживающая деятельность,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7126,8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7 334,8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7 838,5</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1 707,5</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3 723,3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5 670,1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8 408,2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9 027,3</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объема оказанных рыночных услуг в Кыргызской Республике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6"/>
        <w:gridCol w:w="910"/>
        <w:gridCol w:w="870"/>
        <w:gridCol w:w="833"/>
        <w:gridCol w:w="906"/>
        <w:gridCol w:w="1034"/>
        <w:gridCol w:w="971"/>
        <w:gridCol w:w="967"/>
        <w:gridCol w:w="870"/>
      </w:tblGrid>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оказанных рыночных услуг, млн сомов</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443005,5</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500621,2</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567595,5</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90722,2</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212692,2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367974,3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648247,4</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740124,5</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325287,8</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370925,7</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421334,9</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66530,0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156135,4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270600,5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482244,5</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550540,9</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млн сомов</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117717,8</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129695,5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146260,6</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24192,2</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56556,9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97373,7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166002,9</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189583,7</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объема инвестиций в основной капитал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56"/>
        <w:gridCol w:w="865"/>
        <w:gridCol w:w="767"/>
        <w:gridCol w:w="826"/>
        <w:gridCol w:w="835"/>
        <w:gridCol w:w="833"/>
        <w:gridCol w:w="908"/>
        <w:gridCol w:w="826"/>
        <w:gridCol w:w="861"/>
      </w:tblGrid>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Инвестиции в основной капитал, млн сомов</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78202,6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99645,8</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131391,5</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18978,4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43746,0</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84053,0</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169940,7</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220336,5</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118,0</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122,0</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120,8</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122,5</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120,9</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Внутренние инвестиции</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50153,1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59102,6</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73041,9</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11796,4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29016,6</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50132,8</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95525,4</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112111,6</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119,7</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2679,7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4726,0</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9057,0</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985,7</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4071,3</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13452,0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15573,8</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Местный бюджет</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589,7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702,3</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926,1</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168,5</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457,6</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1222,4</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1623,1</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предприятий и организаций</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29854,5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33894,2</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40121,8</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6669,1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17680,1</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27849,2</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53908,9</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63289,6</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Кредиты банков</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250,1</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375,6</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156,5</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219,1</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511,2</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641,5</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16819,2</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19530,0</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22561,4</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5009,4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10025,8</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17535,6</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26430,9</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30983,6</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Внешние инвестиции</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28049,5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40543,2</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58349,6</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7182,0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14729,4</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33920,2</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74415,3</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108224,9</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133,8</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133,1</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178,0</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126,8</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136,2</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Иностранные кредиты</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18733,8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29347,0</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43976,5</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4655,7</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9845,5</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24131,0</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55219,7</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79518,9</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Прямые иностранные инвестиции</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7407,3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8821,4</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11539,3</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1658,9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3589,3</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7950,0</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15617,2</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24107,6</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Иностранные гранты и гуманитарная помощь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1908,4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2374,8</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2833,8</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867,4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1294,6</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1839,2</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3578,4</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4598,4</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12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и импорта товаров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6"/>
        <w:gridCol w:w="1515"/>
        <w:gridCol w:w="1407"/>
        <w:gridCol w:w="1299"/>
        <w:gridCol w:w="1022"/>
        <w:gridCol w:w="839"/>
        <w:gridCol w:w="841"/>
      </w:tblGrid>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2012,1</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2400,0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2700,0</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2900,0</w:t>
            </w:r>
          </w:p>
        </w:tc>
      </w:tr>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5984,0</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6300,0</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6600,0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7100,0</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7800,0</w:t>
            </w:r>
          </w:p>
        </w:tc>
      </w:tr>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r>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Сальдо экспорта и импорта товаров</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-3 971,9</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-4 100,0</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-4 200,0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-4 400,0</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-4 900,0</w:t>
            </w:r>
          </w:p>
        </w:tc>
      </w:tr>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r>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Внешнеторговый оборот</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7996,1</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8500,0</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9000,0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9800,0</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10700,0</w:t>
            </w:r>
          </w:p>
        </w:tc>
      </w:tr>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118,9</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13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основных видов продукции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1"/>
        <w:gridCol w:w="1327"/>
        <w:gridCol w:w="1079"/>
        <w:gridCol w:w="926"/>
        <w:gridCol w:w="794"/>
        <w:gridCol w:w="831"/>
        <w:gridCol w:w="961"/>
      </w:tblGrid>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2012,1</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2400,0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2700,0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2900,0</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Золото</w:t>
            </w:r>
            <w:hyperlink w:history="1" r:id="rIdtzqenaptorahmwzvcfmeg">
              <w:r>
                <w:rPr>
                  <w:rFonts w:ascii="Arial" w:cs="Arial" w:eastAsia="Arial" w:hAnsi="Arial"/>
                  <w:color w:val="1D4ED8"/>
                  <w:sz w:val="24"/>
                  <w:szCs w:val="24"/>
                  <w:u w:val="single"/>
                </w:rPr>
                <w:t xml:space="preserve">*</w:t>
              </w:r>
            </w:hyperlink>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736,8</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783,2</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806,0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952,9</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1011,5</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118,2</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Сурьма и изделия из нее*</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171,7</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Лампы накаливания</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91,6</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145,8</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Стекло листовое</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Цемент</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178,6</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Предметы одежды и одежные принадлежности</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160,0</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66,8</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Электроэнергия</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36,3</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Овощи и фрукты</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190,0</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255,0</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117,3</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Хлопок-волокно</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58,7</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115,9</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14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импорта основных товаров в Кыргызскую Республику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9"/>
        <w:gridCol w:w="1549"/>
        <w:gridCol w:w="1341"/>
        <w:gridCol w:w="1239"/>
        <w:gridCol w:w="1136"/>
        <w:gridCol w:w="1032"/>
        <w:gridCol w:w="1032"/>
      </w:tblGrid>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товаров всего</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5984,0</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6300,0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6600,0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7100,0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7800,0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Нефтепродукты</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1161,0</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1302,5</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1428,5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1554,5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1680,6</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Бензин</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546,2</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626,0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686,6</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747,2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807,8</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Авиакеросин</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126,4</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137,4</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Дизтопливо</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429,9</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463,1</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507,9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597,6</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441,7</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125,9</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95,3</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88,9</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77,1</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128,7</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407,1</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462,4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510,6</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Электрические машины, оборудование и аппаратуры</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289,6</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302,7</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390,5</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наземного транспорта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733,3</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827,1</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894,1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Черные металлы и изделий из них</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453,7</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468,3</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604,3</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138,7</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Пластмассы и изделий из них</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177,9</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184,3</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202,1</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237,8</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134,5</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Каучук, резина и изделий из нее</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93,1</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Удобрения</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61,8</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64,9</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68,1</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113,0</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Лесоматериалы</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151,6</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173,2</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256,6</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Бумага, картон и изделий из них</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81,7</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84,1</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118,4</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Фармацевтическая продукция</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192,6</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223,3</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241,5</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114,8</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Продовольственные товары (включая сельхозсырье)</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848,1</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857,0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924,8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Алкогольная продукция</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40,3</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97,8</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Вино</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115,9</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90,4</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91,1</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96,5</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Табачные изделия</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69,2</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Пшеница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89,8</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79,2</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88,2</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15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регионов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0179"/>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региональный продукт,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350028,4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388813,7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442808,1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506329,9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580037,7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14745,0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20600,6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22852,1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25146,9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37841,5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40968,5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50765,1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53847,2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57218,9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43020,4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47313,8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52957,7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59025,4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66308,9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12906,8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14016,4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16298,1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18261,3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27576,9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30167,1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34597,4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38942,7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43527,2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12042,6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13988,2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16348,9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18156,0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20440,5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43518,0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45926,1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49925,5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64853,1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77651,1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144253,7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161638,2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180900,4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206443,1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241858,7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16010,7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19596,9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22696,1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25912,2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29624,2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продукции промышленности</w:t>
            </w:r>
            <w:hyperlink w:history="1" r:id="rIdxw2cqrjczp-oa7anh_rv4">
              <w:r>
                <w:rPr>
                  <w:rFonts w:ascii="Arial" w:cs="Arial" w:eastAsia="Arial" w:hAnsi="Arial"/>
                  <w:color w:val="1D4ED8"/>
                  <w:sz w:val="24"/>
                  <w:szCs w:val="24"/>
                  <w:u w:val="single"/>
                </w:rPr>
                <w:t xml:space="preserve">[24]</w:t>
              </w:r>
            </w:hyperlink>
            <w:r>
              <w:rPr>
                <w:rFonts w:ascii="Arial" w:cs="Arial" w:eastAsia="Arial" w:hAnsi="Arial"/>
                <w:sz w:val="24"/>
                <w:szCs w:val="24"/>
              </w:rPr>
              <w:t xml:space="preserve">,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165131,7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168102,2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183001,8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36512,7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70409,0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110483,1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200175,0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217402,9</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5479,2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5577,8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6072,2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5077,6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6642,0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7213,6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18631,7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18972,0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20653,6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3660,4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6553,8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22591,8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24536,1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32831,8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33417,3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36379,3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8035,3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14380,1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22197,2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39793,2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43217,9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1659,8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1971,9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4379,3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4756,2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1394,4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59064,8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59997,3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65315,1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13651,8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27168,3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42020,1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71444,4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77593,2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40823,4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44441,7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7853,0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15733,1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24623,9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48612,2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52796,0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3923,5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промышленности</w:t>
            </w:r>
            <w:hyperlink w:history="1" r:id="rIdfmxu1irrx9hhbf2sm67uc">
              <w:r>
                <w:rPr>
                  <w:rFonts w:ascii="Arial" w:cs="Arial" w:eastAsia="Arial" w:hAnsi="Arial"/>
                  <w:color w:val="1D4ED8"/>
                  <w:sz w:val="24"/>
                  <w:szCs w:val="24"/>
                  <w:u w:val="single"/>
                </w:rPr>
                <w:t xml:space="preserve">[25]</w:t>
              </w:r>
            </w:hyperlink>
            <w:r>
              <w:rPr>
                <w:rFonts w:ascii="Arial" w:cs="Arial" w:eastAsia="Arial" w:hAnsi="Arial"/>
                <w:sz w:val="24"/>
                <w:szCs w:val="24"/>
              </w:rPr>
              <w:t xml:space="preserve">,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166876,8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172856,1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193209,2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215530,1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236589,0</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6762,3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7328,0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8044,0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17528,4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18156,4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20287,0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22846,2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25078,4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39408,5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40820,5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45597,4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51296,2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56308,2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2365,9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5173,8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5359,2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6897,0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7570,8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2602,5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62126,9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64352,9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72839,9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80823,8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88720,9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30747,3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31849,0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34970,9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38364,4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42112,8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3448,5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3785,4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сельского хозяйства, лесного хозяйства и рыболовства,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171973,8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188084,3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206667,0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23245,6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56604,9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166005,7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224557,4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244940,4</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14275,8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15613,2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17155,7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4552,7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16491,1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18640,8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20332,9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31770,2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34746,4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38179,4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3666,6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33216,8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41484,4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45250,0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21875,5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24036,8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2976,5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6465,5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17465,1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26117,5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28488,2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12477,0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13645,8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14994,1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2942,0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5495,2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11631,8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16292,0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17770,9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32380,0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35413,4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38912,2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11742,6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29471,8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42280,7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46118,5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18378,1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20099,8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22085,6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3574,3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16942,9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23997,5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26175,7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41673,8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45577,8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50080,9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5877,6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13532,1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39702,5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54416,2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59355,5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485,1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Объем оказанных рыночных услуг, млн сомов</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443005,5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500621,2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567595,5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90722,2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212692,2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367974,3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648247,4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740124,5</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12348,1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13167,1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14828,7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5651,1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16935,7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19336,1</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40584,1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53093,8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5867,9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17141,5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31030,9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60638,1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69232,5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19394,0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21936,9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24471,6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6800,0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27948,9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31910,1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6760,2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7496,6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8399,5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4489,9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10852,6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28132,3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31920,9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35291,3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6809,0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15467,3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25365,6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40306,0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46018,7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12859,5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7925,9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14686,7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16468,3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56219,3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64240,5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12574,4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27253,6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44226,4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73368,7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83767,4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241216,8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271874,8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309646,8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49116,2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114776,8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196719,2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353645,7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404168,6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34286,3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39481,8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44763,7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8746,5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18794,0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29839,2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51124,4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58370,4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325287,8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370925,7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421334,9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66530,0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156135,4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270600,5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482244,5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550540,9</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8015,2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4587,3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7512,6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11896,5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35053,7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32841,1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14500,4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26217,7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42397,1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48401,4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12880,7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15544,8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17457,4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12440,7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19681,1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22168,3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5296,2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6290,3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8078,1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9072,2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24894,9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26329,3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29057,5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5999,7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13671,8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22274,8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32458,1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36254,9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8607,9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12090,3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6694,3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13638,1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15369,5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48012,6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54737,6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11591,6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23838,1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37886,3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62950,6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72115,8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157972,6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194431,3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221804,8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30861,8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73684,9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128615,0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254969,6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292178,9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28343,4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28729,2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32633,5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7551,8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16170,3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25646,1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37651,1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43083,4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выпуск сферы услуг,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297091,5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332434,7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377340,0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431240,6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494435,5</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9068,3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9547,1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12427,5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14248,7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24843,2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28398,7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32034,8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36910,7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42719,7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16864,6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18870,9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21120,0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23736,8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26815,3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7971,6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8719,9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12400,7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20701,6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22664,4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25125,9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28265,0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31807,0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6776,7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7682,8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8720,6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10997,5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28407,1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31786,5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36380,2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41576,9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47769,6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159514,2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179090,6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204282,2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234262,6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269692,0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22944,3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25673,8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29141,8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37985,1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выпуск оптовой и розничной торговли; ремонта автомобилей и мотоциклов,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97427,4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111084,2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127974,6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147158,4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168784,1</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4041,6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4656,2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5354,2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6141,0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13867,5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15946,2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18289,6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5938,0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6840,9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7866,4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9022,4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3021,8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3445,4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5235,0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10163,1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11587,7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13349,6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15350,8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17606,7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2660,1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4018,0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4608,5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13777,1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15708,3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18096,8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20809,6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23867,7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41467,8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47280,5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54469,6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62634,7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71839,2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7027,2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8012,3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9230,6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12174,1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инвестиций в основной капитал,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78202,6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99645,8</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131391,5</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18 978,4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43 746,0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84 053,0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169940,7</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220336,5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3297,5</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4114,4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5525,1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345,1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810,4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6110,3</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7240,7</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9388,0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8977,6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11701,5</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15229,4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989,6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3678,4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6857,8</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19582,6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25389,9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21201,2</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26953,2</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35640,2</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4958,8</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14553,1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26604,6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46161,6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59850,8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2988,7</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3829,1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5149,0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325,7</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992,1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2665,0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6754,6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8757,6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4453,5</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5756,7</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7740,7</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537,0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1532,4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3221,6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9904,2</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12841,2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915,6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1342,4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1620,1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466,9</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1046,2</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2193,8</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2844,4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15085,6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19093,4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25176,2</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5433,8</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7279,9</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14382,1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32338,0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41927,8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19647,4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24714,5</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32588,2</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5846,7</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13593,0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21685,1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42117,3</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54607,1</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1635,4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2140,6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2822,5</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311,8</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839,9</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1481,3</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3647,9</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4729,6</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строительства,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70728,4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89754,3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115071,0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16985,9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40863,3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77590,1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148397,4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191295,5</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120,7</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3367,8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5479,2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5739,5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7066,1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9108,7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7890,5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12837,3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981,4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6679,1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16555,2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21341,0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12521,0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15889,1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20370,9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4017,2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19056,5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26270,7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33864,9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3628,9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4652,5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5999,9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7734,3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6330,6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8116,3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3793,7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13492,6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2497,4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14144,7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17949,6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23012,6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4246,9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6514,7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13217,2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29677,4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38256,4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21593,1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27401,6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35130,6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5887,3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13946,5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58401,6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2439,7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6598,6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120,9</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Численность официально зарегистрированных безработных, тыс. чел.</w:t>
            </w:r>
            <w:hyperlink w:history="1" r:id="rIdirgvqysxu8tv0cpvra666">
              <w:r>
                <w:rPr>
                  <w:rFonts w:ascii="Arial" w:cs="Arial" w:eastAsia="Arial" w:hAnsi="Arial"/>
                  <w:color w:val="1D4ED8"/>
                  <w:sz w:val="24"/>
                  <w:szCs w:val="24"/>
                  <w:u w:val="single"/>
                </w:rPr>
                <w:t xml:space="preserve">[26]</w:t>
              </w:r>
            </w:hyperlink>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Уровень общей безработицы, %</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Среднемесячная оплата труда</w:t>
            </w:r>
            <w:hyperlink w:history="1" r:id="rIduezdyxaqrtbh_7vvs2ya5">
              <w:r>
                <w:rPr>
                  <w:rFonts w:ascii="Arial" w:cs="Arial" w:eastAsia="Arial" w:hAnsi="Arial"/>
                  <w:color w:val="1D4ED8"/>
                  <w:sz w:val="24"/>
                  <w:szCs w:val="24"/>
                  <w:u w:val="single"/>
                </w:rPr>
                <w:t xml:space="preserve">[27]</w:t>
              </w:r>
            </w:hyperlink>
            <w:r>
              <w:rPr>
                <w:rFonts w:ascii="Arial" w:cs="Arial" w:eastAsia="Arial" w:hAnsi="Arial"/>
                <w:sz w:val="24"/>
                <w:szCs w:val="24"/>
              </w:rPr>
              <w:t xml:space="preserve">,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12250,0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13350,0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12920,0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13200,0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14720,0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16320,0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8593,0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9163,0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8656,2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9157,4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9125,1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12240,0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12207,7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12968,3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14606,4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15507,0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16949,9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18721,9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8798,1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20743,2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23247,9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14988,0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7747,0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8170,8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9078,0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7693,6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8246,5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8142,4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11097,6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8829,0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9515,0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8796,3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9163,5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9068,2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11392,8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12240,0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9313,0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13450,8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15414,4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13875,0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15893,5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18222,8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15773,4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17606,7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18349,8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20689,8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23798,0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9417,0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15151,2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Прожиточный минимум,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4948,7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5145,4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6429,2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4380,7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4683,0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5038,7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5533,9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4583,2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6004,0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5345,7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4897,7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5225,3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4714,4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6415,9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4719,9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4373,7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4822,6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5630,8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4976,3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4580,8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6062,0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4632,7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5399,6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5161,3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5571,3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5047,8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5881,1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6512,4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4476,2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4773,9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4633,3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5211,5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4325,9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5630,8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4735,8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4730,9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5238,1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4499,3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6107,0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4691,0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5032,1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5421,2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5267,1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5869,4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6473,8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hyperlink w:history="1" r:id="rIdpog9bdwzteezrzhk6x3lc">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r>
        <w:rPr>
          <w:rFonts w:ascii="Arial" w:cs="Arial" w:eastAsia="Arial" w:hAnsi="Arial"/>
          <w:sz w:val="18"/>
          <w:szCs w:val="18"/>
        </w:rPr>
        <w:t xml:space="preserve">Темпы прироста приведены по ВДС</w:t>
      </w:r>
    </w:p>
    <w:p>
      <w:pPr>
        <w:spacing w:after="120"/>
        <w:jc w:val="both"/>
      </w:pPr>
      <w:hyperlink w:history="1" r:id="rIdzepxg0ygs9pukagnlqaz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r>
        <w:rPr>
          <w:rFonts w:ascii="Arial" w:cs="Arial" w:eastAsia="Arial" w:hAnsi="Arial"/>
          <w:sz w:val="18"/>
          <w:szCs w:val="18"/>
        </w:rPr>
        <w:t xml:space="preserve">Отчетные данные за 2013 год будут представлены НСК к концу второго квартала 2014 г.</w:t>
      </w:r>
    </w:p>
    <w:p>
      <w:pPr>
        <w:spacing w:after="120"/>
        <w:jc w:val="both"/>
      </w:pPr>
      <w:hyperlink w:history="1" r:id="rIdorbf9_zenrlwhtjwkm9i4">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r>
        <w:rPr>
          <w:rFonts w:ascii="Arial" w:cs="Arial" w:eastAsia="Arial" w:hAnsi="Arial"/>
          <w:sz w:val="18"/>
          <w:szCs w:val="18"/>
        </w:rPr>
        <w:t xml:space="preserve">Согласно рекомендациям Счетной палаты Кыргызской Республики по итогам аудита отчета об исполнении республиканского бюджета за 2012 год, Министерством финансов были произведены изменения в учете ПГИ в части рекредитованных средств, которые с сентября 2013 года начали учитываться как финансовые активы и, соответственно, отражаться  в источниках покрытия дефицита бюджета. В соответствии с измененной методологией, по итогам 2013 года доходы и расходы государственного бюджета (включая продажу-покупку нефинансовых активов) были сбалансированы. В результате дефицит государственного бюджета сложился в размере 0,7 % к ВВП, против 6,5 % в 2012 году.</w:t>
      </w:r>
    </w:p>
    <w:p>
      <w:pPr>
        <w:spacing w:after="120"/>
        <w:jc w:val="both"/>
      </w:pPr>
      <w:hyperlink w:history="1" r:id="rIdtgguqvkat45pumouhsj49">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r>
        <w:rPr>
          <w:rFonts w:ascii="Arial" w:cs="Arial" w:eastAsia="Arial" w:hAnsi="Arial"/>
          <w:sz w:val="18"/>
          <w:szCs w:val="18"/>
        </w:rPr>
        <w:t xml:space="preserve">По данным аналитического баланса банковской системы включают в себя только кредиты физических и юридических лиц и других финансово-кредитных учреждений, при этом исключаются кредит Правительству и нерезидентам.</w:t>
      </w:r>
    </w:p>
    <w:p>
      <w:pPr>
        <w:spacing w:after="120"/>
        <w:jc w:val="both"/>
      </w:pPr>
      <w:hyperlink w:history="1" r:id="rIdvxy0lci-clx7xmzkdvsvb">
        <w:r>
          <w:rPr>
            <w:rFonts w:ascii="Arial" w:cs="Arial" w:eastAsia="Arial" w:hAnsi="Arial"/>
            <w:color w:val="1D4ED8"/>
            <w:sz w:val="24"/>
            <w:szCs w:val="24"/>
            <w:u w:val="single"/>
          </w:rPr>
          <w:t xml:space="preserve">[5]</w:t>
        </w:r>
      </w:hyperlink>
      <w:r>
        <w:rPr>
          <w:rFonts w:ascii="Arial" w:cs="Arial" w:eastAsia="Arial" w:hAnsi="Arial"/>
          <w:sz w:val="18"/>
          <w:szCs w:val="18"/>
        </w:rPr>
        <w:t xml:space="preserve">Темпы прироста приведены по ВДС</w:t>
      </w:r>
    </w:p>
    <w:p>
      <w:pPr>
        <w:spacing w:after="120"/>
        <w:jc w:val="both"/>
      </w:pPr>
      <w:hyperlink w:history="1" r:id="rIdisumczcqnpr8sugzhdku9">
        <w:r>
          <w:rPr>
            <w:rFonts w:ascii="Arial" w:cs="Arial" w:eastAsia="Arial" w:hAnsi="Arial"/>
            <w:color w:val="1D4ED8"/>
            <w:sz w:val="16"/>
            <w:szCs w:val="16"/>
            <w:u w:val="single"/>
          </w:rPr>
          <w:t xml:space="preserve">[6]</w:t>
        </w:r>
      </w:hyperlink>
      <w:r>
        <w:rPr>
          <w:rFonts w:ascii="Arial" w:cs="Arial" w:eastAsia="Arial" w:hAnsi="Arial"/>
          <w:sz w:val="18"/>
          <w:szCs w:val="18"/>
        </w:rPr>
        <w:t xml:space="preserve">Без учета кредитов, предоставленных банкам и другим финансово-кредитным учреждениям</w:t>
      </w:r>
    </w:p>
    <w:p>
      <w:pPr>
        <w:spacing w:after="120"/>
        <w:jc w:val="both"/>
      </w:pPr>
      <w:hyperlink w:history="1" r:id="rIdgjrkmkgaep08jcc3runml">
        <w:r>
          <w:rPr>
            <w:rFonts w:ascii="Arial" w:cs="Arial" w:eastAsia="Arial" w:hAnsi="Arial"/>
            <w:color w:val="1D4ED8"/>
            <w:sz w:val="16"/>
            <w:szCs w:val="16"/>
            <w:u w:val="single"/>
          </w:rPr>
          <w:t xml:space="preserve">[7]</w:t>
        </w:r>
      </w:hyperlink>
      <w:r>
        <w:rPr>
          <w:rFonts w:ascii="Arial" w:cs="Arial" w:eastAsia="Arial" w:hAnsi="Arial"/>
          <w:sz w:val="18"/>
          <w:szCs w:val="18"/>
        </w:rPr>
        <w:t xml:space="preserve">По данным аналитического баланса банковской системы включают в себя только кредиты физических и юридических лиц и других финансово-кредитных учреждений, при этом исключаются кредит Правительству и нерезидентам.</w:t>
      </w:r>
    </w:p>
    <w:p>
      <w:pPr>
        <w:spacing w:after="120"/>
        <w:jc w:val="both"/>
      </w:pPr>
      <w:hyperlink w:history="1" r:id="rId9yywefvjupg8ybxd84mi3">
        <w:r>
          <w:rPr>
            <w:rFonts w:ascii="Arial" w:cs="Arial" w:eastAsia="Arial" w:hAnsi="Arial"/>
            <w:color w:val="1D4ED8"/>
            <w:sz w:val="24"/>
            <w:szCs w:val="24"/>
            <w:u w:val="single"/>
          </w:rPr>
          <w:t xml:space="preserve">[8]</w:t>
        </w:r>
      </w:hyperlink>
      <w:r>
        <w:rPr>
          <w:rFonts w:ascii="Arial" w:cs="Arial" w:eastAsia="Arial" w:hAnsi="Arial"/>
          <w:sz w:val="18"/>
          <w:szCs w:val="18"/>
        </w:rPr>
        <w:t xml:space="preserve">Темпы прироста приведены по ВДС</w:t>
      </w:r>
    </w:p>
    <w:p>
      <w:pPr>
        <w:spacing w:after="120"/>
        <w:jc w:val="both"/>
      </w:pPr>
      <w:hyperlink w:history="1" r:id="rIdbbmqvpm8zvz5fpfk9ifrs">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r>
        <w:rPr>
          <w:rFonts w:ascii="Arial" w:cs="Arial" w:eastAsia="Arial" w:hAnsi="Arial"/>
          <w:sz w:val="24"/>
          <w:szCs w:val="24"/>
        </w:rPr>
        <w:t xml:space="preserve">Темпы прироста приведены по ВДС</w:t>
      </w:r>
    </w:p>
    <w:p>
      <w:pPr>
        <w:spacing w:after="120"/>
        <w:jc w:val="both"/>
      </w:pPr>
      <w:hyperlink w:history="1" r:id="rIdbj1-l5skfhxdwfxaxbvy2">
        <w:r>
          <w:rPr>
            <w:rFonts w:ascii="Arial" w:cs="Arial" w:eastAsia="Arial" w:hAnsi="Arial"/>
            <w:color w:val="1D4ED8"/>
            <w:sz w:val="24"/>
            <w:szCs w:val="24"/>
            <w:u w:val="single"/>
          </w:rPr>
          <w:t xml:space="preserve">[10]</w:t>
        </w:r>
      </w:hyperlink>
      <w:r>
        <w:rPr>
          <w:rFonts w:ascii="Arial" w:cs="Arial" w:eastAsia="Arial" w:hAnsi="Arial"/>
          <w:sz w:val="24"/>
          <w:szCs w:val="24"/>
        </w:rPr>
        <w:t xml:space="preserve"> Без учета стоимости переработанного давальческого сырья</w:t>
      </w:r>
    </w:p>
    <w:p>
      <w:pPr>
        <w:spacing w:after="120"/>
        <w:jc w:val="both"/>
      </w:pPr>
      <w:hyperlink w:history="1" r:id="rIdttmzihuxf-pcffjx_scsk">
        <w:r>
          <w:rPr>
            <w:rFonts w:ascii="Arial" w:cs="Arial" w:eastAsia="Arial" w:hAnsi="Arial"/>
            <w:color w:val="1D4ED8"/>
            <w:sz w:val="18"/>
            <w:szCs w:val="18"/>
            <w:u w:val="single"/>
          </w:rPr>
          <w:t xml:space="preserve">[11]</w:t>
        </w:r>
      </w:hyperlink>
      <w:r>
        <w:rPr>
          <w:rFonts w:ascii="Arial" w:cs="Arial" w:eastAsia="Arial" w:hAnsi="Arial"/>
          <w:sz w:val="18"/>
          <w:szCs w:val="18"/>
        </w:rPr>
        <w:t xml:space="preserve"> Без учета стоимости переработанного давальческого сырья</w:t>
      </w:r>
    </w:p>
    <w:p>
      <w:pPr>
        <w:spacing w:after="120"/>
        <w:jc w:val="both"/>
      </w:pPr>
      <w:hyperlink w:history="1" r:id="rIdwhu14cvhviffqgb2n9uq6">
        <w:r>
          <w:rPr>
            <w:rFonts w:ascii="Arial" w:cs="Arial" w:eastAsia="Arial" w:hAnsi="Arial"/>
            <w:color w:val="1D4ED8"/>
            <w:sz w:val="24"/>
            <w:szCs w:val="24"/>
            <w:u w:val="single"/>
          </w:rPr>
          <w:t xml:space="preserve">[12]</w:t>
        </w:r>
      </w:hyperlink>
      <w:r>
        <w:rPr>
          <w:rFonts w:ascii="Arial" w:cs="Arial" w:eastAsia="Arial" w:hAnsi="Arial"/>
          <w:sz w:val="24"/>
          <w:szCs w:val="24"/>
        </w:rPr>
        <w:t xml:space="preserve"> Расчеты Министерства экономики КР</w:t>
      </w:r>
    </w:p>
    <w:p>
      <w:pPr>
        <w:spacing w:after="120"/>
        <w:jc w:val="both"/>
      </w:pPr>
      <w:hyperlink w:history="1" r:id="rIdnw0pzdu9mrqqcx5xd-7wb">
        <w:r>
          <w:rPr>
            <w:rFonts w:ascii="Arial" w:cs="Arial" w:eastAsia="Arial" w:hAnsi="Arial"/>
            <w:color w:val="1D4ED8"/>
            <w:sz w:val="24"/>
            <w:szCs w:val="24"/>
            <w:u w:val="single"/>
          </w:rPr>
          <w:t xml:space="preserve">[13]</w:t>
        </w:r>
      </w:hyperlink>
      <w:r>
        <w:rPr>
          <w:rFonts w:ascii="Arial" w:cs="Arial" w:eastAsia="Arial" w:hAnsi="Arial"/>
          <w:sz w:val="24"/>
          <w:szCs w:val="24"/>
        </w:rPr>
        <w:t xml:space="preserve"> По методике МВФ</w:t>
      </w:r>
    </w:p>
    <w:p>
      <w:pPr>
        <w:spacing w:after="120"/>
        <w:jc w:val="both"/>
      </w:pPr>
      <w:hyperlink w:history="1" r:id="rIdvwwsgs55d7np4frof7s7o">
        <w:r>
          <w:rPr>
            <w:rFonts w:ascii="Arial" w:cs="Arial" w:eastAsia="Arial" w:hAnsi="Arial"/>
            <w:color w:val="1D4ED8"/>
            <w:sz w:val="24"/>
            <w:szCs w:val="24"/>
            <w:u w:val="single"/>
          </w:rPr>
          <w:t xml:space="preserve">[14]</w:t>
        </w:r>
      </w:hyperlink>
      <w:r>
        <w:rPr>
          <w:rFonts w:ascii="Arial" w:cs="Arial" w:eastAsia="Arial" w:hAnsi="Arial"/>
          <w:sz w:val="24"/>
          <w:szCs w:val="24"/>
        </w:rPr>
        <w:t xml:space="preserve"> Квартальные данные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w:t>
      </w:r>
    </w:p>
    <w:p>
      <w:pPr>
        <w:spacing w:after="120"/>
        <w:jc w:val="both"/>
      </w:pPr>
      <w:hyperlink w:history="1" r:id="rId98ftislkvghtadn-2kvfd">
        <w:r>
          <w:rPr>
            <w:rFonts w:ascii="Arial" w:cs="Arial" w:eastAsia="Arial" w:hAnsi="Arial"/>
            <w:color w:val="1D4ED8"/>
            <w:sz w:val="24"/>
            <w:szCs w:val="24"/>
            <w:u w:val="single"/>
          </w:rPr>
          <w:t xml:space="preserve">[15]</w:t>
        </w:r>
      </w:hyperlink>
      <w:r>
        <w:rPr>
          <w:rFonts w:ascii="Arial" w:cs="Arial" w:eastAsia="Arial" w:hAnsi="Arial"/>
          <w:sz w:val="24"/>
          <w:szCs w:val="24"/>
        </w:rPr>
        <w:t xml:space="preserve"> Квартальные данные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w:t>
      </w:r>
    </w:p>
    <w:p>
      <w:pPr>
        <w:spacing w:after="120"/>
        <w:jc w:val="both"/>
      </w:pPr>
      <w:hyperlink w:history="1" r:id="rId6ence6fjriz3otvypww1m">
        <w:r>
          <w:rPr>
            <w:rFonts w:ascii="Arial" w:cs="Arial" w:eastAsia="Arial" w:hAnsi="Arial"/>
            <w:color w:val="1D4ED8"/>
            <w:sz w:val="24"/>
            <w:szCs w:val="24"/>
            <w:u w:val="single"/>
          </w:rPr>
          <w:t xml:space="preserve">[16]</w:t>
        </w:r>
      </w:hyperlink>
      <w:r>
        <w:rPr>
          <w:rFonts w:ascii="Arial" w:cs="Arial" w:eastAsia="Arial" w:hAnsi="Arial"/>
          <w:sz w:val="24"/>
          <w:szCs w:val="24"/>
        </w:rPr>
        <w:t xml:space="preserve"> Квартальные данные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w:t>
      </w:r>
    </w:p>
    <w:p>
      <w:pPr>
        <w:spacing w:after="120"/>
        <w:jc w:val="both"/>
      </w:pPr>
      <w:hyperlink w:history="1" r:id="rIdwqpyj2vm97utjrreivk7o">
        <w:r>
          <w:rPr>
            <w:rFonts w:ascii="Arial" w:cs="Arial" w:eastAsia="Arial" w:hAnsi="Arial"/>
            <w:color w:val="1D4ED8"/>
            <w:sz w:val="18"/>
            <w:szCs w:val="18"/>
            <w:u w:val="single"/>
          </w:rPr>
          <w:t xml:space="preserve">[17]</w:t>
        </w:r>
      </w:hyperlink>
      <w:r>
        <w:rPr>
          <w:rFonts w:ascii="Arial" w:cs="Arial" w:eastAsia="Arial" w:hAnsi="Arial"/>
          <w:sz w:val="24"/>
          <w:szCs w:val="24"/>
        </w:rPr>
        <w:t xml:space="preserve">По данным Социального фонда </w:t>
      </w:r>
      <w:r>
        <w:rPr>
          <w:rFonts w:ascii="Arial" w:cs="Arial" w:eastAsia="Arial" w:hAnsi="Arial"/>
          <w:sz w:val="24"/>
          <w:szCs w:val="24"/>
        </w:rPr>
        <w:t xml:space="preserve">Кыргызской Республики</w:t>
      </w:r>
    </w:p>
    <w:p>
      <w:pPr>
        <w:spacing w:after="120"/>
        <w:jc w:val="both"/>
      </w:pPr>
      <w:hyperlink w:history="1" r:id="rIdlrgxlq_etarxp9gd05ptq">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r>
        <w:rPr>
          <w:rFonts w:ascii="Arial" w:cs="Arial" w:eastAsia="Arial" w:hAnsi="Arial"/>
          <w:sz w:val="24"/>
          <w:szCs w:val="24"/>
        </w:rPr>
        <w:t xml:space="preserve">Квартальные данные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w:t>
      </w:r>
    </w:p>
    <w:p>
      <w:pPr>
        <w:spacing w:after="120"/>
        <w:jc w:val="both"/>
      </w:pPr>
      <w:hyperlink w:history="1" r:id="rIdihk71_1jjauqhvldkvh8b">
        <w:r>
          <w:rPr>
            <w:rFonts w:ascii="Arial" w:cs="Arial" w:eastAsia="Arial" w:hAnsi="Arial"/>
            <w:color w:val="1D4ED8"/>
            <w:sz w:val="24"/>
            <w:szCs w:val="24"/>
            <w:u w:val="single"/>
          </w:rPr>
          <w:t xml:space="preserve">[19]</w:t>
        </w:r>
      </w:hyperlink>
      <w:r>
        <w:rPr>
          <w:rFonts w:ascii="Arial" w:cs="Arial" w:eastAsia="Arial" w:hAnsi="Arial"/>
          <w:sz w:val="24"/>
          <w:szCs w:val="24"/>
        </w:rPr>
        <w:t xml:space="preserve"> Расчеты Министерства экономики КР</w:t>
      </w:r>
    </w:p>
    <w:p>
      <w:pPr>
        <w:spacing w:after="120"/>
        <w:jc w:val="both"/>
      </w:pPr>
      <w:hyperlink w:history="1" r:id="rIdbyeddj1nazfxtugajfpxo">
        <w:r>
          <w:rPr>
            <w:rFonts w:ascii="Arial" w:cs="Arial" w:eastAsia="Arial" w:hAnsi="Arial"/>
            <w:color w:val="1D4ED8"/>
            <w:sz w:val="16"/>
            <w:szCs w:val="16"/>
            <w:u w:val="single"/>
          </w:rPr>
          <w:t xml:space="preserve">[20]</w:t>
        </w:r>
      </w:hyperlink>
      <w:r>
        <w:rPr>
          <w:rFonts w:ascii="Arial" w:cs="Arial" w:eastAsia="Arial" w:hAnsi="Arial"/>
          <w:sz w:val="24"/>
          <w:szCs w:val="24"/>
        </w:rPr>
        <w:t xml:space="preserve">С учетом стоимости переработки давальческого сырья, без учета покупной электроэнергии</w:t>
      </w:r>
    </w:p>
    <w:p>
      <w:pPr>
        <w:spacing w:after="120"/>
        <w:jc w:val="both"/>
      </w:pPr>
      <w:hyperlink w:history="1" r:id="rIdv4huboxomvk1xjquqekjb">
        <w:r>
          <w:rPr>
            <w:rFonts w:ascii="Arial" w:cs="Arial" w:eastAsia="Arial" w:hAnsi="Arial"/>
            <w:color w:val="1D4ED8"/>
            <w:sz w:val="24"/>
            <w:szCs w:val="24"/>
            <w:u w:val="single"/>
          </w:rPr>
          <w:t xml:space="preserve">[21]</w:t>
        </w:r>
      </w:hyperlink>
      <w:r>
        <w:rPr>
          <w:rFonts w:ascii="Arial" w:cs="Arial" w:eastAsia="Arial" w:hAnsi="Arial"/>
          <w:sz w:val="24"/>
          <w:szCs w:val="24"/>
        </w:rPr>
        <w:t xml:space="preserve"> Без учета стоимости переработки давальческого сырья, но с учетом покупной электроэнергии</w:t>
      </w:r>
    </w:p>
    <w:p>
      <w:pPr>
        <w:spacing w:after="120"/>
        <w:jc w:val="both"/>
      </w:pPr>
      <w:hyperlink w:history="1" r:id="rId5d-ltuzpygiwfgnscqcz2">
        <w:r>
          <w:rPr>
            <w:rFonts w:ascii="Arial" w:cs="Arial" w:eastAsia="Arial" w:hAnsi="Arial"/>
            <w:color w:val="1D4ED8"/>
            <w:sz w:val="24"/>
            <w:szCs w:val="24"/>
            <w:u w:val="single"/>
          </w:rPr>
          <w:t xml:space="preserve">[22]</w:t>
        </w:r>
      </w:hyperlink>
      <w:r>
        <w:rPr>
          <w:rFonts w:ascii="Arial" w:cs="Arial" w:eastAsia="Arial" w:hAnsi="Arial"/>
          <w:sz w:val="24"/>
          <w:szCs w:val="24"/>
        </w:rPr>
        <w:t xml:space="preserve"> С учетом вычета коммунальных услуг</w:t>
      </w:r>
    </w:p>
    <w:p>
      <w:pPr>
        <w:spacing w:after="120"/>
        <w:jc w:val="both"/>
      </w:pPr>
      <w:hyperlink w:history="1" r:id="rIdmbxp-_9pt7xevxwam5c-g">
        <w:r>
          <w:rPr>
            <w:rFonts w:ascii="Arial" w:cs="Arial" w:eastAsia="Arial" w:hAnsi="Arial"/>
            <w:color w:val="1D4ED8"/>
            <w:sz w:val="24"/>
            <w:szCs w:val="24"/>
            <w:u w:val="single"/>
          </w:rPr>
          <w:t xml:space="preserve">[23]</w:t>
        </w:r>
      </w:hyperlink>
      <w:r>
        <w:rPr>
          <w:rFonts w:ascii="Arial" w:cs="Arial" w:eastAsia="Arial" w:hAnsi="Arial"/>
          <w:sz w:val="24"/>
          <w:szCs w:val="24"/>
        </w:rPr>
        <w:t xml:space="preserve"> </w:t>
      </w:r>
      <w:r>
        <w:rPr>
          <w:rFonts w:ascii="Arial" w:cs="Arial" w:eastAsia="Arial" w:hAnsi="Arial"/>
          <w:sz w:val="24"/>
          <w:szCs w:val="24"/>
        </w:rPr>
        <w:t xml:space="preserve">В связи с тем, что данный вид производства относится к ДСП, предоставляется через соответствующий отдел</w:t>
      </w:r>
    </w:p>
    <w:p>
      <w:pPr>
        <w:spacing w:after="120"/>
        <w:jc w:val="both"/>
      </w:pPr>
      <w:hyperlink w:history="1" r:id="rIdn2dx3jbvmzhnq1yvwmmtz">
        <w:r>
          <w:rPr>
            <w:rFonts w:ascii="Arial" w:cs="Arial" w:eastAsia="Arial" w:hAnsi="Arial"/>
            <w:color w:val="1D4ED8"/>
            <w:sz w:val="24"/>
            <w:szCs w:val="24"/>
            <w:u w:val="single"/>
          </w:rPr>
          <w:t xml:space="preserve">*</w:t>
        </w:r>
      </w:hyperlink>
      <w:r>
        <w:rPr>
          <w:rFonts w:ascii="Arial" w:cs="Arial" w:eastAsia="Arial" w:hAnsi="Arial"/>
          <w:sz w:val="24"/>
          <w:szCs w:val="24"/>
        </w:rPr>
        <w:t xml:space="preserve">В связи с тем, что данный вид производства относится к ДСП, представляется через соответствующий отдел</w:t>
      </w:r>
    </w:p>
    <w:p>
      <w:pPr>
        <w:spacing w:after="120"/>
        <w:jc w:val="both"/>
      </w:pPr>
      <w:hyperlink w:history="1" r:id="rIdyctqu3h8p_4gd7roqa_zv">
        <w:r>
          <w:rPr>
            <w:rFonts w:ascii="Arial" w:cs="Arial" w:eastAsia="Arial" w:hAnsi="Arial"/>
            <w:color w:val="1D4ED8"/>
            <w:sz w:val="24"/>
            <w:szCs w:val="24"/>
            <w:u w:val="single"/>
          </w:rPr>
          <w:t xml:space="preserve">[24]</w:t>
        </w:r>
      </w:hyperlink>
      <w:r>
        <w:rPr>
          <w:rFonts w:ascii="Arial" w:cs="Arial" w:eastAsia="Arial" w:hAnsi="Arial"/>
          <w:sz w:val="24"/>
          <w:szCs w:val="24"/>
        </w:rPr>
        <w:t xml:space="preserve">Без учета стоимости переработки давальческого сырья, но с учетом покупной электроэнергии</w:t>
      </w:r>
    </w:p>
    <w:p>
      <w:pPr>
        <w:spacing w:after="120"/>
        <w:jc w:val="both"/>
      </w:pPr>
      <w:hyperlink w:history="1" r:id="rIdstvfhr9pwyw3ieuwqyllg">
        <w:r>
          <w:rPr>
            <w:rFonts w:ascii="Arial" w:cs="Arial" w:eastAsia="Arial" w:hAnsi="Arial"/>
            <w:color w:val="1D4ED8"/>
            <w:sz w:val="24"/>
            <w:szCs w:val="24"/>
            <w:u w:val="single"/>
          </w:rPr>
          <w:t xml:space="preserve">[25]</w:t>
        </w:r>
      </w:hyperlink>
      <w:r>
        <w:rPr>
          <w:rFonts w:ascii="Arial" w:cs="Arial" w:eastAsia="Arial" w:hAnsi="Arial"/>
          <w:sz w:val="24"/>
          <w:szCs w:val="24"/>
        </w:rPr>
        <w:t xml:space="preserve">С учетом стоимости переработки давальческого сырья, без учета покупной электроэнергии</w:t>
      </w:r>
    </w:p>
    <w:p>
      <w:pPr>
        <w:spacing w:after="120"/>
        <w:jc w:val="both"/>
      </w:pPr>
      <w:hyperlink w:history="1" r:id="rIdgxzvfsput60dbq_cu0eqa">
        <w:r>
          <w:rPr>
            <w:rFonts w:ascii="Arial" w:cs="Arial" w:eastAsia="Arial" w:hAnsi="Arial"/>
            <w:color w:val="1D4ED8"/>
            <w:sz w:val="24"/>
            <w:szCs w:val="24"/>
            <w:u w:val="single"/>
          </w:rPr>
          <w:t xml:space="preserve">[26]</w:t>
        </w:r>
      </w:hyperlink>
      <w:r>
        <w:rPr>
          <w:rFonts w:ascii="Arial" w:cs="Arial" w:eastAsia="Arial" w:hAnsi="Arial"/>
          <w:sz w:val="24"/>
          <w:szCs w:val="24"/>
        </w:rPr>
        <w:t xml:space="preserve">С нарастанием за 3,6 и 9 мес.</w:t>
      </w:r>
    </w:p>
    <w:p>
      <w:pPr>
        <w:spacing w:after="120"/>
        <w:jc w:val="both"/>
      </w:pPr>
      <w:hyperlink w:history="1" r:id="rIdiddq_yqcblqjppntwuwuc">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r>
        <w:rPr>
          <w:rFonts w:ascii="Arial" w:cs="Arial" w:eastAsia="Arial" w:hAnsi="Arial"/>
          <w:sz w:val="24"/>
          <w:szCs w:val="24"/>
        </w:rPr>
        <w:t xml:space="preserve">С учетом малых предприятий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8kdfigipzeeddhroy5lp">
      <w:r>
        <w:rPr>
          <w:rFonts w:ascii="Arial" w:cs="Arial" w:eastAsia="Arial" w:hAnsi="Arial"/>
          <w:color w:val="132D3F"/>
          <w:sz w:val="16"/>
          <w:szCs w:val="16"/>
          <w:u w:val="single"/>
        </w:rPr>
        <w:t xml:space="preserve">dalil.kg/document/96884</w:t>
      </w:r>
    </w:hyperlink>
  </w:p>
  <w:p>
    <w:pPr>
      <w:spacing w:after="0" w:before="40"/>
      <w:jc w:val="center"/>
    </w:pPr>
    <w:hyperlink w:history="1" r:id="rIdwb8tcbqt0-_gval2bwyh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do_fofja7yu9fulvtg" Type="http://schemas.openxmlformats.org/officeDocument/2006/relationships/hyperlink" Target="https://dalil.kg/document/96883" TargetMode="External"/><Relationship Id="rIdhj5qnlkme2p638vrk1bl5" Type="http://schemas.openxmlformats.org/officeDocument/2006/relationships/hyperlink" Target="https://dalil.kg/document/96884#_ftn1" TargetMode="External"/><Relationship Id="rIdr0ecn1ljm_lgdiowdi2ke" Type="http://schemas.openxmlformats.org/officeDocument/2006/relationships/hyperlink" Target="https://dalil.kg/document/96884#_ftn2" TargetMode="External"/><Relationship Id="rId6ab6yaiggxrnhwg1dmhqn" Type="http://schemas.openxmlformats.org/officeDocument/2006/relationships/hyperlink" Target="https://dalil.kg/document/96884#_ftn3" TargetMode="External"/><Relationship Id="rIdntyngzrykca72sop0culy" Type="http://schemas.openxmlformats.org/officeDocument/2006/relationships/hyperlink" Target="https://dalil.kg/document/96884#_ftn4" TargetMode="External"/><Relationship Id="rId7anls4wec7ozrboayame2" Type="http://schemas.openxmlformats.org/officeDocument/2006/relationships/hyperlink" Target="https://dalil.kg/document/96884#_ftn5" TargetMode="External"/><Relationship Id="rIdiz75goh83fip3lreom78u" Type="http://schemas.openxmlformats.org/officeDocument/2006/relationships/hyperlink" Target="https://dalil.kg/document/96884#_ftn6" TargetMode="External"/><Relationship Id="rIdcr2-f9cy5dkcxxanq5xkg" Type="http://schemas.openxmlformats.org/officeDocument/2006/relationships/hyperlink" Target="https://dalil.kg/document/96884#_ftn7" TargetMode="External"/><Relationship Id="rIdog7lzwmif396qlurxspgr" Type="http://schemas.openxmlformats.org/officeDocument/2006/relationships/hyperlink" Target="https://dalil.kg/document/96884#_ftn8" TargetMode="External"/><Relationship Id="rIdbp64hfecogx-l-8tomw_j" Type="http://schemas.openxmlformats.org/officeDocument/2006/relationships/hyperlink" Target="https://dalil.kg/document/96884#_ftn9" TargetMode="External"/><Relationship Id="rIdf00nhrakcs9ydeibtsdrc" Type="http://schemas.openxmlformats.org/officeDocument/2006/relationships/hyperlink" Target="https://dalil.kg/document/96884#_ftn10" TargetMode="External"/><Relationship Id="rId1ti8zpjmgnietwt7zhiok" Type="http://schemas.openxmlformats.org/officeDocument/2006/relationships/hyperlink" Target="https://dalil.kg/document/96884#_ftn11" TargetMode="External"/><Relationship Id="rIddmjpth87utpjte6jwymzm" Type="http://schemas.openxmlformats.org/officeDocument/2006/relationships/hyperlink" Target="https://dalil.kg/document/96884#_ftn12" TargetMode="External"/><Relationship Id="rIdfnvrttll2doc0qqh59feu" Type="http://schemas.openxmlformats.org/officeDocument/2006/relationships/hyperlink" Target="https://dalil.kg/document/96884#_ftn13" TargetMode="External"/><Relationship Id="rId7dmngnedle2540y1_xvqc" Type="http://schemas.openxmlformats.org/officeDocument/2006/relationships/hyperlink" Target="https://dalil.kg/document/96884#_ftn14" TargetMode="External"/><Relationship Id="rId6jzvmn5rnuzyi4v_qb4lw" Type="http://schemas.openxmlformats.org/officeDocument/2006/relationships/hyperlink" Target="https://dalil.kg/document/96884#_ftn15" TargetMode="External"/><Relationship Id="rIdxkyapiiru7zpeqp2hjjyf" Type="http://schemas.openxmlformats.org/officeDocument/2006/relationships/hyperlink" Target="https://dalil.kg/document/96884#_ftn16" TargetMode="External"/><Relationship Id="rId6tq6wqqskyg-ch_lp_ro0" Type="http://schemas.openxmlformats.org/officeDocument/2006/relationships/hyperlink" Target="https://dalil.kg/document/96884#_ftn17" TargetMode="External"/><Relationship Id="rIdyroyn_vj20m9pnozbke8y" Type="http://schemas.openxmlformats.org/officeDocument/2006/relationships/hyperlink" Target="https://dalil.kg/document/96884#_ftn18" TargetMode="External"/><Relationship Id="rIddpv2zxi-lg30ijfa8ampn" Type="http://schemas.openxmlformats.org/officeDocument/2006/relationships/hyperlink" Target="https://dalil.kg/document/96884#_ftn19" TargetMode="External"/><Relationship Id="rIdtubw08fz_fr-zkqa2tebt" Type="http://schemas.openxmlformats.org/officeDocument/2006/relationships/hyperlink" Target="https://dalil.kg/document/96884#_ftn20" TargetMode="External"/><Relationship Id="rId9sj5cqopu523o5axqhoyr" Type="http://schemas.openxmlformats.org/officeDocument/2006/relationships/hyperlink" Target="https://dalil.kg/document/96884#_ftn21" TargetMode="External"/><Relationship Id="rIdlvtlrsdqecblio9zcrahe" Type="http://schemas.openxmlformats.org/officeDocument/2006/relationships/hyperlink" Target="https://dalil.kg/document/96884#_ftn22" TargetMode="External"/><Relationship Id="rIdmbptebfmy-0a_jsfnjqn6" Type="http://schemas.openxmlformats.org/officeDocument/2006/relationships/hyperlink" Target="https://dalil.kg/document/96884#_ftn23" TargetMode="External"/><Relationship Id="rIdtzqenaptorahmwzvcfmeg" Type="http://schemas.openxmlformats.org/officeDocument/2006/relationships/hyperlink" Target="https://dalil.kg/document/96884#_ftn24" TargetMode="External"/><Relationship Id="rIdxw2cqrjczp-oa7anh_rv4" Type="http://schemas.openxmlformats.org/officeDocument/2006/relationships/hyperlink" Target="https://dalil.kg/document/96884#_ftn25" TargetMode="External"/><Relationship Id="rIdfmxu1irrx9hhbf2sm67uc" Type="http://schemas.openxmlformats.org/officeDocument/2006/relationships/hyperlink" Target="https://dalil.kg/document/96884#_ftn26" TargetMode="External"/><Relationship Id="rIdirgvqysxu8tv0cpvra666" Type="http://schemas.openxmlformats.org/officeDocument/2006/relationships/hyperlink" Target="https://dalil.kg/document/96884#_ftn27" TargetMode="External"/><Relationship Id="rIduezdyxaqrtbh_7vvs2ya5" Type="http://schemas.openxmlformats.org/officeDocument/2006/relationships/hyperlink" Target="https://dalil.kg/document/96884#_ftn28" TargetMode="External"/><Relationship Id="rIdpog9bdwzteezrzhk6x3lc" Type="http://schemas.openxmlformats.org/officeDocument/2006/relationships/hyperlink" Target="https://dalil.kg/document/96884#_ftnref1" TargetMode="External"/><Relationship Id="rIdzepxg0ygs9pukagnlqazr" Type="http://schemas.openxmlformats.org/officeDocument/2006/relationships/hyperlink" Target="https://dalil.kg/document/96884#_ftnref2" TargetMode="External"/><Relationship Id="rIdorbf9_zenrlwhtjwkm9i4" Type="http://schemas.openxmlformats.org/officeDocument/2006/relationships/hyperlink" Target="https://dalil.kg/document/96884#_ftnref3" TargetMode="External"/><Relationship Id="rIdtgguqvkat45pumouhsj49" Type="http://schemas.openxmlformats.org/officeDocument/2006/relationships/hyperlink" Target="https://dalil.kg/document/96884#_ftnref4" TargetMode="External"/><Relationship Id="rIdvxy0lci-clx7xmzkdvsvb" Type="http://schemas.openxmlformats.org/officeDocument/2006/relationships/hyperlink" Target="https://dalil.kg/document/96884#_ftnref5" TargetMode="External"/><Relationship Id="rIdisumczcqnpr8sugzhdku9" Type="http://schemas.openxmlformats.org/officeDocument/2006/relationships/hyperlink" Target="https://dalil.kg/document/96884#_ftnref6" TargetMode="External"/><Relationship Id="rIdgjrkmkgaep08jcc3runml" Type="http://schemas.openxmlformats.org/officeDocument/2006/relationships/hyperlink" Target="https://dalil.kg/document/96884#_ftnref7" TargetMode="External"/><Relationship Id="rId9yywefvjupg8ybxd84mi3" Type="http://schemas.openxmlformats.org/officeDocument/2006/relationships/hyperlink" Target="https://dalil.kg/document/96884#_ftnref8" TargetMode="External"/><Relationship Id="rIdbbmqvpm8zvz5fpfk9ifrs" Type="http://schemas.openxmlformats.org/officeDocument/2006/relationships/hyperlink" Target="https://dalil.kg/document/96884#_ftnref9" TargetMode="External"/><Relationship Id="rIdbj1-l5skfhxdwfxaxbvy2" Type="http://schemas.openxmlformats.org/officeDocument/2006/relationships/hyperlink" Target="https://dalil.kg/document/96884#_ftnref10" TargetMode="External"/><Relationship Id="rIdttmzihuxf-pcffjx_scsk" Type="http://schemas.openxmlformats.org/officeDocument/2006/relationships/hyperlink" Target="https://dalil.kg/document/96884#_ftnref11" TargetMode="External"/><Relationship Id="rIdwhu14cvhviffqgb2n9uq6" Type="http://schemas.openxmlformats.org/officeDocument/2006/relationships/hyperlink" Target="https://dalil.kg/document/96884#_ftnref12" TargetMode="External"/><Relationship Id="rIdnw0pzdu9mrqqcx5xd-7wb" Type="http://schemas.openxmlformats.org/officeDocument/2006/relationships/hyperlink" Target="https://dalil.kg/document/96884#_ftnref13" TargetMode="External"/><Relationship Id="rIdvwwsgs55d7np4frof7s7o" Type="http://schemas.openxmlformats.org/officeDocument/2006/relationships/hyperlink" Target="https://dalil.kg/document/96884#_ftnref14" TargetMode="External"/><Relationship Id="rId98ftislkvghtadn-2kvfd" Type="http://schemas.openxmlformats.org/officeDocument/2006/relationships/hyperlink" Target="https://dalil.kg/document/96884#_ftnref15" TargetMode="External"/><Relationship Id="rId6ence6fjriz3otvypww1m" Type="http://schemas.openxmlformats.org/officeDocument/2006/relationships/hyperlink" Target="https://dalil.kg/document/96884#_ftnref16" TargetMode="External"/><Relationship Id="rIdwqpyj2vm97utjrreivk7o" Type="http://schemas.openxmlformats.org/officeDocument/2006/relationships/hyperlink" Target="https://dalil.kg/document/96884#_ftnref17" TargetMode="External"/><Relationship Id="rIdlrgxlq_etarxp9gd05ptq" Type="http://schemas.openxmlformats.org/officeDocument/2006/relationships/hyperlink" Target="https://dalil.kg/document/96884#_ftnref18" TargetMode="External"/><Relationship Id="rIdihk71_1jjauqhvldkvh8b" Type="http://schemas.openxmlformats.org/officeDocument/2006/relationships/hyperlink" Target="https://dalil.kg/document/96884#_ftnref19" TargetMode="External"/><Relationship Id="rIdbyeddj1nazfxtugajfpxo" Type="http://schemas.openxmlformats.org/officeDocument/2006/relationships/hyperlink" Target="https://dalil.kg/document/96884#_ftnref20" TargetMode="External"/><Relationship Id="rIdv4huboxomvk1xjquqekjb" Type="http://schemas.openxmlformats.org/officeDocument/2006/relationships/hyperlink" Target="https://dalil.kg/document/96884#_ftnref21" TargetMode="External"/><Relationship Id="rId5d-ltuzpygiwfgnscqcz2" Type="http://schemas.openxmlformats.org/officeDocument/2006/relationships/hyperlink" Target="https://dalil.kg/document/96884#_ftnref22" TargetMode="External"/><Relationship Id="rIdmbxp-_9pt7xevxwam5c-g" Type="http://schemas.openxmlformats.org/officeDocument/2006/relationships/hyperlink" Target="https://dalil.kg/document/96884#_ftnref23" TargetMode="External"/><Relationship Id="rIdn2dx3jbvmzhnq1yvwmmtz" Type="http://schemas.openxmlformats.org/officeDocument/2006/relationships/hyperlink" Target="https://dalil.kg/document/96884#_ftnref24" TargetMode="External"/><Relationship Id="rIdyctqu3h8p_4gd7roqa_zv" Type="http://schemas.openxmlformats.org/officeDocument/2006/relationships/hyperlink" Target="https://dalil.kg/document/96884#_ftnref25" TargetMode="External"/><Relationship Id="rIdstvfhr9pwyw3ieuwqyllg" Type="http://schemas.openxmlformats.org/officeDocument/2006/relationships/hyperlink" Target="https://dalil.kg/document/96884#_ftnref26" TargetMode="External"/><Relationship Id="rIdgxzvfsput60dbq_cu0eqa" Type="http://schemas.openxmlformats.org/officeDocument/2006/relationships/hyperlink" Target="https://dalil.kg/document/96884#_ftnref27" TargetMode="External"/><Relationship Id="rIdiddq_yqcblqjppntwuwuc" Type="http://schemas.openxmlformats.org/officeDocument/2006/relationships/hyperlink" Target="https://dalil.kg/document/96884#_ftnref28" TargetMode="External"/><Relationship Id="rId8" Type="http://schemas.openxmlformats.org/officeDocument/2006/relationships/image" Target="media/8de64316e95979c063c17bcd5380dc052a2594e9.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8kdfigipzeeddhroy5lp" Type="http://schemas.openxmlformats.org/officeDocument/2006/relationships/hyperlink" Target="https://dalil.kg/document/96884" TargetMode="External"/><Relationship Id="rIdwb8tcbqt0-_gval2bwyh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2026-09-24T06:20:45.509Z</dcterms:created>
  <dcterms:modified xsi:type="dcterms:W3CDTF">2026-09-24T06:20:45.509Z</dcterms:modified>
</cp:coreProperties>
</file>

<file path=docProps/custom.xml><?xml version="1.0" encoding="utf-8"?>
<Properties xmlns="http://schemas.openxmlformats.org/officeDocument/2006/custom-properties" xmlns:vt="http://schemas.openxmlformats.org/officeDocument/2006/docPropsVTypes"/>
</file>