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Приложение 4
 к </w:t>
      </w:r>
      <w:hyperlink w:history="1" r:id="rIdkuegedp5pomu_pfdoby7p">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30 сентября 2014 года № 560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ПОЛОЖЕНИЕ
 о защите и развитии конкуренции в торговой деятельности на территории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izcsgr7k2d448zzs8xqay">
        <w:r>
          <w:rPr>
            <w:rFonts w:ascii="Arial" w:cs="Arial" w:eastAsia="Arial" w:hAnsi="Arial"/>
            <w:i/>
            <w:iCs/>
            <w:color w:val="1D4ED8"/>
            <w:sz w:val="24"/>
            <w:szCs w:val="24"/>
            <w:u w:val="single"/>
          </w:rPr>
          <w:t xml:space="preserve">7 октября 2024 года № 606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Положение о защите и развитии конкуренции в торговой деятельности на территории Кыргызской Республики (далее - Положение) определяет основы государственного регулирования торговой деятельности в Кыргызской Республике (далее - торговая деятельность).</w:t>
      </w:r>
    </w:p>
    <w:p>
      <w:pPr>
        <w:spacing w:after="120"/>
        <w:ind w:firstLine="567"/>
        <w:jc w:val="both"/>
      </w:pPr>
      <w:r>
        <w:rPr>
          <w:rFonts w:ascii="Arial" w:cs="Arial" w:eastAsia="Arial" w:hAnsi="Arial"/>
          <w:sz w:val="24"/>
          <w:szCs w:val="24"/>
        </w:rPr>
        <w:t xml:space="preserve">2. Целями настоящего Положения являются:</w:t>
      </w:r>
    </w:p>
    <w:p>
      <w:pPr>
        <w:spacing w:after="120"/>
        <w:ind w:firstLine="567"/>
        <w:jc w:val="both"/>
      </w:pPr>
      <w:r>
        <w:rPr>
          <w:rFonts w:ascii="Arial" w:cs="Arial" w:eastAsia="Arial" w:hAnsi="Arial"/>
          <w:sz w:val="24"/>
          <w:szCs w:val="24"/>
        </w:rPr>
        <w:t xml:space="preserve">- обеспечение единства и прозрачности экономического пространства на территории Кыргызской Республики путем установления требований к организации и осуществлению торговой деятельности;</w:t>
      </w:r>
    </w:p>
    <w:p>
      <w:pPr>
        <w:spacing w:after="120"/>
        <w:ind w:firstLine="567"/>
        <w:jc w:val="both"/>
      </w:pPr>
      <w:r>
        <w:rPr>
          <w:rFonts w:ascii="Arial" w:cs="Arial" w:eastAsia="Arial" w:hAnsi="Arial"/>
          <w:sz w:val="24"/>
          <w:szCs w:val="24"/>
        </w:rPr>
        <w:t xml:space="preserve">- развитие торговой деятельности в целях удовлетворения потребностей отраслей экономики в произведенной продукции, обеспечения доступности товаров для населения, формирования конкурентной среды, поддержки отечественных производителей товаров;</w:t>
      </w:r>
    </w:p>
    <w:p>
      <w:pPr>
        <w:spacing w:after="120"/>
        <w:ind w:firstLine="567"/>
        <w:jc w:val="both"/>
      </w:pPr>
      <w:r>
        <w:rPr>
          <w:rFonts w:ascii="Arial" w:cs="Arial" w:eastAsia="Arial" w:hAnsi="Arial"/>
          <w:sz w:val="24"/>
          <w:szCs w:val="24"/>
        </w:rPr>
        <w:t xml:space="preserve">- обеспечение соблюдения прав и законных интересов физических и юридических лиц, осуществляющих торговую деятельность по поставке производимых или закупаемых товаров, предназначенных для использования их в предпринимательской деятельности, в том числе для продажи или перепродажи, а также обеспечение при этом соблюдения прав и законных интересов потребителей.</w:t>
      </w:r>
    </w:p>
    <w:p>
      <w:pPr>
        <w:spacing w:after="120"/>
        <w:ind w:firstLine="567"/>
        <w:jc w:val="both"/>
      </w:pPr>
      <w:r>
        <w:rPr>
          <w:rFonts w:ascii="Arial" w:cs="Arial" w:eastAsia="Arial" w:hAnsi="Arial"/>
          <w:sz w:val="24"/>
          <w:szCs w:val="24"/>
        </w:rPr>
        <w:t xml:space="preserve">3. Нормы настоящего Положения не применяются к отношениям, связанным с организацией и осуществлением:</w:t>
      </w:r>
    </w:p>
    <w:p>
      <w:pPr>
        <w:spacing w:after="120"/>
        <w:ind w:firstLine="567"/>
        <w:jc w:val="both"/>
      </w:pPr>
      <w:r>
        <w:rPr>
          <w:rFonts w:ascii="Arial" w:cs="Arial" w:eastAsia="Arial" w:hAnsi="Arial"/>
          <w:sz w:val="24"/>
          <w:szCs w:val="24"/>
        </w:rPr>
        <w:t xml:space="preserve">- внешнеторговой деятельности;</w:t>
      </w:r>
    </w:p>
    <w:p>
      <w:pPr>
        <w:spacing w:after="120"/>
        <w:ind w:firstLine="567"/>
        <w:jc w:val="both"/>
      </w:pPr>
      <w:r>
        <w:rPr>
          <w:rFonts w:ascii="Arial" w:cs="Arial" w:eastAsia="Arial" w:hAnsi="Arial"/>
          <w:sz w:val="24"/>
          <w:szCs w:val="24"/>
        </w:rPr>
        <w:t xml:space="preserve">- торговли на товарных биржах;</w:t>
      </w:r>
    </w:p>
    <w:p>
      <w:pPr>
        <w:spacing w:after="120"/>
        <w:ind w:firstLine="567"/>
        <w:jc w:val="both"/>
      </w:pPr>
      <w:r>
        <w:rPr>
          <w:rFonts w:ascii="Arial" w:cs="Arial" w:eastAsia="Arial" w:hAnsi="Arial"/>
          <w:sz w:val="24"/>
          <w:szCs w:val="24"/>
        </w:rPr>
        <w:t xml:space="preserve">- купли-продажи ценных бумаг, объектов недвижимости, продукции производственно-технического назначения, в том числе электрической энергии (мощности), тепловой энергии и мощности, а также иных видов энергетических ресурсов.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Основные понятия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В настоящем Положения используются следующие основные понятия:</w:t>
      </w:r>
    </w:p>
    <w:p>
      <w:pPr>
        <w:spacing w:after="120"/>
        <w:ind w:firstLine="567"/>
        <w:jc w:val="both"/>
      </w:pPr>
      <w:r>
        <w:rPr>
          <w:rFonts w:ascii="Arial" w:cs="Arial" w:eastAsia="Arial" w:hAnsi="Arial"/>
          <w:sz w:val="24"/>
          <w:szCs w:val="24"/>
        </w:rPr>
        <w:t xml:space="preserve">оптовая торговля - вид предпринимательской деятельности, связанный с продажей и/или приобретением товаров для использования их в предпринимательской деятельности (в том числе для перепродажи) или в иных целях, не связанных с личным, семейным, домашним и иным подобным использованием;</w:t>
      </w:r>
    </w:p>
    <w:p>
      <w:pPr>
        <w:spacing w:after="120"/>
        <w:ind w:firstLine="567"/>
        <w:jc w:val="both"/>
      </w:pPr>
      <w:r>
        <w:rPr>
          <w:rFonts w:ascii="Arial" w:cs="Arial" w:eastAsia="Arial" w:hAnsi="Arial"/>
          <w:sz w:val="24"/>
          <w:szCs w:val="24"/>
        </w:rPr>
        <w:t xml:space="preserve">розничная торговля - вид предпринимательской деятельности, связанный с продажей и приобретением товаров для использования их в личных, семейных, домашних и иных целях, не связанных с осуществлением предпринимательской деятельности;</w:t>
      </w:r>
    </w:p>
    <w:p>
      <w:pPr>
        <w:spacing w:after="120"/>
        <w:ind w:firstLine="567"/>
        <w:jc w:val="both"/>
      </w:pPr>
      <w:r>
        <w:rPr>
          <w:rFonts w:ascii="Arial" w:cs="Arial" w:eastAsia="Arial" w:hAnsi="Arial"/>
          <w:sz w:val="24"/>
          <w:szCs w:val="24"/>
        </w:rPr>
        <w:t xml:space="preserve">площадь торгового объекта - помещение, предназначенное для выкладки, демонстрации товаров, обслуживания покупателей и проведения денежных расчетов с покупателями при продаже товаров, прохода покупателей;</w:t>
      </w:r>
    </w:p>
    <w:p>
      <w:pPr>
        <w:spacing w:after="120"/>
        <w:ind w:firstLine="567"/>
        <w:jc w:val="both"/>
      </w:pPr>
      <w:r>
        <w:rPr>
          <w:rFonts w:ascii="Arial" w:cs="Arial" w:eastAsia="Arial" w:hAnsi="Arial"/>
          <w:sz w:val="24"/>
          <w:szCs w:val="24"/>
        </w:rPr>
        <w:t xml:space="preserve">торговая сеть - совокупность двух и более торговых объектов, которые находятся под общим управлением, или совокупность двух и более торговых объектов, которые используются под единым коммерческим обозначением или иным средством индивидуализации;</w:t>
      </w:r>
    </w:p>
    <w:p>
      <w:pPr>
        <w:spacing w:after="120"/>
        <w:ind w:firstLine="567"/>
        <w:jc w:val="both"/>
      </w:pPr>
      <w:r>
        <w:rPr>
          <w:rFonts w:ascii="Arial" w:cs="Arial" w:eastAsia="Arial" w:hAnsi="Arial"/>
          <w:sz w:val="24"/>
          <w:szCs w:val="24"/>
        </w:rPr>
        <w:t xml:space="preserve">продовольственные товары - продукты в натуральном или переработанном виде, находящиеся в легальном обороте и употребляемые человеком в пищу (в том числе продукты детского питания, продукты диетического питания, биологически-активные добавки), бутилированная питьевая вода, алкогольная продукция, пиво и напитки, изготавливаемые на его основе, безалкогольные напитки, жевательная резинка, пищевые добавки.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 Требования к организации и осуществлению торговой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 Государственное регулирование торговой деятельности осуществляется посредством:</w:t>
      </w:r>
    </w:p>
    <w:p>
      <w:pPr>
        <w:spacing w:after="120"/>
        <w:ind w:firstLine="567"/>
        <w:jc w:val="both"/>
      </w:pPr>
      <w:r>
        <w:rPr>
          <w:rFonts w:ascii="Arial" w:cs="Arial" w:eastAsia="Arial" w:hAnsi="Arial"/>
          <w:sz w:val="24"/>
          <w:szCs w:val="24"/>
        </w:rPr>
        <w:t xml:space="preserve">- установления требований к ее организации и осуществлению;</w:t>
      </w:r>
    </w:p>
    <w:p>
      <w:pPr>
        <w:spacing w:after="120"/>
        <w:ind w:firstLine="567"/>
        <w:jc w:val="both"/>
      </w:pPr>
      <w:r>
        <w:rPr>
          <w:rFonts w:ascii="Arial" w:cs="Arial" w:eastAsia="Arial" w:hAnsi="Arial"/>
          <w:sz w:val="24"/>
          <w:szCs w:val="24"/>
        </w:rPr>
        <w:t xml:space="preserve">- антимонопольного регулирования;</w:t>
      </w:r>
    </w:p>
    <w:p>
      <w:pPr>
        <w:spacing w:after="120"/>
        <w:ind w:firstLine="567"/>
        <w:jc w:val="both"/>
      </w:pPr>
      <w:r>
        <w:rPr>
          <w:rFonts w:ascii="Arial" w:cs="Arial" w:eastAsia="Arial" w:hAnsi="Arial"/>
          <w:sz w:val="24"/>
          <w:szCs w:val="24"/>
        </w:rPr>
        <w:t xml:space="preserve">- информационного обеспечения;</w:t>
      </w:r>
    </w:p>
    <w:p>
      <w:pPr>
        <w:spacing w:after="120"/>
        <w:ind w:firstLine="567"/>
        <w:jc w:val="both"/>
      </w:pPr>
      <w:r>
        <w:rPr>
          <w:rFonts w:ascii="Arial" w:cs="Arial" w:eastAsia="Arial" w:hAnsi="Arial"/>
          <w:sz w:val="24"/>
          <w:szCs w:val="24"/>
        </w:rPr>
        <w:t xml:space="preserve">- государственного контроля (надзора).</w:t>
      </w:r>
    </w:p>
    <w:p>
      <w:pPr>
        <w:spacing w:after="120"/>
        <w:ind w:firstLine="567"/>
        <w:jc w:val="both"/>
      </w:pPr>
      <w:r>
        <w:rPr>
          <w:rFonts w:ascii="Arial" w:cs="Arial" w:eastAsia="Arial" w:hAnsi="Arial"/>
          <w:sz w:val="24"/>
          <w:szCs w:val="24"/>
        </w:rPr>
        <w:t xml:space="preserve">6. Торговая деятельность осуществляется субъектами предпринимательства согласно требованиям, установленным настоящим Положением, и зарегистрированными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Приемка товаров по количеству и качеству на торговых объектах должна осуществляться в соответствии с нормативными правовыми актами и документами, подтверждающими безопасность и качество продукции.</w:t>
      </w:r>
    </w:p>
    <w:p>
      <w:pPr>
        <w:spacing w:after="120"/>
        <w:ind w:firstLine="567"/>
        <w:jc w:val="both"/>
      </w:pPr>
      <w:r>
        <w:rPr>
          <w:rFonts w:ascii="Arial" w:cs="Arial" w:eastAsia="Arial" w:hAnsi="Arial"/>
          <w:sz w:val="24"/>
          <w:szCs w:val="24"/>
        </w:rPr>
        <w:t xml:space="preserve">7. В случае если предусмотрено государственное регулирование цен на отдельные виды товаров, торговых надбавок (наценок) к ценам на них (в том числе установление их предельных (максимального и (или) минимального) уровней), цены на такие товары, торговые надбавки (наценки) к ценам на них регулируются в установленном порядке Кабинетом Министров Кыргызской Республики в соответствии с законами Кыргызской Республики "</w:t>
      </w:r>
      <w:hyperlink w:history="1" r:id="rIdj2g-n4qqaqn67ao1gybk5">
        <w:r>
          <w:rPr>
            <w:rFonts w:ascii="Arial" w:cs="Arial" w:eastAsia="Arial" w:hAnsi="Arial"/>
            <w:color w:val="1D4ED8"/>
            <w:sz w:val="24"/>
            <w:szCs w:val="24"/>
            <w:u w:val="single"/>
          </w:rPr>
          <w:t xml:space="preserve">О конкуренции</w:t>
        </w:r>
      </w:hyperlink>
      <w:r>
        <w:rPr>
          <w:rFonts w:ascii="Arial" w:cs="Arial" w:eastAsia="Arial" w:hAnsi="Arial"/>
          <w:sz w:val="24"/>
          <w:szCs w:val="24"/>
        </w:rPr>
        <w:t xml:space="preserve">", "</w:t>
      </w:r>
      <w:hyperlink w:history="1" r:id="rIdaumx_vbfzbjxnuurkevjt">
        <w:r>
          <w:rPr>
            <w:rFonts w:ascii="Arial" w:cs="Arial" w:eastAsia="Arial" w:hAnsi="Arial"/>
            <w:color w:val="1D4ED8"/>
            <w:sz w:val="24"/>
            <w:szCs w:val="24"/>
            <w:u w:val="single"/>
          </w:rPr>
          <w:t xml:space="preserve">О ценообразовании</w:t>
        </w:r>
      </w:hyperlink>
      <w:r>
        <w:rPr>
          <w:rFonts w:ascii="Arial" w:cs="Arial" w:eastAsia="Arial" w:hAnsi="Arial"/>
          <w:sz w:val="24"/>
          <w:szCs w:val="24"/>
        </w:rPr>
        <w:t xml:space="preserve">" и "</w:t>
      </w:r>
      <w:hyperlink w:history="1" r:id="rIdfz9pcqavx1culm63uzp63">
        <w:r>
          <w:rPr>
            <w:rFonts w:ascii="Arial" w:cs="Arial" w:eastAsia="Arial" w:hAnsi="Arial"/>
            <w:color w:val="1D4ED8"/>
            <w:sz w:val="24"/>
            <w:szCs w:val="24"/>
            <w:u w:val="single"/>
          </w:rPr>
          <w:t xml:space="preserve">О продовольственной безопасности Кыргызской Республики</w:t>
        </w:r>
      </w:hyperlink>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sfur23u32unkh-jqe_td">
        <w:r>
          <w:rPr>
            <w:rFonts w:ascii="Arial" w:cs="Arial" w:eastAsia="Arial" w:hAnsi="Arial"/>
            <w:i/>
            <w:iCs/>
            <w:color w:val="1D4ED8"/>
            <w:sz w:val="24"/>
            <w:szCs w:val="24"/>
            <w:u w:val="single"/>
          </w:rPr>
          <w:t xml:space="preserve">7 октября 2024 года № 606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Права и обязанности субъектов предпринимательства, осуществляющих торговую деятельность посредством организации торговой сети, в связи с заключением и исполнением договора поставки продовольственных товаров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8. Субъект предпринимательства, осуществляющий торговую деятельность посредством организации торговой сети, обязан обеспечивать субъекту предпринимательства, осуществляющему поставки продовольственных товаров, доступ к информации об условиях отбора контрагента для заключения договора поставки продовольственных товаров и существенных условиях такого договора путем размещения соответствующей информации на своем сайте в информационно-телекоммуникационной сети Интернет или путем предоставления запрашиваемой информации, безвозмездно, в течение 7 календарных дней со дня получения соответствующего запроса. Аналогичные требования предъявляются к субъекту предпринимательства, осуществляющему поставки продовольственных товаров.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bxs4fbe7pc6scvg5rxy1">
        <w:r>
          <w:rPr>
            <w:rFonts w:ascii="Arial" w:cs="Arial" w:eastAsia="Arial" w:hAnsi="Arial"/>
            <w:i/>
            <w:iCs/>
            <w:color w:val="1D4ED8"/>
            <w:sz w:val="24"/>
            <w:szCs w:val="24"/>
            <w:u w:val="single"/>
          </w:rPr>
          <w:t xml:space="preserve">7 октября 2024 года № 606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 Цена договора поставки продовольственных товаров, заключаемого между субъектом предпринимательства, осуществляющим поставки продовольственных товаров, и субъектом предпринимательства, осуществляющим торговую деятельность, определяется, исходя из цены продовольственных товаров, установленной соглашением сторон договора поставки продовольственных товаров, с учетом требований предусмотренных пунктами 10 и 11 настоящего Положения.</w:t>
      </w:r>
    </w:p>
    <w:p>
      <w:pPr>
        <w:spacing w:after="120"/>
        <w:ind w:firstLine="567"/>
        <w:jc w:val="both"/>
      </w:pPr>
      <w:r>
        <w:rPr>
          <w:rFonts w:ascii="Arial" w:cs="Arial" w:eastAsia="Arial" w:hAnsi="Arial"/>
          <w:sz w:val="24"/>
          <w:szCs w:val="24"/>
        </w:rPr>
        <w:t xml:space="preserve">10. Соглашением сторон в договорах поставки продовольственных товаров может предусматриваться включение в цену товара вознаграждения субъекту предпринимательства, осуществляющему торговую деятельность, в связи с приобретением им продовольственных товаров у субъекта предпринимательства, осуществляющего поставки продовольственных товаров. Размер указанного вознаграждения подлежит согласованию сторонами этого договора, включению в цену товара и не учитывается при определении цены продовольственных товаров. Размер вознаграждения не может превышать пять процентов цены приобретенных продовольственных товаров.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6nwb6rbhees1plffa4na">
        <w:r>
          <w:rPr>
            <w:rFonts w:ascii="Arial" w:cs="Arial" w:eastAsia="Arial" w:hAnsi="Arial"/>
            <w:i/>
            <w:iCs/>
            <w:color w:val="1D4ED8"/>
            <w:sz w:val="24"/>
            <w:szCs w:val="24"/>
            <w:u w:val="single"/>
          </w:rPr>
          <w:t xml:space="preserve">7 октября 2024 года № 606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11. Не допускается выплата вознаграждения в связи с приобретением субъектом предпринимательства, осуществляющим торговую деятельность, отдельных видов социально значимых продовольственных товаров, указанных в перечне, установленном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nm1dkyjvt7dcs95sgvmz">
        <w:r>
          <w:rPr>
            <w:rFonts w:ascii="Arial" w:cs="Arial" w:eastAsia="Arial" w:hAnsi="Arial"/>
            <w:i/>
            <w:iCs/>
            <w:color w:val="1D4ED8"/>
            <w:sz w:val="24"/>
            <w:szCs w:val="24"/>
            <w:u w:val="single"/>
          </w:rPr>
          <w:t xml:space="preserve">7 октября 2024 года № 606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12. Включение в цену договора поставки продовольственных товаров иных видов вознаграждения за исполнение субъектом предпринимательства, осуществляющим торговую деятельность, условий этого договора и (или) его изменение не допускаются.</w:t>
      </w:r>
    </w:p>
    <w:p>
      <w:pPr>
        <w:spacing w:after="120"/>
        <w:ind w:firstLine="567"/>
        <w:jc w:val="both"/>
      </w:pPr>
      <w:r>
        <w:rPr>
          <w:rFonts w:ascii="Arial" w:cs="Arial" w:eastAsia="Arial" w:hAnsi="Arial"/>
          <w:sz w:val="24"/>
          <w:szCs w:val="24"/>
        </w:rPr>
        <w:t xml:space="preserve">13. В случае, если между субъектом предпринимательства, осуществляющим торговую деятельность, и субъектом предпринимательства, осуществляющим поставки продовольственных товаров, заключается договор поставки продовольственных товаров, с условием оплаты таких товаров через определенное время после их передачи субъекту предпринимательства, осуществляющему торговую деятельность, срок оплаты таких товаров для установления данным договором определяется по следующим правилам:</w:t>
      </w:r>
    </w:p>
    <w:p>
      <w:pPr>
        <w:spacing w:after="120"/>
        <w:ind w:firstLine="567"/>
        <w:jc w:val="both"/>
      </w:pPr>
      <w:r>
        <w:rPr>
          <w:rFonts w:ascii="Arial" w:cs="Arial" w:eastAsia="Arial" w:hAnsi="Arial"/>
          <w:sz w:val="24"/>
          <w:szCs w:val="24"/>
        </w:rPr>
        <w:t xml:space="preserve">1) продовольственные товары, на которые срок годности установлен менее чем десять дней, подлежат оплате в срок не позднее чем десять рабочих дней со дня приемки таких товаров субъектом предпринимательства, осуществляющим торговую деятельность;</w:t>
      </w:r>
    </w:p>
    <w:p>
      <w:pPr>
        <w:spacing w:after="120"/>
        <w:ind w:firstLine="567"/>
        <w:jc w:val="both"/>
      </w:pPr>
      <w:r>
        <w:rPr>
          <w:rFonts w:ascii="Arial" w:cs="Arial" w:eastAsia="Arial" w:hAnsi="Arial"/>
          <w:sz w:val="24"/>
          <w:szCs w:val="24"/>
        </w:rPr>
        <w:t xml:space="preserve">2) продовольственные товары, на которые срок годности установлен от десяти до тридцати дней включительно, подлежат оплате в срок не позднее, чем тридцать календарных дней со дня приемки таких товаров субъектом предпринимательства, осуществляющим торговую деятельность;</w:t>
      </w:r>
    </w:p>
    <w:p>
      <w:pPr>
        <w:spacing w:after="120"/>
        <w:ind w:firstLine="567"/>
        <w:jc w:val="both"/>
      </w:pPr>
      <w:r>
        <w:rPr>
          <w:rFonts w:ascii="Arial" w:cs="Arial" w:eastAsia="Arial" w:hAnsi="Arial"/>
          <w:sz w:val="24"/>
          <w:szCs w:val="24"/>
        </w:rPr>
        <w:t xml:space="preserve">3) продовольственные товары, на которые срок годности установлен свыше тридцати дней, а также алкогольная продукция, произведенная на территории Кыргызской Республики, подлежат оплате в срок не позднее чем сорок пять календарных дней со дня приемки таких товаров субъектом предпринимательства, осуществляющим торговую деятельность.</w:t>
      </w:r>
    </w:p>
    <w:p>
      <w:pPr>
        <w:spacing w:after="120"/>
        <w:ind w:firstLine="567"/>
        <w:jc w:val="both"/>
      </w:pPr>
      <w:r>
        <w:rPr>
          <w:rFonts w:ascii="Arial" w:cs="Arial" w:eastAsia="Arial" w:hAnsi="Arial"/>
          <w:sz w:val="24"/>
          <w:szCs w:val="24"/>
        </w:rPr>
        <w:t xml:space="preserve">14. Оплата продовольственных товаров в срок, установленный правилами, определенными пунктом 13 настоящего Положения, осуществляется при условии исполнения субъектом предпринимательства, осуществляющим поставки продовольственных товаров, обязанности по передаче документов, относящихся к поставкам таких товаров в соответствии с требованиями нормативных правовых актов Кыргызской Республики и договором поставки продовольственных товаров.</w:t>
      </w:r>
    </w:p>
    <w:p>
      <w:pPr>
        <w:spacing w:after="120"/>
        <w:ind w:firstLine="567"/>
        <w:jc w:val="both"/>
      </w:pPr>
      <w:r>
        <w:rPr>
          <w:rFonts w:ascii="Arial" w:cs="Arial" w:eastAsia="Arial" w:hAnsi="Arial"/>
          <w:sz w:val="24"/>
          <w:szCs w:val="24"/>
        </w:rPr>
        <w:t xml:space="preserve">15. В случае, если субъект предпринимательства, осуществляющий поставки продовольственных товаров, не передает или отказывается передать субъекту предпринимательства, осуществляющему торговую деятельность, документы, которые он должен передать в соответствии с законами, иными нормативными правовыми актами Кыргызской Республики и договором поставки продовольственных товаров, сроки оплаты продовольственных товаров, установленные правилами, определенными пунктом 13 настоящего Положения, увеличиваются на период предоставления субъектом предпринимательства, осуществляющим поставки продовольственных товаров, по запросу субъекта предпринимательства, осуществляющего торговую деятельность, указанных документов.</w:t>
      </w:r>
    </w:p>
    <w:p>
      <w:pPr>
        <w:spacing w:after="120"/>
        <w:ind w:firstLine="567"/>
        <w:jc w:val="both"/>
      </w:pPr>
      <w:r>
        <w:rPr>
          <w:rFonts w:ascii="Arial" w:cs="Arial" w:eastAsia="Arial" w:hAnsi="Arial"/>
          <w:sz w:val="24"/>
          <w:szCs w:val="24"/>
        </w:rPr>
        <w:t xml:space="preserve">16. В договоре поставки продовольственных товаров не допускается установление запрета на перемене лиц в обязательстве по такому договору путем уступки требования, а также ответственности за несоблюдение указанного запрета сторонами такого договора.</w:t>
      </w:r>
    </w:p>
    <w:p>
      <w:pPr>
        <w:spacing w:after="120"/>
        <w:ind w:firstLine="567"/>
        <w:jc w:val="both"/>
      </w:pPr>
      <w:r>
        <w:rPr>
          <w:rFonts w:ascii="Arial" w:cs="Arial" w:eastAsia="Arial" w:hAnsi="Arial"/>
          <w:sz w:val="24"/>
          <w:szCs w:val="24"/>
        </w:rPr>
        <w:t xml:space="preserve">17. Услуги по рекламированию продовольственных товаров, маркетингу и подобные услуги, направленные на продвижение продовольственных товаров, могут оказываться субъектом предпринимательства, осуществляющим торговую деятельность, на основании договоров возмездного оказания соответствующих услуг только на добровольной основе.</w:t>
      </w:r>
    </w:p>
    <w:p>
      <w:pPr>
        <w:spacing w:after="120"/>
        <w:ind w:firstLine="567"/>
        <w:jc w:val="both"/>
      </w:pPr>
      <w:r>
        <w:rPr>
          <w:rFonts w:ascii="Arial" w:cs="Arial" w:eastAsia="Arial" w:hAnsi="Arial"/>
          <w:sz w:val="24"/>
          <w:szCs w:val="24"/>
        </w:rPr>
        <w:t xml:space="preserve">18. Включение в договор поставки продовольственных товаров условий о совершении субъектом предпринимательства, осуществляющим торговую деятельность, в отношении поставленных продовольственных товаров определенных действий, об оказании услуг по рекламированию товаров, маркетингу и подобных услуг, направленных на продвижение продовольственных товаров, а также заключение договора поставки продовольственных товаров путем понуждения к заключению договора возмездного оказания услуг, направленных на продвижение продовольственных товаров, не допускается.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 Антимонопольные требования для субъектов предпринимательства, осуществляющих торговую деятельность посредством организации торговой сети, и субъектов предпринимательства, осуществляющих поставки продовольственных товаров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19. Субъектам предпринимательства, осуществляющим торговую деятельность по продаже продовольственных товаров посредством организации торговой сети, и субъектам предпринимательства, осуществляющим поставки продовольственных товаров в торговые сети, в соответствии с Законом Кыргызской Республики "О конкуренции" запрещается осуществлять свои действия, которые имеют либо могут иметь своим результатом ограничение конкуренции и (или) ущемление интересов других хозяйствующих субъектов или физических лиц, в том числе:</w:t>
      </w:r>
    </w:p>
    <w:p>
      <w:pPr>
        <w:spacing w:after="120"/>
        <w:ind w:firstLine="567"/>
        <w:jc w:val="both"/>
      </w:pPr>
      <w:r>
        <w:rPr>
          <w:rFonts w:ascii="Arial" w:cs="Arial" w:eastAsia="Arial" w:hAnsi="Arial"/>
          <w:sz w:val="24"/>
          <w:szCs w:val="24"/>
        </w:rPr>
        <w:t xml:space="preserve">1) создавать дискриминационные условия;</w:t>
      </w:r>
    </w:p>
    <w:p>
      <w:pPr>
        <w:spacing w:after="120"/>
        <w:ind w:firstLine="567"/>
        <w:jc w:val="both"/>
      </w:pPr>
      <w:r>
        <w:rPr>
          <w:rFonts w:ascii="Arial" w:cs="Arial" w:eastAsia="Arial" w:hAnsi="Arial"/>
          <w:sz w:val="24"/>
          <w:szCs w:val="24"/>
        </w:rPr>
        <w:t xml:space="preserve">2) создавать препятствия для доступа на товарный рынок или выхода из товарного рынка других субъектов предпринимательства;</w:t>
      </w:r>
    </w:p>
    <w:p>
      <w:pPr>
        <w:spacing w:after="120"/>
        <w:ind w:firstLine="567"/>
        <w:jc w:val="both"/>
      </w:pPr>
      <w:r>
        <w:rPr>
          <w:rFonts w:ascii="Arial" w:cs="Arial" w:eastAsia="Arial" w:hAnsi="Arial"/>
          <w:sz w:val="24"/>
          <w:szCs w:val="24"/>
        </w:rPr>
        <w:t xml:space="preserve">3) навязывать контрагенту условия, невыгодные для него или не относящиеся к предмету договора, а именно:</w:t>
      </w:r>
    </w:p>
    <w:p>
      <w:pPr>
        <w:spacing w:after="120"/>
        <w:ind w:firstLine="567"/>
        <w:jc w:val="both"/>
      </w:pPr>
      <w:r>
        <w:rPr>
          <w:rFonts w:ascii="Arial" w:cs="Arial" w:eastAsia="Arial" w:hAnsi="Arial"/>
          <w:sz w:val="24"/>
          <w:szCs w:val="24"/>
        </w:rPr>
        <w:t xml:space="preserve">а) условия о запрете на заключение субъектом предпринимательства договоров поставки продовольственных товаров с другими субъектами предпринимательства, осуществляющими аналогичную деятельность, а также с другими субъектами предпринимательства на аналогичных или иных условиях;</w:t>
      </w:r>
    </w:p>
    <w:p>
      <w:pPr>
        <w:spacing w:after="120"/>
        <w:ind w:firstLine="567"/>
        <w:jc w:val="both"/>
      </w:pPr>
      <w:r>
        <w:rPr>
          <w:rFonts w:ascii="Arial" w:cs="Arial" w:eastAsia="Arial" w:hAnsi="Arial"/>
          <w:sz w:val="24"/>
          <w:szCs w:val="24"/>
        </w:rPr>
        <w:t xml:space="preserve">б) условия об ответственности за неисполнение обязательства субъекта предпринимательства о поставках продовольственных товаров на условиях, которые лучше, чем условия для других субъектов предпринимательства, осуществляющих аналогичную деятельность;</w:t>
      </w:r>
    </w:p>
    <w:p>
      <w:pPr>
        <w:spacing w:after="120"/>
        <w:ind w:firstLine="567"/>
        <w:jc w:val="both"/>
      </w:pPr>
      <w:r>
        <w:rPr>
          <w:rFonts w:ascii="Arial" w:cs="Arial" w:eastAsia="Arial" w:hAnsi="Arial"/>
          <w:sz w:val="24"/>
          <w:szCs w:val="24"/>
        </w:rPr>
        <w:t xml:space="preserve">в) условия о предоставлении субъектом предпринимательства контрагенту сведений о заключаемых данным субъектами предпринимательства договорах с другими субъектами предпринимательства, осуществляющими аналогичную деятельность;</w:t>
      </w:r>
    </w:p>
    <w:p>
      <w:pPr>
        <w:spacing w:after="120"/>
        <w:ind w:firstLine="567"/>
        <w:jc w:val="both"/>
      </w:pPr>
      <w:r>
        <w:rPr>
          <w:rFonts w:ascii="Arial" w:cs="Arial" w:eastAsia="Arial" w:hAnsi="Arial"/>
          <w:sz w:val="24"/>
          <w:szCs w:val="24"/>
        </w:rPr>
        <w:t xml:space="preserve">г) условия о внесении субъектом предпринимательства, осуществляющим поставки продовольственных товаров, платы за право поставок (плата за вход и прочие какие-либо платы при заключении договора) таких товаров субъекту предпринимательства, осуществляющему торговую деятельность посредством организации торговой сети, в функционирующие или открываемые торговые объекты;</w:t>
      </w:r>
    </w:p>
    <w:p>
      <w:pPr>
        <w:spacing w:after="120"/>
        <w:ind w:firstLine="567"/>
        <w:jc w:val="both"/>
      </w:pPr>
      <w:r>
        <w:rPr>
          <w:rFonts w:ascii="Arial" w:cs="Arial" w:eastAsia="Arial" w:hAnsi="Arial"/>
          <w:sz w:val="24"/>
          <w:szCs w:val="24"/>
        </w:rPr>
        <w:t xml:space="preserve">д) условия о внесении субъектом предпринимательства платы за изменение ассортимента продовольственных товаров;</w:t>
      </w:r>
    </w:p>
    <w:p>
      <w:pPr>
        <w:spacing w:after="120"/>
        <w:ind w:firstLine="567"/>
        <w:jc w:val="both"/>
      </w:pPr>
      <w:r>
        <w:rPr>
          <w:rFonts w:ascii="Arial" w:cs="Arial" w:eastAsia="Arial" w:hAnsi="Arial"/>
          <w:sz w:val="24"/>
          <w:szCs w:val="24"/>
        </w:rPr>
        <w:t xml:space="preserve">е) условия о снижении субъектом предпринимательства, осуществляющим поставки продовольственных товаров, их цены до уровня, который при условии установления торговой надбавки (наценки) к их цене не превысит минимальную цену таких товаров при их продаже субъектами предпринимательства, осуществляющими аналогичную деятельность;</w:t>
      </w:r>
    </w:p>
    <w:p>
      <w:pPr>
        <w:spacing w:after="120"/>
        <w:ind w:firstLine="567"/>
        <w:jc w:val="both"/>
      </w:pPr>
      <w:r>
        <w:rPr>
          <w:rFonts w:ascii="Arial" w:cs="Arial" w:eastAsia="Arial" w:hAnsi="Arial"/>
          <w:sz w:val="24"/>
          <w:szCs w:val="24"/>
        </w:rPr>
        <w:t xml:space="preserve">ё) условия о возмещении субъектом предпринимательства, осуществляющим поставки продовольственных товаров, убытков в связи с утратой или повреждением таких товаров после перехода права собственности на такие товары, за исключением случаев, если утрата или повреждение произошли по вине субъекта предпринимательства, осуществляющего поставки таких товаров;</w:t>
      </w:r>
    </w:p>
    <w:p>
      <w:pPr>
        <w:spacing w:after="120"/>
        <w:ind w:firstLine="567"/>
        <w:jc w:val="both"/>
      </w:pPr>
      <w:r>
        <w:rPr>
          <w:rFonts w:ascii="Arial" w:cs="Arial" w:eastAsia="Arial" w:hAnsi="Arial"/>
          <w:sz w:val="24"/>
          <w:szCs w:val="24"/>
        </w:rPr>
        <w:t xml:space="preserve">ж) условия о возмещении субъектом предпринимательства затрат, не связанных с исполнением договора поставки продовольственных товаров и последующей продажей конкретной партии таких товаров;</w:t>
      </w:r>
    </w:p>
    <w:p>
      <w:pPr>
        <w:spacing w:after="120"/>
        <w:ind w:firstLine="567"/>
        <w:jc w:val="both"/>
      </w:pPr>
      <w:r>
        <w:rPr>
          <w:rFonts w:ascii="Arial" w:cs="Arial" w:eastAsia="Arial" w:hAnsi="Arial"/>
          <w:sz w:val="24"/>
          <w:szCs w:val="24"/>
        </w:rPr>
        <w:t xml:space="preserve">з) условия о возврате субъекту предпринимательства, осуществившему поставки продовольственных товаров, таких товаров, не проданных по истечении определенного срока, за исключением случаев, если возврат таких товаров допускается или предусмотрен законодательством Кыргызской Республики;</w:t>
      </w:r>
    </w:p>
    <w:p>
      <w:pPr>
        <w:spacing w:after="120"/>
        <w:ind w:firstLine="567"/>
        <w:jc w:val="both"/>
      </w:pPr>
      <w:r>
        <w:rPr>
          <w:rFonts w:ascii="Arial" w:cs="Arial" w:eastAsia="Arial" w:hAnsi="Arial"/>
          <w:sz w:val="24"/>
          <w:szCs w:val="24"/>
        </w:rPr>
        <w:t xml:space="preserve">и) иные условия, если они содержат существенные признаки условий, предусмотренных подпунктами "а" - "з" настоящего пункта.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 Государственный контроль (надзор) за соблюдением требований настоящего Положения, в области торговой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20. Государственный контроль за соблюдением требований настоящего Положения осуществляется государственным антимонопольным органом и его территориальными органами с правом выдачи соответствующих решений, обязательных для исполнения в порядке, установленном антимонопольным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 Виды нарушений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21. К нарушениям настоящего Положения относятся:</w:t>
      </w:r>
    </w:p>
    <w:p>
      <w:pPr>
        <w:spacing w:after="120"/>
        <w:ind w:firstLine="567"/>
        <w:jc w:val="both"/>
      </w:pPr>
      <w:r>
        <w:rPr>
          <w:rFonts w:ascii="Arial" w:cs="Arial" w:eastAsia="Arial" w:hAnsi="Arial"/>
          <w:sz w:val="24"/>
          <w:szCs w:val="24"/>
        </w:rPr>
        <w:t xml:space="preserve">1) непредставление антимонопольному органу Кыргызской Республики запрашиваемых материалов по торговой деятельности организации и по поставщикам продукции;</w:t>
      </w:r>
    </w:p>
    <w:p>
      <w:pPr>
        <w:spacing w:after="120"/>
        <w:ind w:firstLine="567"/>
        <w:jc w:val="both"/>
      </w:pPr>
      <w:r>
        <w:rPr>
          <w:rFonts w:ascii="Arial" w:cs="Arial" w:eastAsia="Arial" w:hAnsi="Arial"/>
          <w:sz w:val="24"/>
          <w:szCs w:val="24"/>
        </w:rPr>
        <w:t xml:space="preserve">2) завышение регулируемых цен на социально значимые товары первой необходимости;</w:t>
      </w:r>
    </w:p>
    <w:p>
      <w:pPr>
        <w:spacing w:after="120"/>
        <w:ind w:firstLine="567"/>
        <w:jc w:val="both"/>
      </w:pPr>
      <w:r>
        <w:rPr>
          <w:rFonts w:ascii="Arial" w:cs="Arial" w:eastAsia="Arial" w:hAnsi="Arial"/>
          <w:sz w:val="24"/>
          <w:szCs w:val="24"/>
        </w:rPr>
        <w:t xml:space="preserve">3) непредоставление поставщику, субъекту торговой деятельности доступа к информации об условиях поставки и торговой деятельности;</w:t>
      </w:r>
    </w:p>
    <w:p>
      <w:pPr>
        <w:spacing w:after="120"/>
        <w:ind w:firstLine="567"/>
        <w:jc w:val="both"/>
      </w:pPr>
      <w:r>
        <w:rPr>
          <w:rFonts w:ascii="Arial" w:cs="Arial" w:eastAsia="Arial" w:hAnsi="Arial"/>
          <w:sz w:val="24"/>
          <w:szCs w:val="24"/>
        </w:rPr>
        <w:t xml:space="preserve">4) превышение уровня вознаграждения, установленного настоящим Положением;</w:t>
      </w:r>
    </w:p>
    <w:p>
      <w:pPr>
        <w:spacing w:after="120"/>
        <w:ind w:firstLine="567"/>
        <w:jc w:val="both"/>
      </w:pPr>
      <w:r>
        <w:rPr>
          <w:rFonts w:ascii="Arial" w:cs="Arial" w:eastAsia="Arial" w:hAnsi="Arial"/>
          <w:sz w:val="24"/>
          <w:szCs w:val="24"/>
        </w:rPr>
        <w:t xml:space="preserve">5) навязывание и/или понуждение на условия договора в нарушение требований настоящего Положения;</w:t>
      </w:r>
    </w:p>
    <w:p>
      <w:pPr>
        <w:spacing w:after="120"/>
        <w:ind w:firstLine="567"/>
        <w:jc w:val="both"/>
      </w:pPr>
      <w:r>
        <w:rPr>
          <w:rFonts w:ascii="Arial" w:cs="Arial" w:eastAsia="Arial" w:hAnsi="Arial"/>
          <w:sz w:val="24"/>
          <w:szCs w:val="24"/>
        </w:rPr>
        <w:t xml:space="preserve">6) нарушение сроков оплаты за товары;</w:t>
      </w:r>
    </w:p>
    <w:p>
      <w:pPr>
        <w:spacing w:after="120"/>
        <w:ind w:firstLine="567"/>
        <w:jc w:val="both"/>
      </w:pPr>
      <w:r>
        <w:rPr>
          <w:rFonts w:ascii="Arial" w:cs="Arial" w:eastAsia="Arial" w:hAnsi="Arial"/>
          <w:sz w:val="24"/>
          <w:szCs w:val="24"/>
        </w:rPr>
        <w:t xml:space="preserve">7) понуждение на производство каких-либо дополнительных услуг и мероприятий;</w:t>
      </w:r>
    </w:p>
    <w:p>
      <w:pPr>
        <w:spacing w:after="120"/>
        <w:ind w:firstLine="567"/>
        <w:jc w:val="both"/>
      </w:pPr>
      <w:r>
        <w:rPr>
          <w:rFonts w:ascii="Arial" w:cs="Arial" w:eastAsia="Arial" w:hAnsi="Arial"/>
          <w:sz w:val="24"/>
          <w:szCs w:val="24"/>
        </w:rPr>
        <w:t xml:space="preserve">8) принятие государственными органами и органами местного самоуправления актов, ограничивающих развитие торговой деятельности, и понуждение субъектов предпринимательства, осуществляющих торговую деятельность, к антиконкурентным действиям, предусмотренным настоящим пунктом.</w:t>
      </w:r>
    </w:p>
    <w:p>
      <w:pPr>
        <w:spacing w:after="120"/>
        <w:ind w:firstLine="567"/>
        <w:jc w:val="both"/>
      </w:pPr>
      <w:r>
        <w:rPr>
          <w:rFonts w:ascii="Arial" w:cs="Arial" w:eastAsia="Arial" w:hAnsi="Arial"/>
          <w:sz w:val="24"/>
          <w:szCs w:val="24"/>
        </w:rPr>
        <w:t xml:space="preserve">22. За нарушение требований настоящего Положения субъекты торговой деятельности, государственные органы и органы местного самоуправления несут ответственность в соответствии с </w:t>
      </w:r>
      <w:hyperlink w:history="1" r:id="rId0btgvcjdj6pl86t7heq_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3yvbpqpnvp0venut95ot">
        <w:r>
          <w:rPr>
            <w:rFonts w:ascii="Arial" w:cs="Arial" w:eastAsia="Arial" w:hAnsi="Arial"/>
            <w:i/>
            <w:iCs/>
            <w:color w:val="1D4ED8"/>
            <w:sz w:val="24"/>
            <w:szCs w:val="24"/>
            <w:u w:val="single"/>
          </w:rPr>
          <w:t xml:space="preserve">7 октября 2024 года № 606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i4whf19ofy5aaav334c1">
      <w:r>
        <w:rPr>
          <w:rFonts w:ascii="Arial" w:cs="Arial" w:eastAsia="Arial" w:hAnsi="Arial"/>
          <w:color w:val="132D3F"/>
          <w:sz w:val="16"/>
          <w:szCs w:val="16"/>
          <w:u w:val="single"/>
        </w:rPr>
        <w:t xml:space="preserve">dalil.kg/document/97026</w:t>
      </w:r>
    </w:hyperlink>
  </w:p>
  <w:p>
    <w:pPr>
      <w:spacing w:after="0" w:before="40"/>
      <w:jc w:val="center"/>
    </w:pPr>
    <w:hyperlink w:history="1" r:id="rIdhslh6dahikxqhsvt2li3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uegedp5pomu_pfdoby7p" Type="http://schemas.openxmlformats.org/officeDocument/2006/relationships/hyperlink" Target="https://dalil.kg/document/97022" TargetMode="External"/><Relationship Id="rIdizcsgr7k2d448zzs8xqay" Type="http://schemas.openxmlformats.org/officeDocument/2006/relationships/hyperlink" Target="https://dalil.kg/document/230015625" TargetMode="External"/><Relationship Id="rIdj2g-n4qqaqn67ao1gybk5" Type="http://schemas.openxmlformats.org/officeDocument/2006/relationships/hyperlink" Target="https://dalil.kg/document/203356" TargetMode="External"/><Relationship Id="rIdaumx_vbfzbjxnuurkevjt" Type="http://schemas.openxmlformats.org/officeDocument/2006/relationships/hyperlink" Target="https://dalil.kg/document/112562" TargetMode="External"/><Relationship Id="rIdfz9pcqavx1culm63uzp63" Type="http://schemas.openxmlformats.org/officeDocument/2006/relationships/hyperlink" Target="https://dalil.kg/document/202397" TargetMode="External"/><Relationship Id="rIdwsfur23u32unkh-jqe_td" Type="http://schemas.openxmlformats.org/officeDocument/2006/relationships/hyperlink" Target="https://dalil.kg/document/230015625" TargetMode="External"/><Relationship Id="rIdgbxs4fbe7pc6scvg5rxy1" Type="http://schemas.openxmlformats.org/officeDocument/2006/relationships/hyperlink" Target="https://dalil.kg/document/230015625" TargetMode="External"/><Relationship Id="rIdd6nwb6rbhees1plffa4na" Type="http://schemas.openxmlformats.org/officeDocument/2006/relationships/hyperlink" Target="https://dalil.kg/document/230015625" TargetMode="External"/><Relationship Id="rIdtnm1dkyjvt7dcs95sgvmz" Type="http://schemas.openxmlformats.org/officeDocument/2006/relationships/hyperlink" Target="https://dalil.kg/document/230015625" TargetMode="External"/><Relationship Id="rId0btgvcjdj6pl86t7heq_c" Type="http://schemas.openxmlformats.org/officeDocument/2006/relationships/hyperlink" Target="https://dalil.kg/document/112306" TargetMode="External"/><Relationship Id="rIdc3yvbpqpnvp0venut95ot" Type="http://schemas.openxmlformats.org/officeDocument/2006/relationships/hyperlink" Target="https://dalil.kg/document/230015625"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i4whf19ofy5aaav334c1" Type="http://schemas.openxmlformats.org/officeDocument/2006/relationships/hyperlink" Target="https://dalil.kg/document/97026" TargetMode="External"/><Relationship Id="rIdhslh6dahikxqhsvt2li3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2026-09-24T02:22:23.342Z</dcterms:created>
  <dcterms:modified xsi:type="dcterms:W3CDTF">2026-09-24T02:22:23.342Z</dcterms:modified>
</cp:coreProperties>
</file>

<file path=docProps/custom.xml><?xml version="1.0" encoding="utf-8"?>
<Properties xmlns="http://schemas.openxmlformats.org/officeDocument/2006/custom-properties" xmlns:vt="http://schemas.openxmlformats.org/officeDocument/2006/docPropsVTypes"/>
</file>