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e9vbibhud7bh-jv-hwc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присвоения адресов и ведения Адресного регистра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jugb_p6fkya0by1qlt2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2016 года № 559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fjgsx8duzlzmwnswqvun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2021 года № 294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присвоения адресов и ведения Адресного регистра в Кыргызской Республике (далее - Положение) определяет порядок присвоения, формирования, регистрации адресов и ведения Адресного регистра.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Положения распространяется на все виды адресной информации об объектах недвижимости всех форм собственности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Ведение Адресного регистра представляет собой единую систему следующих процедур: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адреса;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изменений адреса;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сведений об аннулировании адреса;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хранение и архивирование адресной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справочных данных из Адресного регистра.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Адреса объектов недвижимости и их изменения регистрируются в Адресном регистре, а сведения об аннулировании адресов вносятся в Адресный регистр на основании законов Кыргызской Республики, решений представительных органов местного самоуправления и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целями определения единого порядка присвоения объектам недвижимости адресов и ведения Адресного регистра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централизованного учета адресов объектов недвижимости на различных этапах их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соответствия месторасположения объекта недвижимости адресу, зарегистрированному в Адресном регистре;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основы для информационного обеспечения сведениями об адресах объектов недвижимости.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Регистрация адреса объекта недвижимости, изменений адреса, внесение в Адресный регистр сведений об аннулировании адреса, хранение, архивирование и выдача справочных данных, присвоение номеров объектам недвижимости осуществляются Службой земельных ресурсов при Министерстве сельского хозяйства Кыргызской Республики (далее - уполномоченный государственный орган по ведению кадастра и регистрации прав на недвижимое имущество).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nptd_ssfmigoxhtmwhd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декабря 2021 года № 294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Основные понятия, используемые в настоящем Положении: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</w:t>
      </w:r>
      <w:r>
        <w:rPr>
          <w:rFonts w:ascii="Arial" w:cs="Arial" w:eastAsia="Arial" w:hAnsi="Arial"/>
          <w:sz w:val="24"/>
          <w:szCs w:val="24"/>
        </w:rPr>
        <w:t xml:space="preserve"> - структурное описание совокупных реквизитов местоположения (местонахождения) объекта недвижимости на местности;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Адресный регистр</w:t>
      </w:r>
      <w:r>
        <w:rPr>
          <w:rFonts w:ascii="Arial" w:cs="Arial" w:eastAsia="Arial" w:hAnsi="Arial"/>
          <w:sz w:val="24"/>
          <w:szCs w:val="24"/>
        </w:rPr>
        <w:t xml:space="preserve"> - совокупность записей, содержащих сведения об элементах адреса объектов недвижимости на всей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аннулирование адреса</w:t>
      </w:r>
      <w:r>
        <w:rPr>
          <w:rFonts w:ascii="Arial" w:cs="Arial" w:eastAsia="Arial" w:hAnsi="Arial"/>
          <w:sz w:val="24"/>
          <w:szCs w:val="24"/>
        </w:rPr>
        <w:t xml:space="preserve"> - признание недействительным текущего адреса объекта недвижимости, содержащегося в Адресном регистре;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регистрация адреса</w:t>
      </w:r>
      <w:r>
        <w:rPr>
          <w:rFonts w:ascii="Arial" w:cs="Arial" w:eastAsia="Arial" w:hAnsi="Arial"/>
          <w:sz w:val="24"/>
          <w:szCs w:val="24"/>
        </w:rPr>
        <w:t xml:space="preserve"> - совокупность действий по включению в Адресный регистр записи об элементах адреса объекта недвижимости, содержащих сведения из документов, устанавливающих адрес объекта недвижимости;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элемент адреса</w:t>
      </w:r>
      <w:r>
        <w:rPr>
          <w:rFonts w:ascii="Arial" w:cs="Arial" w:eastAsia="Arial" w:hAnsi="Arial"/>
          <w:sz w:val="24"/>
          <w:szCs w:val="24"/>
        </w:rPr>
        <w:t xml:space="preserve"> - реквизит, описывающий местоположение объекта недвижимости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номер объекта недвижимости</w:t>
      </w:r>
      <w:r>
        <w:rPr>
          <w:rFonts w:ascii="Arial" w:cs="Arial" w:eastAsia="Arial" w:hAnsi="Arial"/>
          <w:sz w:val="24"/>
          <w:szCs w:val="24"/>
        </w:rPr>
        <w:t xml:space="preserve"> - обязательный элемент адреса, выраженный целым положительным числом;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буквенный индекс (буква)</w:t>
      </w:r>
      <w:r>
        <w:rPr>
          <w:rFonts w:ascii="Arial" w:cs="Arial" w:eastAsia="Arial" w:hAnsi="Arial"/>
          <w:sz w:val="24"/>
          <w:szCs w:val="24"/>
        </w:rPr>
        <w:t xml:space="preserve"> - необязательный элемент адреса, выраженный одной заглавной буквой кыргызского алфавита (за исключением букв "й" (и краткое), "ё", "о", "у", "н"), используемый для расширения адресного пространства;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корпус</w:t>
      </w:r>
      <w:r>
        <w:rPr>
          <w:rFonts w:ascii="Arial" w:cs="Arial" w:eastAsia="Arial" w:hAnsi="Arial"/>
          <w:sz w:val="24"/>
          <w:szCs w:val="24"/>
        </w:rPr>
        <w:t xml:space="preserve"> - необязательный элемент адреса, выраженный целым положительным числом, используемый для неограниченного расширения адресного пространства.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формирования и присвоения адресов объектам недвижимости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Каждому объекту недвижимости присваивается уникальный адрес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Полный адрес объекта недвижимости содержит в себе следующие элементы: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района;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населенного пункта;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адресный элемент;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улицы;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объекта недвижимости;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буквенный индекс (буква) или корпус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квартиры (при наличии).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wrsh21jqr3-s461bm10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2016 года № 559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формировании полного адреса объекта недвижимости элементы адреса указываются в строгой последовательности, в соответствии со структурой адреса объекта недвижимости.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gwz0x6jjjk0kyocijzd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2016 года № 559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нелинейных объектов, содержащих объекты недвижимости и не имеющих улиц, присваивается тип улицы "Массив".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 территории Кыргызской Республики при написании адресных элементов допускаются следующие сокращения: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6"/>
        <w:gridCol w:w="4001"/>
        <w:gridCol w:w="5251"/>
      </w:tblGrid>
      <w:tr>
        <w:tc>
          <w:tcPr>
            <w:tcW w:type="dxa" w:w="9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Полное название</w:t>
            </w:r>
          </w:p>
        </w:tc>
        <w:tc>
          <w:tcPr>
            <w:tcW w:type="dxa" w:w="52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Сокращенное название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</w:t>
            </w:r>
          </w:p>
        </w:tc>
        <w:tc>
          <w:tcPr>
            <w:tcW w:type="dxa" w:w="5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станция</w:t>
            </w:r>
          </w:p>
        </w:tc>
        <w:tc>
          <w:tcPr>
            <w:tcW w:type="dxa" w:w="5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ст.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</w:t>
            </w:r>
          </w:p>
        </w:tc>
        <w:tc>
          <w:tcPr>
            <w:tcW w:type="dxa" w:w="5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уч.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</w:t>
            </w:r>
          </w:p>
        </w:tc>
        <w:tc>
          <w:tcPr>
            <w:tcW w:type="dxa" w:w="5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разъезд</w:t>
            </w:r>
          </w:p>
        </w:tc>
        <w:tc>
          <w:tcPr>
            <w:tcW w:type="dxa" w:w="5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рзд.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проезд</w:t>
            </w:r>
          </w:p>
        </w:tc>
        <w:tc>
          <w:tcPr>
            <w:tcW w:type="dxa" w:w="5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прзд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заезд</w:t>
            </w:r>
          </w:p>
        </w:tc>
        <w:tc>
          <w:tcPr>
            <w:tcW w:type="dxa" w:w="5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аллея</w:t>
            </w:r>
          </w:p>
        </w:tc>
        <w:tc>
          <w:tcPr>
            <w:tcW w:type="dxa" w:w="5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аллея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бульвар</w:t>
            </w:r>
          </w:p>
        </w:tc>
        <w:tc>
          <w:tcPr>
            <w:tcW w:type="dxa" w:w="5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бул.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</w:t>
            </w:r>
          </w:p>
        </w:tc>
        <w:tc>
          <w:tcPr>
            <w:tcW w:type="dxa" w:w="5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кв-л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переулок</w:t>
            </w:r>
          </w:p>
        </w:tc>
        <w:tc>
          <w:tcPr>
            <w:tcW w:type="dxa" w:w="5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пер.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проспект</w:t>
            </w:r>
          </w:p>
        </w:tc>
        <w:tc>
          <w:tcPr>
            <w:tcW w:type="dxa" w:w="5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тупик</w:t>
            </w:r>
          </w:p>
        </w:tc>
        <w:tc>
          <w:tcPr>
            <w:tcW w:type="dxa" w:w="5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туп.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</w:t>
            </w:r>
          </w:p>
        </w:tc>
        <w:tc>
          <w:tcPr>
            <w:tcW w:type="dxa" w:w="5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пл.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</w:t>
            </w:r>
          </w:p>
        </w:tc>
        <w:tc>
          <w:tcPr>
            <w:tcW w:type="dxa" w:w="5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</w:t>
            </w:r>
          </w:p>
        </w:tc>
        <w:tc>
          <w:tcPr>
            <w:tcW w:type="dxa" w:w="5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массив</w:t>
            </w:r>
          </w:p>
        </w:tc>
        <w:tc>
          <w:tcPr>
            <w:tcW w:type="dxa" w:w="5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мас.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шоссе</w:t>
            </w:r>
          </w:p>
        </w:tc>
        <w:tc>
          <w:tcPr>
            <w:tcW w:type="dxa" w:w="5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шос.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кошара</w:t>
            </w:r>
          </w:p>
        </w:tc>
        <w:tc>
          <w:tcPr>
            <w:tcW w:type="dxa" w:w="5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кошара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урочище</w:t>
            </w:r>
          </w:p>
        </w:tc>
        <w:tc>
          <w:tcPr>
            <w:tcW w:type="dxa" w:w="5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урочище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МТФ</w:t>
            </w:r>
          </w:p>
        </w:tc>
        <w:tc>
          <w:tcPr>
            <w:tcW w:type="dxa" w:w="5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МТФ</w:t>
            </w:r>
          </w:p>
        </w:tc>
      </w:tr>
    </w:tbl>
    <w:p>
      <w:pPr>
        <w:spacing w:after="60" w:before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mqlt0qfdudmvrmm1h3z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2016 года № 559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Регистрация одинаковых адресов объектов недвижимости не допускается. Выявленные несоответствия по адресам подлежат изменению согласно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Номера объектов недвижимости, в том числе на угловых объектах, устанавливаются на фасадах каждого объекта. Данное правило является обязательным для объектов капитального строительства.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Нумерация объектов недвижимости осуществляется с учетом перспектив развития объекта: с нечетными номерами по левой стороне улицы и четными номерами по правой, с востока на запад и с юга на север.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ca2yievfd3xdej8r0h8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2016 года № 559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Нумерация объекта недвижимости производится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улиц, имеющих направление с юга на север, - увеличение номеров на север;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улиц, имеющих направление с востока на запад, - увеличение номеров на запад.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Нумерация комплексных объектов недвижимости производится в соответствии с правилами, утвержденными уполномоченным государственным органом по ведению кадастра и регистрации прав на недвижимое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Вновь построенным многоквартирным жилым домам номера квартир присваиваются строго по часовой стрелке, то есть слева направо.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Объекты недвижимости, находящиеся на перекрестках бульваров, проспектов, улиц, должны иметь один адрес по наименованию бульвара, проспекта, улицы, на которых находится главный фасад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Номера объектов недвижимости, квартир и указателей подъездов многоквартирных жилых домов должны поддерживаться в надлежащем состоянии.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sz w:val="24"/>
          <w:szCs w:val="24"/>
        </w:rPr>
        <w:t xml:space="preserve">(Утратил силу в соответствии с </w:t>
      </w:r>
      <w:hyperlink w:history="1" r:id="rIdmylltv1kcbseakppap-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декабря 2021 года № 294)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ведения Адресного регистра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Перечень обязательных реквизитов Адресного регистра содержит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учетный номер, дату регистрации адреса объекта недвижимости и изменений адреса, а также внесения в Адресный регистр сведений об аннулировании адреса;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указание на вид объекта недвижимости;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основании для регистрации адреса объекта недвижимости и изменений адреса, а также внесения в Адресный регистр сведений об аннулировании адреса (вид и реквизиты документа).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Записи Адресного регистра ведутся в электронном виде с выводом, при необходимости, информации на бумажные носители. Архив Адресного регистра ведется в виде резервных копий электронной базы данных и в делах, заведенных при формировании и присвоении адреса объекту недвижимости.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Органы местного самоуправления Кыргызской Республики в течение 5 (пяти) рабочих дней со дня принятия решения о присвоении (изменении, аннулировании) наименований проспектов, аллей, площадей, городских или сельских парков, бульваров, улиц и переулков в обязательном порядке направляют в территориальные подразделения уполномоченного государственного органа по ведению кадастра и регистрации прав на недвижимое имущество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оригинал решения представительного органа местного самоуправления Кыргызской Республики о присвоении (изменении, аннулировании) наименований проспектов, аллей, площадей, городских или сельских парков, бульваров, улиц и переулков;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с отмеченным на нем объектом недвижимости.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Главы органов местного самоуправления Кыргызской Республики несут ответственность за своевременное предоставление и полноту информации о присвоении, изменении или аннулировании наименований проспектов, аллей, площадей, городских или сельских парков, бульваров, улиц и переулков.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qja-wxyimli5jwyyi9x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2016 года № 559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Территориальные подразделения уполномоченного государственного органа по ведению кадастра и регистрации прав на недвижимое имущество осуществляют регистрацию адреса объекта недвижимости и его изменений, нанесение границ объекта недвижимости на электронную карту Адресного регистра, внесение в Адресный регистр сведений об аннулировании адреса в течение 5 (пяти) рабочих дней со дня поступления соответствующих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s1rz6otgskpjfb5udq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2016 года № 559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Наименования административно-территориальных единиц, населенных пунктов, проспектов, аллей, площадей, городских, сельских парков, бульваров, улиц и переулков вносятся в Адресный регистр в точном написании, указанном в соответствующих законах Кыргызской Республики и решениях представительных органов местного самоуправления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0evq1zcfiflbrz0zgom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2016 года № 559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Изменение и аннулирование адреса объекта недвижимости производятся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переименовании, объединении либо упразднении административно-территориальных единиц, населенных пунктов, проспектов, аллей, площадей, городских, сельских парков, бульваров, улиц и переулков;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разделении объектов недвижимости на самостоятельные единицы недвижимости;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образовании нового объекта недвижимости;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объединении двух и более объектов недвижимости;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упорядочении застроенной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выявлении несоответствия существующего адреса объекта недвижимости его фактическому расположению на территории Кыргызской Республики и адресам, присвоенным соседним объектам недвижимости;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8 утратил силу в соответствии с </w:t>
      </w:r>
      <w:hyperlink w:history="1" r:id="rIdypvr_waxwdqhtswldeov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24 октября 2016 года № 559)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j7jo5nzozluvptkgfy1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2016 года № 559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Структура и управление электронной картой Адресного регистра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(Название главы в редакции </w:t>
      </w:r>
      <w:hyperlink w:history="1" r:id="rIdaismmp8sj6kmktkrivy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24 октября 2016 года № 559)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структуру Адресного регистра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классификатор системы обозначений объектов административно-территориальных и территориальных единиц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таблица наименований улиц с перечнем устанавливающих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таблица номеров объектов недвижимости, расположенных на определенной улице;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таблица, содержащая сведения о местоположении (местонахождении) объектов недвижимости;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таблица пользователей Адресного регистра, позволяющая назначать права доступа к ней, отслеживать все действия с адресами объектов недвижимости, осуществлять администрирование и комплекс мер по защите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истории изменений, вносимых в Адресный регистр;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картографические данные, позволяющие определить пространственное местоположение объектов недвижимости или их совокупность на электронной карте обозначений объектов административно-территориальных и территориальных единиц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4_qksai4ba1vlmms9a1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2016 года № 559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28-1. Управление электронной картой Адресного регистра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цифровых моделей административных районов и территорий административного управления в виде замкнутых, топологически корректно примыкающих друг к другу многоугольников;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объектов недвижимости по имеющимся координатам и обработка данных GPS аппаратуры;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адресного плана объекта недвижимости на электронной карте Адресного регистра (квартиры и комнаты в адресном плане не отображаются);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нанесение границ избирательных участков, зон обслуживания жилищно-коммунального хозяйства, границ участков органов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0sjfef91roypfuvduky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2016 года № 559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28-2. Формирование электронной карты территории Кыргызской Республики для выборных целей производится Центральной комиссией по выборам и проведению референдумов Кыргызской Республики в соответствии с утвержденными границами избирательных участков: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присвоение и изменение наименований и границ избирательных участков на электронной карте Адресного регистра производится единовременно и прекращается после электронного подтверждения в информационной системе "Адресный регистр Кыргызской Республики" уполномоченным лицом Центральной комиссией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w9pimqypvc59nme1f9s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2016 года № 559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Предоставление сведений из Адресного регистра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Информация из Адресного регистра является открытой, общедоступной, выдается всем заинтересованным юридическим и физическим лицам и должна использоваться в официальных документах и внутриведомственных информационных системах государственных органов Кыргызской Республики и органах местного самоуправления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rwaukliqzxg60tn4f8f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2016 года № 559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Справочные и картографические данные из Адресного регистра выдаются в соответствии с законодательством Кыргызской Республики по форме, утвержденной уполномоченным государственным органом по ведению кадастра и регистрации прав на недвижимое имущество, на основании заявления заинтересованного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4dapmbcvhrjkqgxntcx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2016 года № 559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ckucuwnofthogagrwz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dalil.kg/document/97086</w:t>
      </w:r>
    </w:hyperlink>
  </w:p>
  <w:p>
    <w:pPr>
      <w:spacing w:after="0" w:before="40"/>
      <w:jc w:val="center"/>
    </w:pPr>
    <w:hyperlink w:history="1" r:id="rIdtqeqocpd3pzljlr3t6s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9vbibhud7bh-jv-hwcho" Type="http://schemas.openxmlformats.org/officeDocument/2006/relationships/hyperlink" Target="https://dalil.kg/document/97085" TargetMode="External"/><Relationship Id="rIdwjugb_p6fkya0by1qlt2-" Type="http://schemas.openxmlformats.org/officeDocument/2006/relationships/hyperlink" Target="https://dalil.kg/document/99500" TargetMode="External"/><Relationship Id="rIdfjgsx8duzlzmwnswqvun-" Type="http://schemas.openxmlformats.org/officeDocument/2006/relationships/hyperlink" Target="https://dalil.kg/document/158751" TargetMode="External"/><Relationship Id="rIdnptd_ssfmigoxhtmwhdt1" Type="http://schemas.openxmlformats.org/officeDocument/2006/relationships/hyperlink" Target="https://dalil.kg/document/158751" TargetMode="External"/><Relationship Id="rIdqwrsh21jqr3-s461bm10r" Type="http://schemas.openxmlformats.org/officeDocument/2006/relationships/hyperlink" Target="https://dalil.kg/document/99500" TargetMode="External"/><Relationship Id="rIdggwz0x6jjjk0kyocijzd3" Type="http://schemas.openxmlformats.org/officeDocument/2006/relationships/hyperlink" Target="https://dalil.kg/document/99500" TargetMode="External"/><Relationship Id="rIdwmqlt0qfdudmvrmm1h3z-" Type="http://schemas.openxmlformats.org/officeDocument/2006/relationships/hyperlink" Target="https://dalil.kg/document/99500" TargetMode="External"/><Relationship Id="rIdnca2yievfd3xdej8r0h8e" Type="http://schemas.openxmlformats.org/officeDocument/2006/relationships/hyperlink" Target="https://dalil.kg/document/99500" TargetMode="External"/><Relationship Id="rIdmylltv1kcbseakppap-uc" Type="http://schemas.openxmlformats.org/officeDocument/2006/relationships/hyperlink" Target="https://dalil.kg/document/158751" TargetMode="External"/><Relationship Id="rIdiqja-wxyimli5jwyyi9xt" Type="http://schemas.openxmlformats.org/officeDocument/2006/relationships/hyperlink" Target="https://dalil.kg/document/99500" TargetMode="External"/><Relationship Id="rId_s1rz6otgskpjfb5udqfm" Type="http://schemas.openxmlformats.org/officeDocument/2006/relationships/hyperlink" Target="https://dalil.kg/document/99500" TargetMode="External"/><Relationship Id="rIdq0evq1zcfiflbrz0zgomh" Type="http://schemas.openxmlformats.org/officeDocument/2006/relationships/hyperlink" Target="https://dalil.kg/document/99500" TargetMode="External"/><Relationship Id="rIdypvr_waxwdqhtswldeovl" Type="http://schemas.openxmlformats.org/officeDocument/2006/relationships/hyperlink" Target="https://dalil.kg/document/99500" TargetMode="External"/><Relationship Id="rIdjj7jo5nzozluvptkgfy1t" Type="http://schemas.openxmlformats.org/officeDocument/2006/relationships/hyperlink" Target="https://dalil.kg/document/99500" TargetMode="External"/><Relationship Id="rIdaismmp8sj6kmktkrivyty" Type="http://schemas.openxmlformats.org/officeDocument/2006/relationships/hyperlink" Target="https://dalil.kg/document/99500" TargetMode="External"/><Relationship Id="rIdb4_qksai4ba1vlmms9a1n" Type="http://schemas.openxmlformats.org/officeDocument/2006/relationships/hyperlink" Target="https://dalil.kg/document/99500" TargetMode="External"/><Relationship Id="rIdx0sjfef91roypfuvdukyi" Type="http://schemas.openxmlformats.org/officeDocument/2006/relationships/hyperlink" Target="https://dalil.kg/document/99500" TargetMode="External"/><Relationship Id="rIdvw9pimqypvc59nme1f9s5" Type="http://schemas.openxmlformats.org/officeDocument/2006/relationships/hyperlink" Target="https://dalil.kg/document/99500" TargetMode="External"/><Relationship Id="rId0rwaukliqzxg60tn4f8fh" Type="http://schemas.openxmlformats.org/officeDocument/2006/relationships/hyperlink" Target="https://dalil.kg/document/99500" TargetMode="External"/><Relationship Id="rIdm4dapmbcvhrjkqgxntcxv" Type="http://schemas.openxmlformats.org/officeDocument/2006/relationships/hyperlink" Target="https://dalil.kg/document/99500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kucuwnofthogagrwzqi" Type="http://schemas.openxmlformats.org/officeDocument/2006/relationships/hyperlink" Target="https://dalil.kg/document/97086" TargetMode="External"/><Relationship Id="rIdtqeqocpd3pzljlr3t6sv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2026-09-25T01:53:36.586Z</dcterms:created>
  <dcterms:modified xsi:type="dcterms:W3CDTF">2026-09-25T01:53:36.586Z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